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701C3">
        <w:tblPrEx>
          <w:tblCellMar>
            <w:top w:w="0" w:type="dxa"/>
            <w:left w:w="0" w:type="dxa"/>
            <w:bottom w:w="0" w:type="dxa"/>
            <w:right w:w="0" w:type="dxa"/>
          </w:tblCellMar>
        </w:tblPrEx>
        <w:trPr>
          <w:gridAfter w:val="2"/>
          <w:wAfter w:w="1758" w:type="dxa"/>
          <w:cantSplit/>
          <w:trHeight w:val="1320"/>
        </w:trPr>
        <w:tc>
          <w:tcPr>
            <w:tcW w:w="5897" w:type="dxa"/>
          </w:tcPr>
          <w:p w:rsidR="007701C3" w:rsidRPr="007701C3" w:rsidRDefault="007701C3">
            <w:pPr>
              <w:pStyle w:val="HuvudRubrik"/>
            </w:pPr>
            <w:r w:rsidRPr="007701C3">
              <w:t>Regeringskansliet</w:t>
            </w:r>
          </w:p>
          <w:p w:rsidR="007701C3" w:rsidRPr="007701C3" w:rsidRDefault="007701C3">
            <w:pPr>
              <w:pStyle w:val="HuvudRubrik"/>
            </w:pPr>
            <w:r w:rsidRPr="007701C3">
              <w:t>Faktapromemoria  2008/09:FPM 8484</w:t>
            </w:r>
          </w:p>
        </w:tc>
      </w:tr>
      <w:tr w:rsidR="00000000" w:rsidRPr="007701C3">
        <w:tblPrEx>
          <w:tblCellMar>
            <w:top w:w="0" w:type="dxa"/>
            <w:left w:w="0" w:type="dxa"/>
            <w:bottom w:w="0" w:type="dxa"/>
            <w:right w:w="0" w:type="dxa"/>
          </w:tblCellMar>
        </w:tblPrEx>
        <w:trPr>
          <w:gridAfter w:val="2"/>
          <w:wAfter w:w="1758" w:type="dxa"/>
          <w:cantSplit/>
          <w:trHeight w:val="240"/>
        </w:trPr>
        <w:tc>
          <w:tcPr>
            <w:tcW w:w="5897" w:type="dxa"/>
          </w:tcPr>
          <w:p w:rsidR="007701C3" w:rsidRPr="007701C3" w:rsidRDefault="007701C3">
            <w:pPr>
              <w:pStyle w:val="HuvudRubrik"/>
              <w:rPr>
                <w:sz w:val="28"/>
              </w:rPr>
            </w:pPr>
            <w:r w:rsidRPr="007701C3">
              <w:t>Nya regler om kring säkerhetsövervakning av läkemedel</w:t>
            </w:r>
          </w:p>
        </w:tc>
      </w:tr>
      <w:tr w:rsidR="00000000" w:rsidRPr="007701C3">
        <w:tblPrEx>
          <w:tblCellMar>
            <w:top w:w="0" w:type="dxa"/>
            <w:left w:w="0" w:type="dxa"/>
            <w:bottom w:w="0" w:type="dxa"/>
            <w:right w:w="0" w:type="dxa"/>
          </w:tblCellMar>
        </w:tblPrEx>
        <w:trPr>
          <w:cantSplit/>
          <w:trHeight w:val="285"/>
        </w:trPr>
        <w:tc>
          <w:tcPr>
            <w:tcW w:w="7655" w:type="dxa"/>
            <w:gridSpan w:val="3"/>
          </w:tcPr>
          <w:p w:rsidR="007701C3" w:rsidRPr="007701C3" w:rsidRDefault="007701C3">
            <w:pPr>
              <w:pStyle w:val="Departement"/>
              <w:rPr>
                <w:sz w:val="28"/>
              </w:rPr>
            </w:pPr>
            <w:r w:rsidRPr="007701C3">
              <w:t>Socialdepartementet</w:t>
            </w:r>
          </w:p>
        </w:tc>
      </w:tr>
      <w:tr w:rsidR="00000000" w:rsidRPr="007701C3">
        <w:tblPrEx>
          <w:tblCellMar>
            <w:top w:w="0" w:type="dxa"/>
            <w:left w:w="0" w:type="dxa"/>
            <w:bottom w:w="0" w:type="dxa"/>
            <w:right w:w="0" w:type="dxa"/>
          </w:tblCellMar>
        </w:tblPrEx>
        <w:trPr>
          <w:cantSplit/>
          <w:trHeight w:val="240"/>
        </w:trPr>
        <w:tc>
          <w:tcPr>
            <w:tcW w:w="7655" w:type="dxa"/>
            <w:gridSpan w:val="3"/>
          </w:tcPr>
          <w:p w:rsidR="007701C3" w:rsidRPr="007701C3" w:rsidRDefault="007701C3">
            <w:pPr>
              <w:pStyle w:val="Dokumentdatum"/>
            </w:pPr>
            <w:r w:rsidRPr="007701C3">
              <w:t>2009-02-24</w:t>
            </w:r>
          </w:p>
        </w:tc>
      </w:tr>
      <w:tr w:rsidR="00000000" w:rsidRPr="007701C3">
        <w:tblPrEx>
          <w:tblCellMar>
            <w:top w:w="0" w:type="dxa"/>
            <w:left w:w="0" w:type="dxa"/>
            <w:bottom w:w="0" w:type="dxa"/>
            <w:right w:w="0" w:type="dxa"/>
          </w:tblCellMar>
        </w:tblPrEx>
        <w:trPr>
          <w:cantSplit/>
          <w:trHeight w:val="726"/>
        </w:trPr>
        <w:tc>
          <w:tcPr>
            <w:tcW w:w="7655" w:type="dxa"/>
            <w:gridSpan w:val="3"/>
            <w:vAlign w:val="bottom"/>
          </w:tcPr>
          <w:p w:rsidR="007701C3" w:rsidRPr="007701C3" w:rsidRDefault="007701C3">
            <w:pPr>
              <w:pStyle w:val="Dokumentbeteckning"/>
            </w:pPr>
            <w:r w:rsidRPr="007701C3">
              <w:t>Dokumentbeteckning</w:t>
            </w:r>
          </w:p>
        </w:tc>
      </w:tr>
      <w:tr w:rsidR="00000000" w:rsidRPr="007701C3">
        <w:tblPrEx>
          <w:tblCellMar>
            <w:top w:w="0" w:type="dxa"/>
            <w:left w:w="0" w:type="dxa"/>
            <w:bottom w:w="0" w:type="dxa"/>
            <w:right w:w="0" w:type="dxa"/>
          </w:tblCellMar>
        </w:tblPrEx>
        <w:trPr>
          <w:gridAfter w:val="1"/>
          <w:wAfter w:w="1560" w:type="dxa"/>
          <w:trHeight w:val="120"/>
        </w:trPr>
        <w:tc>
          <w:tcPr>
            <w:tcW w:w="6095" w:type="dxa"/>
            <w:gridSpan w:val="2"/>
          </w:tcPr>
          <w:p w:rsidR="007701C3" w:rsidRPr="007701C3" w:rsidRDefault="007701C3">
            <w:bookmarkStart w:id="0" w:name="KomNr"/>
            <w:bookmarkEnd w:id="0"/>
            <w:r w:rsidRPr="007701C3">
              <w:t>KOM (2008) 664 slutlig</w:t>
            </w:r>
          </w:p>
        </w:tc>
      </w:tr>
      <w:tr w:rsidR="00000000" w:rsidRPr="007701C3">
        <w:tblPrEx>
          <w:tblCellMar>
            <w:top w:w="0" w:type="dxa"/>
            <w:left w:w="0" w:type="dxa"/>
            <w:bottom w:w="0" w:type="dxa"/>
            <w:right w:w="0" w:type="dxa"/>
          </w:tblCellMar>
        </w:tblPrEx>
        <w:trPr>
          <w:gridAfter w:val="1"/>
          <w:wAfter w:w="1560" w:type="dxa"/>
          <w:trHeight w:val="120"/>
        </w:trPr>
        <w:tc>
          <w:tcPr>
            <w:tcW w:w="6095" w:type="dxa"/>
            <w:gridSpan w:val="2"/>
          </w:tcPr>
          <w:p w:rsidR="007701C3" w:rsidRPr="007701C3" w:rsidRDefault="007701C3">
            <w:pPr>
              <w:pStyle w:val="Dokumentbeteckning-titel"/>
            </w:pPr>
            <w:r w:rsidRPr="007701C3">
              <w:t>Förslag till Europaparlamentets och rådets förordning om ändring, när det gäller säkerhetsövervakning av humanläkemedel, av förordning (EG) nr 726/2004 om inrättande av gemenskapsförfaranden för godkännande av och tillsyn över humanläkemedel och veterinärmedicinska läkemedel samt om inrättande av en europeisk läkemedelsmyndighet</w:t>
            </w:r>
          </w:p>
        </w:tc>
      </w:tr>
      <w:tr w:rsidR="00000000" w:rsidRPr="007701C3">
        <w:tblPrEx>
          <w:tblCellMar>
            <w:top w:w="0" w:type="dxa"/>
            <w:left w:w="0" w:type="dxa"/>
            <w:bottom w:w="0" w:type="dxa"/>
            <w:right w:w="0" w:type="dxa"/>
          </w:tblCellMar>
        </w:tblPrEx>
        <w:trPr>
          <w:gridAfter w:val="1"/>
          <w:wAfter w:w="1560" w:type="dxa"/>
          <w:trHeight w:val="120"/>
        </w:trPr>
        <w:tc>
          <w:tcPr>
            <w:tcW w:w="6095" w:type="dxa"/>
            <w:gridSpan w:val="2"/>
          </w:tcPr>
          <w:p w:rsidR="007701C3" w:rsidRPr="007701C3" w:rsidRDefault="007701C3">
            <w:r w:rsidRPr="007701C3">
              <w:t>KOM (2008) 665 slutlig</w:t>
            </w:r>
          </w:p>
        </w:tc>
      </w:tr>
      <w:tr w:rsidR="00000000" w:rsidRPr="007701C3">
        <w:tblPrEx>
          <w:tblCellMar>
            <w:top w:w="0" w:type="dxa"/>
            <w:left w:w="0" w:type="dxa"/>
            <w:bottom w:w="0" w:type="dxa"/>
            <w:right w:w="0" w:type="dxa"/>
          </w:tblCellMar>
        </w:tblPrEx>
        <w:trPr>
          <w:gridAfter w:val="1"/>
          <w:wAfter w:w="1560" w:type="dxa"/>
          <w:trHeight w:val="120"/>
        </w:trPr>
        <w:tc>
          <w:tcPr>
            <w:tcW w:w="6095" w:type="dxa"/>
            <w:gridSpan w:val="2"/>
          </w:tcPr>
          <w:p w:rsidR="007701C3" w:rsidRPr="007701C3" w:rsidRDefault="007701C3">
            <w:pPr>
              <w:pStyle w:val="Dokumentbeteckning-titel"/>
            </w:pPr>
            <w:r w:rsidRPr="007701C3">
              <w:t>Förslag till Europaparlamentets och rådets direktiv om ändring, när det gäller säkerhetsövervakning av humanläkemedel, av direktiv 2001/83/EG om upprättande av gemenskapsregler för humanläkemedel</w:t>
            </w:r>
          </w:p>
        </w:tc>
      </w:tr>
    </w:tbl>
    <w:p w:rsidR="007701C3" w:rsidRPr="007701C3" w:rsidRDefault="007701C3"/>
    <w:p w:rsidR="007701C3" w:rsidRPr="007701C3" w:rsidRDefault="007701C3">
      <w:pPr>
        <w:pStyle w:val="Rubrik1"/>
        <w:numPr>
          <w:ilvl w:val="0"/>
          <w:numId w:val="0"/>
        </w:numPr>
      </w:pPr>
      <w:r w:rsidRPr="007701C3">
        <w:t>Sammanfattning</w:t>
      </w:r>
    </w:p>
    <w:p w:rsidR="007701C3" w:rsidRPr="007701C3" w:rsidRDefault="007701C3">
      <w:r w:rsidRPr="007701C3">
        <w:t xml:space="preserve">Kommissionen har presenterat ett läkemedelspaket innehållande förslag till lagstiftning inom tre områden: patientinformation (separat FaktaPM) , säkerhetsövervakning och förfalskade läkemedel (separat FaktaPM). </w:t>
      </w:r>
    </w:p>
    <w:p w:rsidR="007701C3" w:rsidRPr="007701C3" w:rsidRDefault="007701C3">
      <w:r w:rsidRPr="007701C3">
        <w:t xml:space="preserve">Nuvarande lagstiftning kring säkerhetsövervakning av läkemedel (”pharmacovigilance”) reglerar strikt läkemedel efter det att de släppts ut på marknaden. Regelverket bestämmer närmare hur bieffekter av godkända läkemedel ska rapporteras, hur rapporterna ska bedömas och vilka åtgärder som ska vidtas vid problem. </w:t>
      </w:r>
    </w:p>
    <w:p w:rsidR="007701C3" w:rsidRPr="007701C3" w:rsidRDefault="007701C3"/>
    <w:p w:rsidR="007701C3" w:rsidRPr="007701C3" w:rsidRDefault="007701C3">
      <w:r w:rsidRPr="007701C3">
        <w:t xml:space="preserve">Erfarenheten har visat att dessa regler behöver förbättras eftersom de inte på ett tillräckligt säkert sätt beaktar godkända läkemedels olika egenskaper och riskprofiler samt att uppgifter om bieffekter inte behandlas på bästa möjliga sätt. </w:t>
      </w:r>
    </w:p>
    <w:p w:rsidR="007701C3" w:rsidRPr="007701C3" w:rsidRDefault="007701C3"/>
    <w:p w:rsidR="007701C3" w:rsidRPr="007701C3" w:rsidRDefault="007701C3">
      <w:r w:rsidRPr="007701C3">
        <w:lastRenderedPageBreak/>
        <w:t xml:space="preserve">De föreslagna förbättringarna grundar sig på folkhälsohänsyn och ska enligt kommissionen bland annat klargöra rollerna och ansvar hos nyckelpersoner i rapporteringsprocessen, rationalisera EU:s beslutsfattande vad gäller läkemedels säkerhet, stärka övervakningssystemen hos läkemedelsföretagen, säkerställa proaktiv och proportionellt insamlande av högkvalitativ data samt förbättra tillgången av läkemedel i små medlemsstater. </w:t>
      </w:r>
    </w:p>
    <w:p w:rsidR="007701C3" w:rsidRPr="007701C3" w:rsidRDefault="007701C3"/>
    <w:p w:rsidR="007701C3" w:rsidRPr="007701C3" w:rsidRDefault="007701C3">
      <w:r w:rsidRPr="007701C3">
        <w:t xml:space="preserve">Regeringen har som utgångspunkt en positiv syn på förslaget. </w:t>
      </w:r>
    </w:p>
    <w:p w:rsidR="007701C3" w:rsidRPr="007701C3" w:rsidRDefault="007701C3">
      <w:pPr>
        <w:pStyle w:val="Rubrik1"/>
      </w:pPr>
      <w:r w:rsidRPr="007701C3">
        <w:t>Förslaget</w:t>
      </w:r>
    </w:p>
    <w:p w:rsidR="007701C3" w:rsidRPr="007701C3" w:rsidRDefault="007701C3">
      <w:pPr>
        <w:pStyle w:val="Rubrik2"/>
      </w:pPr>
      <w:r w:rsidRPr="007701C3">
        <w:t>Ärendets bakgrund</w:t>
      </w:r>
    </w:p>
    <w:p w:rsidR="007701C3" w:rsidRPr="007701C3" w:rsidRDefault="007701C3">
      <w:r w:rsidRPr="007701C3">
        <w:t>Säkerhetsövervakning definieras som vetenskapen och verksamheten om upptäckt, bedömning, förståelse och  förebyggande av läkemedelsbiverkningar. Gemenskapen har haft lagstiftning om säkerhetsövervakning av läkemedel sedan 1965. Hittills har det inte gjort någon systematisk översyn av gemenskapens lagstiftning om säkerhetsövervakning och dess tillämpning och effekter på folkhälsoskyddet. Därför påbörjade kommissionen en oberoende studie 2004 om tillämningen av gemenskapens system för säkerhetsövervakning. D</w:t>
      </w:r>
      <w:r w:rsidRPr="007701C3">
        <w:t xml:space="preserve">en oberoende rapporten och därefter det breda offentliga samrådet visade på flera brister och kommissionen drog därför slutsatsen att det var nödvändigt att skapa ett robustare system för säkerhetsövervakning av läkemedel inom den europeiska gemenskapen. </w:t>
      </w:r>
    </w:p>
    <w:p w:rsidR="007701C3" w:rsidRPr="007701C3" w:rsidRDefault="007701C3">
      <w:pPr>
        <w:pStyle w:val="Rubrik2"/>
      </w:pPr>
      <w:r w:rsidRPr="007701C3">
        <w:t>Förslagets innehåll</w:t>
      </w:r>
    </w:p>
    <w:p w:rsidR="007701C3" w:rsidRPr="007701C3" w:rsidRDefault="007701C3">
      <w:r w:rsidRPr="007701C3">
        <w:t>Huvuddragen i förslagen kan sammanfattas som följer:</w:t>
      </w:r>
    </w:p>
    <w:p w:rsidR="007701C3" w:rsidRPr="007701C3" w:rsidRDefault="007701C3"/>
    <w:p w:rsidR="007701C3" w:rsidRPr="007701C3" w:rsidRDefault="007701C3">
      <w:r w:rsidRPr="007701C3">
        <w:t>Tydliga roller och ansvarsområden</w:t>
      </w:r>
    </w:p>
    <w:p w:rsidR="007701C3" w:rsidRPr="007701C3" w:rsidRDefault="007701C3"/>
    <w:p w:rsidR="007701C3" w:rsidRPr="007701C3" w:rsidRDefault="007701C3">
      <w:r w:rsidRPr="007701C3">
        <w:t xml:space="preserve">Den befintliga lagstiftningen innehåller vissa överlappningar och oklara ansvarsområden i fråga om säkerhetsövervakning. Den föreslagna lagstiftningen klargör och kodifierar de uppgifter och ansvarsområden som de deltagande parterna (medlemsstaterna, Europeiska läkemedelsmyndigheten och innehavarna av godkännanden för försäljning) har enligt lagstiftningen. Därutöver fastställs begreppet god övervakningspraxis (Good Vigilance Practices) och dess omfattning för alla som är involverade i säkerhetsövervakning </w:t>
      </w:r>
      <w:r w:rsidRPr="007701C3">
        <w:t>av läkemedel. EMEA:s samordnande roll förstärks även om medlemsstaterna även i fortsättningen ska utgöra kärnan i gemenskapens säkerhetsövervakning, med stärkta mekanismer för samarbete och arbetsdelning. En ny vetenskaplig kommitté med ansvar för säkerhetsövervakning föreslås. Kommittén ska ha en viktig roll vid säkerhetsbedömningen av läkemedel både för centralt godkända och för nationellt godkända läkemedel (decentrala och ömsesidiga förfaranden).  Vidare föreslås en förenkling av gemenskapsförfarandet f</w:t>
      </w:r>
      <w:r w:rsidRPr="007701C3">
        <w:t xml:space="preserve">ör bedömning av allvarliga säkerhetsfrågor när det gäller nationellt godkända produkter genom att dylika och bindande kriterier för medlemsstaterna att inleda förfaranden i säkerhetsbedömningshänseende. </w:t>
      </w:r>
    </w:p>
    <w:p w:rsidR="007701C3" w:rsidRPr="007701C3" w:rsidRDefault="007701C3">
      <w:r w:rsidRPr="007701C3">
        <w:t>Öppenhet och information</w:t>
      </w:r>
    </w:p>
    <w:p w:rsidR="007701C3" w:rsidRPr="007701C3" w:rsidRDefault="007701C3">
      <w:r w:rsidRPr="007701C3">
        <w:t>Kommissionen föreslår större öppenhet och ökad information i fråga om läkemedelssäkerhet. Detta ska öka såväl patienternas som hälso- och sjukvårdspersonalens förståelse av och förtroende för läkemedlens säkerhet och regelsystemet.  Den befintliga databasen, Eudravigilance, ska i framtiden vara det enda forumet för säkerhetsinformation för human läkemedel i gemenskapen. Inför detta måste databasen förstärkas. Därutöver ska en europeisk webbportal för läkemedelssäkerhet skapas. Denna ska fungera som en huvu</w:t>
      </w:r>
      <w:r w:rsidRPr="007701C3">
        <w:t xml:space="preserve">dplattform för meddelanden om läkemedelssäkerhet på EU-nivå, och där lägga in länkar till de behöriga nationella myndigheternas webbportaler. </w:t>
      </w:r>
    </w:p>
    <w:p w:rsidR="007701C3" w:rsidRPr="007701C3" w:rsidRDefault="007701C3"/>
    <w:p w:rsidR="007701C3" w:rsidRPr="007701C3" w:rsidRDefault="007701C3">
      <w:r w:rsidRPr="007701C3">
        <w:t>Krav på innehavaren av godkännandet för försäljning att genomföra säkerhetsövervakning</w:t>
      </w:r>
    </w:p>
    <w:p w:rsidR="007701C3" w:rsidRPr="007701C3" w:rsidRDefault="007701C3">
      <w:r w:rsidRPr="007701C3">
        <w:t xml:space="preserve">Enligt gällande lagstiftning ska det lämnas en ”detaljerad beskrivning av systemet för säkerhetsövervakning  i ansökan till godkännande för försäljning, och den sak uppdateras för varje enskilt godkännande. Förslaget förenklar detta krav genom att införa en ”master file för systemet för säkerhetsövervakning”. Till ansökan bifogas enligt denna idé bara de viktigaste delarna av systemet och företagen åläggs därefter att förvara detaljerad dokumentation på plats. </w:t>
      </w:r>
    </w:p>
    <w:p w:rsidR="007701C3" w:rsidRPr="007701C3" w:rsidRDefault="007701C3"/>
    <w:p w:rsidR="007701C3" w:rsidRPr="007701C3" w:rsidRDefault="007701C3">
      <w:r w:rsidRPr="007701C3">
        <w:t>Riskhanteringsplanering och icke-interventionsstudier avseende säkerhet</w:t>
      </w:r>
    </w:p>
    <w:p w:rsidR="007701C3" w:rsidRPr="007701C3" w:rsidRDefault="007701C3">
      <w:r w:rsidRPr="007701C3">
        <w:t xml:space="preserve">I förslagen ställs det krav på ett riskhanteringssystem (”risk management plan”) för varje läkemedel som beviljas ett nytt godkännande för försäljning i gemenskapen. Systemet ska stå i proportion till de identifierade riskerna, potentiella risker och behovet av information om läkemedlet. Detta skulle innebära en förändring av nuvarande system såtillvida att idag är inte varje läkemedel som godkänns länkat till ett riskhanteringssystem. </w:t>
      </w:r>
    </w:p>
    <w:p w:rsidR="007701C3" w:rsidRPr="007701C3" w:rsidRDefault="007701C3"/>
    <w:p w:rsidR="007701C3" w:rsidRPr="007701C3" w:rsidRDefault="007701C3">
      <w:r w:rsidRPr="007701C3">
        <w:t>Fallrapporter av biverkningar</w:t>
      </w:r>
    </w:p>
    <w:p w:rsidR="007701C3" w:rsidRPr="007701C3" w:rsidRDefault="007701C3">
      <w:r w:rsidRPr="007701C3">
        <w:t>De nuvarande rapporteringsreglerna gäller för alla läkemedel utan åtskillnad, oberoende av de kända riskerna. Rapporterna lämnas in till flera myndigheter om en produkt är godkänd i mer än en medlemsstat. Detta kan leda till överlappande bedömningar eftersom det saknas bestämmelser om att bedömningarna ska grupperas efter produkt eller substans. På grund av detta föreslås förenklad rapportering av biverkningar genom att innehavarna av godkännanden för försäljning och medlemsstaterna rapporterar alla uppgif</w:t>
      </w:r>
      <w:r w:rsidRPr="007701C3">
        <w:t xml:space="preserve">ter om biverkningar till Eudravigilance-databasen Som en följd av detta kommer det inte längre att behövas olika rapporteringsregler för läkemedel som godkänts i enlighet med det centrala förfarandet och läkemedel som godkänts i medlemsstaterna. </w:t>
      </w:r>
    </w:p>
    <w:p w:rsidR="007701C3" w:rsidRPr="007701C3" w:rsidRDefault="007701C3"/>
    <w:p w:rsidR="007701C3" w:rsidRPr="007701C3" w:rsidRDefault="007701C3">
      <w:r w:rsidRPr="007701C3">
        <w:t xml:space="preserve">Felmedicinering som ger biverkningar ska däremot  rapporterteras till de nationella myndigheterna som sinsemellan ska utbyta information med varandra och andra myndigheter för patientsäkerhet. </w:t>
      </w:r>
    </w:p>
    <w:p w:rsidR="007701C3" w:rsidRPr="007701C3" w:rsidRDefault="007701C3"/>
    <w:p w:rsidR="007701C3" w:rsidRPr="007701C3" w:rsidRDefault="007701C3">
      <w:r w:rsidRPr="007701C3">
        <w:t>Periodiska säkerhetsrapporter och andra säkerhetsbedömningar</w:t>
      </w:r>
    </w:p>
    <w:p w:rsidR="007701C3" w:rsidRPr="007701C3" w:rsidRDefault="007701C3">
      <w:r w:rsidRPr="007701C3">
        <w:t>Även periodiska säkerhetsrapporter  ska enligt förslaget rapporteras till Eudravigilance-databasen. För att detta ska möjliggöras måste rapporteringen ändras så att det blir lättare för industrin att lämna periodiska säkerhetsrapporter som står i proportion till vad som är känt om produktens säkerhet och riskerna med den. Syften med säkerhetsrapporterna ändras så att de mer tar fokus på risk/nytta-förhållandet för  ett läkemedel. Bedömningarna av de periodiska säkerhetsrapporterna ska följas upp så att kop</w:t>
      </w:r>
      <w:r w:rsidRPr="007701C3">
        <w:t>plingen blir tydlig mellan utvärderingar av säkerhetsövervakning å ena sidan och översyn och uppdatering av de godkännanden för försäljning som beviljats i gemenskapen å andra sidan. Slutligen skapar förslagen en ram för delad resursanvändning mellan de behöriga myndigheterna som ska bedöma och följa upp periodiska säkerhetsrapporter.</w:t>
      </w:r>
    </w:p>
    <w:p w:rsidR="007701C3" w:rsidRPr="007701C3" w:rsidRDefault="007701C3">
      <w:pPr>
        <w:pStyle w:val="Rubrik2"/>
      </w:pPr>
      <w:r w:rsidRPr="007701C3">
        <w:t>Gällande svenska regler och förslagets effekt på dessa</w:t>
      </w:r>
    </w:p>
    <w:p w:rsidR="007701C3" w:rsidRPr="007701C3" w:rsidRDefault="007701C3">
      <w:r w:rsidRPr="007701C3">
        <w:t xml:space="preserve">De regler och krav som idag finns i läkemedelsdirektivet har införlivats genom Läkemedelslagen (1992:859) och Läkemedelsförordningen (2006:272) samt genom föreskrifter som utfärdats av Läkemedelsverket. Eftersom förslaget till ändring av läkemedelsdirektivet avser att ändra befintlig lagstiftning kommer ändringarna att behöva införlivas i svensk lagstiftning. Medlemsstaterna är skyldiga att genomföra bestämmelserna i ett direktiv i nationell lagstiftning. </w:t>
      </w:r>
    </w:p>
    <w:p w:rsidR="007701C3" w:rsidRPr="007701C3" w:rsidRDefault="007701C3"/>
    <w:p w:rsidR="007701C3" w:rsidRPr="007701C3" w:rsidRDefault="007701C3">
      <w:r w:rsidRPr="007701C3">
        <w:t xml:space="preserve">De föreslagna ändringarna i läkemedelsförordningen ska till skillnad från bestämmelserna i ett direktiv inte inkorporeras i eller transformeras till nationell rätt. En EG-förordning hindrar dock inte att en medlemsstat inför kompletterande nationella regler av verkställande, administrativ eller processuell karaktär. Medlemsstaterna är nämligen skyldiga att se till att det finns nationella bestämmelser som gör att en EG-förordning kan tillämpas i praktiken och få genom slag. </w:t>
      </w:r>
    </w:p>
    <w:p w:rsidR="007701C3" w:rsidRPr="007701C3" w:rsidRDefault="007701C3"/>
    <w:p w:rsidR="007701C3" w:rsidRPr="007701C3" w:rsidRDefault="007701C3"/>
    <w:p w:rsidR="007701C3" w:rsidRPr="007701C3" w:rsidRDefault="007701C3">
      <w:pPr>
        <w:pStyle w:val="Rubrik2"/>
      </w:pPr>
      <w:r w:rsidRPr="007701C3">
        <w:t>Budgetära konsekvenser / Konsekvensanalys</w:t>
      </w:r>
    </w:p>
    <w:p w:rsidR="007701C3" w:rsidRPr="007701C3" w:rsidRDefault="007701C3">
      <w:r w:rsidRPr="007701C3">
        <w:t>Förslagets effekter på EU-budgeten och statsbudgeten beror på den slutliga utformningen. Kommissionen har som alltid i den finansiella redovisningen i anslutning till förslaget presenterat de förväntade effekterna på EU-budgeten. Regeringen kommer därför att vid behov att återkomma med en mer detaljerad beräkning och bedömning av effekterna på statsbudgeten. Mot bakgrund av Sveriges budgetsrestriktiva hållning ska Sverige dels agera för att direktivets ekonomiska konsekvenser begränsas både på statsbudgete</w:t>
      </w:r>
      <w:r w:rsidRPr="007701C3">
        <w:t xml:space="preserve">n och EU-budgeten, dels agera för att uppgifter i största möjliga mån ska finansieras över nationell budget framför EU-budgeten. </w:t>
      </w:r>
    </w:p>
    <w:p w:rsidR="007701C3" w:rsidRPr="007701C3" w:rsidRDefault="007701C3"/>
    <w:p w:rsidR="007701C3" w:rsidRPr="007701C3" w:rsidRDefault="007701C3">
      <w:pPr>
        <w:pStyle w:val="Rubrik1"/>
      </w:pPr>
      <w:r w:rsidRPr="007701C3">
        <w:t>Ståndpunkter</w:t>
      </w:r>
    </w:p>
    <w:p w:rsidR="007701C3" w:rsidRPr="007701C3" w:rsidRDefault="007701C3">
      <w:pPr>
        <w:pStyle w:val="Rubrik2"/>
      </w:pPr>
      <w:r w:rsidRPr="007701C3">
        <w:t>Preliminär svensk ståndpunkt</w:t>
      </w:r>
    </w:p>
    <w:p w:rsidR="007701C3" w:rsidRPr="007701C3" w:rsidRDefault="007701C3">
      <w:r w:rsidRPr="007701C3">
        <w:t xml:space="preserve">Regeringens allmänna inställning till den nya lagstiftningen för säkerhetsövervakning av humanläkemedel är positivt. </w:t>
      </w:r>
    </w:p>
    <w:p w:rsidR="007701C3" w:rsidRPr="007701C3" w:rsidRDefault="007701C3">
      <w:pPr>
        <w:pStyle w:val="Rubrik2"/>
      </w:pPr>
      <w:r w:rsidRPr="007701C3">
        <w:t>Medlemsstaternas ståndpunkter</w:t>
      </w:r>
    </w:p>
    <w:p w:rsidR="007701C3" w:rsidRPr="007701C3" w:rsidRDefault="007701C3">
      <w:r w:rsidRPr="007701C3">
        <w:t xml:space="preserve">Är i nuläget okända även om en del medlemsstater i rådsarbetsgruppen för läkemedel och medicinteknik framfört positiva preliminära synpunkter på förslagen. </w:t>
      </w:r>
    </w:p>
    <w:p w:rsidR="007701C3" w:rsidRPr="007701C3" w:rsidRDefault="007701C3">
      <w:pPr>
        <w:pStyle w:val="Rubrik2"/>
      </w:pPr>
      <w:r w:rsidRPr="007701C3">
        <w:t>Institutionernas ståndpunkter</w:t>
      </w:r>
    </w:p>
    <w:p w:rsidR="007701C3" w:rsidRPr="007701C3" w:rsidRDefault="007701C3">
      <w:r w:rsidRPr="007701C3">
        <w:t xml:space="preserve">Ännu okända. </w:t>
      </w:r>
    </w:p>
    <w:p w:rsidR="007701C3" w:rsidRPr="007701C3" w:rsidRDefault="007701C3">
      <w:pPr>
        <w:pStyle w:val="Rubrik2"/>
      </w:pPr>
      <w:r w:rsidRPr="007701C3">
        <w:t>Remissinstansernas ståndpunkter</w:t>
      </w:r>
    </w:p>
    <w:p w:rsidR="007701C3" w:rsidRPr="007701C3" w:rsidRDefault="007701C3">
      <w:r w:rsidRPr="007701C3">
        <w:t xml:space="preserve">Ännu okända. Förslaget skickades ut på remiss i december 2008 och remissrundan avslutas inte förrän den 6 februari 2008. Därefter ska remissvaren sammanställas. </w:t>
      </w:r>
    </w:p>
    <w:p w:rsidR="007701C3" w:rsidRPr="007701C3" w:rsidRDefault="007701C3">
      <w:pPr>
        <w:pStyle w:val="Rubrik1"/>
      </w:pPr>
      <w:r w:rsidRPr="007701C3">
        <w:t>Förslagets förutsättningar</w:t>
      </w:r>
    </w:p>
    <w:p w:rsidR="007701C3" w:rsidRPr="007701C3" w:rsidRDefault="007701C3">
      <w:pPr>
        <w:pStyle w:val="Rubrik2"/>
      </w:pPr>
      <w:r w:rsidRPr="007701C3">
        <w:t>Rättslig grund och beslutsförfarande</w:t>
      </w:r>
    </w:p>
    <w:p w:rsidR="007701C3" w:rsidRPr="007701C3" w:rsidRDefault="007701C3">
      <w:r w:rsidRPr="007701C3">
        <w:t xml:space="preserve">Artikel 95 i EG-fördraget (medbeslutande med Europaparlamentet). Beslut i rådet fattas med kvalificerad majoritet. </w:t>
      </w:r>
    </w:p>
    <w:p w:rsidR="007701C3" w:rsidRPr="007701C3" w:rsidRDefault="007701C3"/>
    <w:p w:rsidR="007701C3" w:rsidRPr="007701C3" w:rsidRDefault="007701C3">
      <w:pPr>
        <w:pStyle w:val="Rubrik2"/>
      </w:pPr>
      <w:r w:rsidRPr="007701C3">
        <w:t>Subsidiaritets- och proportionalitetsprincipen</w:t>
      </w:r>
    </w:p>
    <w:p w:rsidR="007701C3" w:rsidRPr="007701C3" w:rsidRDefault="007701C3">
      <w:r w:rsidRPr="007701C3">
        <w:t>Kommissionen anger att gemenskapsregler om säkerhetsövervakning är det bästa sättet att skydda folkhälsan enligt samma standard i hela gemenskapen. Olika åtgärder i medlemsstaterna skulle göra det omöjligt att fullt ut dela säkerhetsdata och skulle öka de behöriga myndigheternas och näringslivets administrativa börda. På grund av bristande samordning skulle medlemsstaterna inte ha tillgång till den bästa vetenskapliga och medicinska sakkunskapen för utvärdering av läkemedels säkerhet och för riskminimering</w:t>
      </w:r>
      <w:r w:rsidRPr="007701C3">
        <w:t xml:space="preserve"> om inte initiativ togs på gemenskapsnivå. </w:t>
      </w:r>
    </w:p>
    <w:p w:rsidR="007701C3" w:rsidRPr="007701C3" w:rsidRDefault="007701C3"/>
    <w:p w:rsidR="007701C3" w:rsidRPr="007701C3" w:rsidRDefault="007701C3">
      <w:r w:rsidRPr="007701C3">
        <w:t>I fråga om proportionalitet har förslaget utformats i nära samverkan med berörda parter. Förslaget bygger på befintliga strukturer, befintliga förfaranden och nuvarande praxis. Förslagen syftar till att i möjligaste mån effektivisera processerna och förbättra kvalitén på de insamlade uppgifterna och de beslut som fattas, så att folkhälsan gynnas maximalt. I och med att gemenskapens system för säkerhetsövervakning effektiviseras genom förslaget frigörs resurser som för närvarande används för att uppfylla öve</w:t>
      </w:r>
      <w:r w:rsidRPr="007701C3">
        <w:t xml:space="preserve">rlappande och komplexa administrativa krav. </w:t>
      </w:r>
    </w:p>
    <w:p w:rsidR="007701C3" w:rsidRPr="007701C3" w:rsidRDefault="007701C3"/>
    <w:p w:rsidR="007701C3" w:rsidRPr="007701C3" w:rsidRDefault="007701C3">
      <w:r w:rsidRPr="007701C3">
        <w:t xml:space="preserve">Förslaget går enligt kommissionen inte utöver vad som är nödvändigt för att uppnå det eftersträvade målet, dvs. att förstärka och rationalisera gemenskapens system för säkerhetsövervakning. Konsekvensanalsyen visar på minskade kostnader för näringslivet och ökade kostnader för regleringsmyndigheterna som kommer att täckas av avgifter från näringslivet. Denna kostnad är blygsam i jämförelse med de förväntade samhällsbesparingarna. </w:t>
      </w:r>
    </w:p>
    <w:p w:rsidR="007701C3" w:rsidRPr="007701C3" w:rsidRDefault="007701C3">
      <w:pPr>
        <w:pStyle w:val="Rubrik1"/>
      </w:pPr>
      <w:r w:rsidRPr="007701C3">
        <w:t>Övrigt</w:t>
      </w:r>
    </w:p>
    <w:p w:rsidR="007701C3" w:rsidRPr="007701C3" w:rsidRDefault="007701C3">
      <w:pPr>
        <w:pStyle w:val="Rubrik2"/>
      </w:pPr>
      <w:r w:rsidRPr="007701C3">
        <w:t>Fortsatt behandling av ärendet</w:t>
      </w:r>
    </w:p>
    <w:p w:rsidR="007701C3" w:rsidRPr="007701C3" w:rsidRDefault="007701C3">
      <w:r w:rsidRPr="007701C3">
        <w:t>Ärendet skickades till rådet och Europaparlamentet den 10 december 2008. I rådet har behandling i rådsarbetsgrupp inletts den 9 januari 2009 och rådsarbetsgruppen kommer sedan att sammanträda 1-3 gånger per månad under det tjeckiska ordförandeskapet. Därefter kommer behandling ske under det svenska ordförandeskapet hösten 2009.</w:t>
      </w:r>
    </w:p>
    <w:p w:rsidR="007701C3" w:rsidRPr="007701C3" w:rsidRDefault="007701C3">
      <w:pPr>
        <w:pStyle w:val="Rubrik2"/>
        <w:numPr>
          <w:ilvl w:val="0"/>
          <w:numId w:val="0"/>
        </w:numPr>
      </w:pPr>
    </w:p>
    <w:p w:rsidR="007701C3" w:rsidRPr="007701C3" w:rsidRDefault="007701C3"/>
    <w:sectPr w:rsidR="00000000" w:rsidRPr="007701C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1C3" w:rsidRPr="007701C3" w:rsidRDefault="007701C3">
      <w:r w:rsidRPr="007701C3">
        <w:separator/>
      </w:r>
    </w:p>
  </w:endnote>
  <w:endnote w:type="continuationSeparator" w:id="0">
    <w:p w:rsidR="007701C3" w:rsidRPr="007701C3" w:rsidRDefault="007701C3">
      <w:r w:rsidRPr="00770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1C3" w:rsidRPr="007701C3" w:rsidRDefault="007701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1C3" w:rsidRPr="007701C3" w:rsidRDefault="007701C3">
    <w:pPr>
      <w:pStyle w:val="SidfotH"/>
      <w:framePr w:wrap="around"/>
    </w:pPr>
    <w:r w:rsidRPr="007701C3">
      <w:t>6</w:t>
    </w:r>
  </w:p>
  <w:p w:rsidR="007701C3" w:rsidRPr="007701C3" w:rsidRDefault="007701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1C3" w:rsidRPr="007701C3" w:rsidRDefault="007701C3">
    <w:pPr>
      <w:pStyle w:val="SidfotH"/>
      <w:framePr w:wrap="around"/>
    </w:pPr>
    <w:r w:rsidRPr="007701C3">
      <w:t>1</w:t>
    </w:r>
  </w:p>
  <w:p w:rsidR="007701C3" w:rsidRPr="007701C3" w:rsidRDefault="007701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1C3" w:rsidRPr="007701C3" w:rsidRDefault="007701C3">
      <w:r w:rsidRPr="007701C3">
        <w:separator/>
      </w:r>
    </w:p>
  </w:footnote>
  <w:footnote w:type="continuationSeparator" w:id="0">
    <w:p w:rsidR="007701C3" w:rsidRPr="007701C3" w:rsidRDefault="007701C3">
      <w:r w:rsidRPr="00770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1C3" w:rsidRPr="007701C3" w:rsidRDefault="007701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1C3" w:rsidRPr="007701C3" w:rsidRDefault="007701C3">
    <w:pPr>
      <w:pStyle w:val="Kantrubrik"/>
      <w:framePr w:h="1157" w:hRule="exact" w:wrap="around" w:y="738"/>
    </w:pPr>
    <w:r w:rsidRPr="007701C3">
      <w:t>2008/09:FPM84</w:t>
    </w:r>
  </w:p>
  <w:p w:rsidR="007701C3" w:rsidRPr="007701C3" w:rsidRDefault="007701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1C3" w:rsidRPr="007701C3" w:rsidRDefault="007701C3">
    <w:pPr>
      <w:pStyle w:val="Sidhuvud"/>
    </w:pPr>
    <w:r w:rsidRPr="007701C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50348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1C3" w:rsidRDefault="007701C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701C3" w:rsidRDefault="007701C3">
                    <w:pPr>
                      <w:pStyle w:val="Logo"/>
                    </w:pPr>
                    <w:r>
                      <w:object w:dxaOrig="840" w:dyaOrig="1545">
                        <v:shape id="_x0000_i1025" type="#_x0000_t75" style="width:42pt;height:77.5pt" filled="t">
                          <v:imagedata r:id="rId1" o:title=""/>
                        </v:shape>
                        <o:OLEObject Type="Embed" ProgID="Word.Picture.8" ShapeID="_x0000_i1025" DrawAspect="Content" ObjectID="_18275103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87379428">
    <w:abstractNumId w:val="4"/>
  </w:num>
  <w:num w:numId="2" w16cid:durableId="321279796">
    <w:abstractNumId w:val="1"/>
  </w:num>
  <w:num w:numId="3" w16cid:durableId="814878741">
    <w:abstractNumId w:val="2"/>
  </w:num>
  <w:num w:numId="4" w16cid:durableId="638656165">
    <w:abstractNumId w:val="3"/>
  </w:num>
  <w:num w:numId="5" w16cid:durableId="1182816459">
    <w:abstractNumId w:val="5"/>
  </w:num>
  <w:num w:numId="6" w16cid:durableId="91936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24"/>
    <w:docVar w:name="Ar" w:val="2008/09"/>
    <w:docVar w:name="Dep" w:val="Socialdepartementet"/>
    <w:docVar w:name="DepWeb" w:val="Socialdepartementet"/>
    <w:docVar w:name="GDB1" w:val="KOM (2008) 664 slutlig"/>
    <w:docVar w:name="GDB10" w:val=" "/>
    <w:docVar w:name="GDB11" w:val=" "/>
    <w:docVar w:name="GDB12" w:val=" "/>
    <w:docVar w:name="GDB13" w:val=" "/>
    <w:docVar w:name="GDB2" w:val="KOM (2008) 665 slutlig"/>
    <w:docVar w:name="GDB3" w:val=" "/>
    <w:docVar w:name="GDB4" w:val=" "/>
    <w:docVar w:name="GDB5" w:val=" "/>
    <w:docVar w:name="GDB6" w:val=" "/>
    <w:docVar w:name="GDB7" w:val=" "/>
    <w:docVar w:name="GDB8" w:val=" "/>
    <w:docVar w:name="GDB9" w:val=" "/>
    <w:docVar w:name="GDT1" w:val="Förslag till Europaparlamentets och rådets förordning om ändring, när det gäller säkerhetsövervakning av humanläkemedel, av förordning (EG) nr 726/2004 om inrättande av gemenskapsförfaranden för godkännande av och tillsyn över humanläkemedel och veterinärmedicinska läkemedel samt om inrättande av en europeisk läkemedelsmyndighet"/>
    <w:docVar w:name="GDT10" w:val=" "/>
    <w:docVar w:name="GDT11" w:val=" "/>
    <w:docVar w:name="GDT12" w:val=" "/>
    <w:docVar w:name="GDT13" w:val=" "/>
    <w:docVar w:name="GDT2" w:val="Förslag till Europaparlamentets och rådets direktiv om ändring, när det gäller säkerhetsövervakning av humanläkemedel, av direktiv 2001/83/EG om upprättande av gemenskapsregler för humanläkemedel"/>
    <w:docVar w:name="GDT3" w:val=" "/>
    <w:docVar w:name="GDT4" w:val=" "/>
    <w:docVar w:name="GDT5" w:val=" "/>
    <w:docVar w:name="GDT6" w:val=" "/>
    <w:docVar w:name="GDT7" w:val=" "/>
    <w:docVar w:name="GDT8" w:val=" "/>
    <w:docVar w:name="GDT9" w:val=" "/>
    <w:docVar w:name="GDTWeb" w:val="KOM (2008) 664 slutlig, KOM (2008) 665 slutlig"/>
    <w:docVar w:name="Nr" w:val="84"/>
    <w:docVar w:name="RD_APPVERSION" w:val="3.00"/>
    <w:docVar w:name="Rub" w:val="Nya regler om kring säkerhetsövervakning av läkemedel"/>
    <w:docVar w:name="UppDat" w:val="2009-02-24"/>
    <w:docVar w:name="Utsk" w:val="Socialutskottet"/>
  </w:docVars>
  <w:rsids>
    <w:rsidRoot w:val="00AE2E57"/>
    <w:rsid w:val="007701C3"/>
    <w:rsid w:val="00AE2E5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9C6D8F-39C3-4CD0-A169-3BB06799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1542</Words>
  <Characters>10661</Characters>
  <Application>Microsoft Office Word</Application>
  <DocSecurity>4</DocSecurity>
  <Lines>217</Lines>
  <Paragraphs>66</Paragraphs>
  <ScaleCrop>false</ScaleCrop>
  <HeadingPairs>
    <vt:vector size="2" baseType="variant">
      <vt:variant>
        <vt:lpstr>Rubrik</vt:lpstr>
      </vt:variant>
      <vt:variant>
        <vt:i4>1</vt:i4>
      </vt:variant>
    </vt:vector>
  </HeadingPairs>
  <TitlesOfParts>
    <vt:vector size="1" baseType="lpstr">
      <vt:lpstr>FPM_200809__84</vt:lpstr>
    </vt:vector>
  </TitlesOfParts>
  <Company>RD-DTSL</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FPM_200809__84</dc:title>
  <dc:subject>FPM_200809__84</dc:subject>
  <dc:creator>Riksdagen</dc:creator>
  <cp:keywords>Riksdagen</cp:keywords>
  <dc:description>KP2004-version.  Ändringarna påverkar enbart användningen inom Riksdagen. 050429 nya departement DTSL.</dc:description>
  <cp:lastModifiedBy>Lars Brink</cp:lastModifiedBy>
  <cp:revision>2</cp:revision>
  <cp:lastPrinted>2009-02-24T15:02:00Z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84</vt:lpwstr>
  </property>
  <property fmtid="{D5CDD505-2E9C-101B-9397-08002B2CF9AE}" pid="4" name="GDB1">
    <vt:lpwstr>KOM (2008) 664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Nya regler om kring säkerhetsövervakning av läkemedel</vt:lpwstr>
  </property>
  <property fmtid="{D5CDD505-2E9C-101B-9397-08002B2CF9AE}" pid="8" name="UppDat">
    <vt:lpwstr>2009-02-24</vt:lpwstr>
  </property>
  <property fmtid="{D5CDD505-2E9C-101B-9397-08002B2CF9AE}" pid="9" name="AnkDat">
    <vt:lpwstr>2009-02-24</vt:lpwstr>
  </property>
  <property fmtid="{D5CDD505-2E9C-101B-9397-08002B2CF9AE}" pid="10" name="Utsk">
    <vt:lpwstr>Socialutskottet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(2008) 665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Socialdepartementet</vt:lpwstr>
  </property>
  <property fmtid="{D5CDD505-2E9C-101B-9397-08002B2CF9AE}" pid="45" name="RKOrdnaActivityCategory">
    <vt:lpwstr>9.9. Migrerat</vt:lpwstr>
  </property>
  <property fmtid="{D5CDD505-2E9C-101B-9397-08002B2CF9AE}" pid="46" name="QFMSP source name">
    <vt:lpwstr>FAKTAPMpharmacovigilance.doc</vt:lpwstr>
  </property>
</Properties>
</file>