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16B83-B03D-4148-B7CB-C633DC24287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BFE282F-9B11-431A-A73C-FD4DF697E176}"/>
</file>

<file path=customXml/itemProps4.xml><?xml version="1.0" encoding="utf-8"?>
<ds:datastoreItem xmlns:ds="http://schemas.openxmlformats.org/officeDocument/2006/customXml" ds:itemID="{9B2F2FA3-7E2E-4631-A760-31F401CEE1A9}"/>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