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80F94">
        <w:tblPrEx>
          <w:tblCellMar>
            <w:top w:w="0" w:type="dxa"/>
            <w:bottom w:w="0" w:type="dxa"/>
          </w:tblCellMar>
        </w:tblPrEx>
        <w:trPr>
          <w:cantSplit/>
          <w:trHeight w:val="1720"/>
        </w:trPr>
        <w:tc>
          <w:tcPr>
            <w:tcW w:w="6024" w:type="dxa"/>
            <w:gridSpan w:val="2"/>
          </w:tcPr>
          <w:p w:rsidR="0098144C" w:rsidRPr="00180F94" w:rsidRDefault="0098144C">
            <w:pPr>
              <w:pStyle w:val="HuvudRubrik"/>
            </w:pPr>
            <w:r w:rsidRPr="00180F94">
              <w:t>Bostadsutskottets yttrande</w:t>
            </w:r>
          </w:p>
          <w:p w:rsidR="0098144C" w:rsidRPr="00180F94" w:rsidRDefault="0098144C">
            <w:pPr>
              <w:pStyle w:val="HuvudRubrikRad2"/>
            </w:pPr>
            <w:bookmarkStart w:id="0" w:name="BetänkandeNr"/>
            <w:bookmarkEnd w:id="0"/>
            <w:r w:rsidRPr="00180F94">
              <w:t>2003/04:BoU6y</w:t>
            </w:r>
          </w:p>
        </w:tc>
        <w:tc>
          <w:tcPr>
            <w:tcW w:w="1418" w:type="dxa"/>
            <w:tcBorders>
              <w:bottom w:val="nil"/>
            </w:tcBorders>
          </w:tcPr>
          <w:p w:rsidR="0098144C" w:rsidRPr="00180F94" w:rsidRDefault="00180F94">
            <w:pPr>
              <w:spacing w:line="230" w:lineRule="auto"/>
              <w:jc w:val="center"/>
            </w:pPr>
            <w:r w:rsidRPr="00180F9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144C" w:rsidRPr="00180F94" w:rsidRDefault="0098144C">
            <w:pPr>
              <w:pStyle w:val="Normaltindrag"/>
              <w:jc w:val="center"/>
            </w:pPr>
          </w:p>
          <w:p w:rsidR="0098144C" w:rsidRPr="00180F94" w:rsidRDefault="0098144C">
            <w:pPr>
              <w:pStyle w:val="StatusSida1"/>
            </w:pPr>
          </w:p>
          <w:p w:rsidR="0098144C" w:rsidRPr="00180F94" w:rsidRDefault="0098144C">
            <w:pPr>
              <w:pStyle w:val="UtskriftsdatumSida1"/>
              <w:framePr w:wrap="around"/>
            </w:pPr>
          </w:p>
        </w:tc>
      </w:tr>
      <w:tr w:rsidR="00000000" w:rsidRPr="00180F94">
        <w:tblPrEx>
          <w:tblCellMar>
            <w:top w:w="0" w:type="dxa"/>
            <w:bottom w:w="0" w:type="dxa"/>
          </w:tblCellMar>
        </w:tblPrEx>
        <w:trPr>
          <w:cantSplit/>
        </w:trPr>
        <w:tc>
          <w:tcPr>
            <w:tcW w:w="6024" w:type="dxa"/>
            <w:gridSpan w:val="2"/>
            <w:tcBorders>
              <w:bottom w:val="single" w:sz="4" w:space="0" w:color="auto"/>
            </w:tcBorders>
          </w:tcPr>
          <w:p w:rsidR="0098144C" w:rsidRPr="00180F94" w:rsidRDefault="0098144C">
            <w:pPr>
              <w:pStyle w:val="DokumentRubrik"/>
              <w:rPr>
                <w:noProof w:val="0"/>
              </w:rPr>
            </w:pPr>
            <w:bookmarkStart w:id="1" w:name="Huvudrubrik"/>
            <w:bookmarkEnd w:id="1"/>
            <w:r w:rsidRPr="00180F94">
              <w:rPr>
                <w:noProof w:val="0"/>
              </w:rPr>
              <w:t>Årsredovisning för staten 2003</w:t>
            </w:r>
          </w:p>
        </w:tc>
        <w:tc>
          <w:tcPr>
            <w:tcW w:w="1418" w:type="dxa"/>
            <w:tcBorders>
              <w:bottom w:val="nil"/>
            </w:tcBorders>
          </w:tcPr>
          <w:p w:rsidR="0098144C" w:rsidRPr="00180F94" w:rsidRDefault="0098144C"/>
        </w:tc>
      </w:tr>
      <w:tr w:rsidR="00000000" w:rsidRPr="00180F94">
        <w:tblPrEx>
          <w:tblCellMar>
            <w:top w:w="0" w:type="dxa"/>
            <w:bottom w:w="0" w:type="dxa"/>
          </w:tblCellMar>
        </w:tblPrEx>
        <w:trPr>
          <w:cantSplit/>
          <w:trHeight w:hRule="exact" w:val="360"/>
        </w:trPr>
        <w:tc>
          <w:tcPr>
            <w:tcW w:w="3012" w:type="dxa"/>
          </w:tcPr>
          <w:p w:rsidR="0098144C" w:rsidRPr="00180F94" w:rsidRDefault="0098144C"/>
        </w:tc>
        <w:tc>
          <w:tcPr>
            <w:tcW w:w="3012" w:type="dxa"/>
          </w:tcPr>
          <w:p w:rsidR="0098144C" w:rsidRPr="00180F94" w:rsidRDefault="0098144C"/>
        </w:tc>
        <w:tc>
          <w:tcPr>
            <w:tcW w:w="1418" w:type="dxa"/>
          </w:tcPr>
          <w:p w:rsidR="0098144C" w:rsidRPr="00180F94" w:rsidRDefault="0098144C"/>
        </w:tc>
      </w:tr>
    </w:tbl>
    <w:p w:rsidR="0098144C" w:rsidRPr="00180F94" w:rsidRDefault="0098144C">
      <w:pPr>
        <w:pStyle w:val="R1"/>
        <w:spacing w:after="250"/>
      </w:pPr>
      <w:r w:rsidRPr="00180F94">
        <w:t>Till finansutskottet</w:t>
      </w:r>
    </w:p>
    <w:p w:rsidR="0098144C" w:rsidRPr="00180F94" w:rsidRDefault="0098144C">
      <w:r w:rsidRPr="00180F94">
        <w:t xml:space="preserve">Finansutskottet har berett övriga utskott tillfälle att yttra sig över regeringens skrivelse 2003/04:101 Årsredovisning för staten 2003 och jämte motioner, allt i de delar som berör respektive utskotts beredningsområde. </w:t>
      </w:r>
    </w:p>
    <w:p w:rsidR="0098144C" w:rsidRPr="00180F94" w:rsidRDefault="0098144C">
      <w:pPr>
        <w:pStyle w:val="Normaltindrag"/>
      </w:pPr>
      <w:bookmarkStart w:id="2" w:name="TextStart"/>
      <w:bookmarkEnd w:id="2"/>
      <w:r w:rsidRPr="00180F94">
        <w:t>Bostadsutskottet behandlar i yttrandet framför allt de delar av regeringens skrivelse som avser utskottets beredningsområde, dvs. i huvudsak anslag m.m. inom utgiftsområde 18 Samhällsplanering, bostadsförsörjning och by</w:t>
      </w:r>
      <w:r w:rsidRPr="00180F94">
        <w:t>g</w:t>
      </w:r>
      <w:r w:rsidRPr="00180F94">
        <w:t xml:space="preserve">gande. </w:t>
      </w:r>
    </w:p>
    <w:p w:rsidR="0098144C" w:rsidRPr="00180F94" w:rsidRDefault="0098144C">
      <w:pPr>
        <w:pStyle w:val="Normaltindrag"/>
      </w:pPr>
    </w:p>
    <w:p w:rsidR="0098144C" w:rsidRPr="00180F94" w:rsidRDefault="0098144C">
      <w:pPr>
        <w:pStyle w:val="Normaltindrag"/>
      </w:pPr>
    </w:p>
    <w:p w:rsidR="0098144C" w:rsidRPr="00180F94" w:rsidRDefault="0098144C">
      <w:pPr>
        <w:pStyle w:val="Normaltindrag"/>
      </w:pPr>
    </w:p>
    <w:p w:rsidR="0098144C" w:rsidRPr="00180F94" w:rsidRDefault="0098144C">
      <w:pPr>
        <w:pStyle w:val="Rubrik1"/>
        <w:rPr>
          <w:noProof w:val="0"/>
        </w:rPr>
      </w:pPr>
      <w:r w:rsidRPr="00180F94">
        <w:rPr>
          <w:noProof w:val="0"/>
        </w:rPr>
        <w:t>Utskottets överväganden</w:t>
      </w:r>
    </w:p>
    <w:p w:rsidR="0098144C" w:rsidRPr="00180F94" w:rsidRDefault="0098144C">
      <w:pPr>
        <w:pStyle w:val="Rubrik2"/>
        <w:spacing w:before="0"/>
      </w:pPr>
      <w:r w:rsidRPr="00180F94">
        <w:t>Inledning</w:t>
      </w:r>
    </w:p>
    <w:p w:rsidR="0098144C" w:rsidRPr="00180F94" w:rsidRDefault="0098144C">
      <w:r w:rsidRPr="00180F94">
        <w:t>Enligt budgetlagen (1996:1059) skall regeringen så snart som möjligt, senast nio månader efter budgetårets utgång, lämna en årsredovisning för staten till riksdagen. Efter önskemål från riksdagen lämnas årsredovisningen i anslu</w:t>
      </w:r>
      <w:r w:rsidRPr="00180F94">
        <w:t>t</w:t>
      </w:r>
      <w:r w:rsidRPr="00180F94">
        <w:t>ning till den ekonomiska vårpropositionen. Årsredovisningen skall innehålla resultaträkning, balansräkning och finansieringsanalys. Den skall även inn</w:t>
      </w:r>
      <w:r w:rsidRPr="00180F94">
        <w:t>e</w:t>
      </w:r>
      <w:r w:rsidRPr="00180F94">
        <w:t xml:space="preserve">hålla det slutliga utfallet på statsbudgetens inkomsttitlar och anslag. </w:t>
      </w:r>
    </w:p>
    <w:p w:rsidR="0098144C" w:rsidRPr="00180F94" w:rsidRDefault="0098144C">
      <w:pPr>
        <w:pStyle w:val="Normaltindrag"/>
      </w:pPr>
      <w:r w:rsidRPr="00180F94">
        <w:t>I skrivelse 2003/04:101 Årsredovisning för staten 2003 lämnar regeringen en redogörelse för det ekonomiska utfallet i staten budgetåret 2003. Skrive</w:t>
      </w:r>
      <w:r w:rsidRPr="00180F94">
        <w:t>l</w:t>
      </w:r>
      <w:r w:rsidRPr="00180F94">
        <w:t>sen omfattar uppföljning av de budgetpolitiska målen, resultaträkning, balan</w:t>
      </w:r>
      <w:r w:rsidRPr="00180F94">
        <w:t>s</w:t>
      </w:r>
      <w:r w:rsidRPr="00180F94">
        <w:t>räkning och finansieringsanalys samt det slutliga utfallet på statsbudgetens inkomsttitlar och anslag under året. Vidare lämnas en redogörelse för statliga garantier, avgifter till och bidrag från EU, den statliga sektorns tillgångar och skulder i verksamheter där staten har ett väsentligt inflytande samt utvec</w:t>
      </w:r>
      <w:r w:rsidRPr="00180F94">
        <w:t>k</w:t>
      </w:r>
      <w:r w:rsidRPr="00180F94">
        <w:t>lingen av statlig produktion. Riksrevisionsverkets iakttagelser i rapporter från effektivitetsrevisionen under året redov</w:t>
      </w:r>
      <w:r w:rsidRPr="00180F94">
        <w:t>isas och kommenteras i skrivelsen. Myndigheter som har fått revisionsberättelse med invändning omnämns och skälen för invändningarna anges. Vidare lämnas en redogörelse för Europe</w:t>
      </w:r>
      <w:r w:rsidRPr="00180F94">
        <w:lastRenderedPageBreak/>
        <w:t>i</w:t>
      </w:r>
      <w:r w:rsidRPr="00180F94">
        <w:t>s</w:t>
      </w:r>
      <w:r w:rsidRPr="00180F94">
        <w:t>ka revisionsrättens granskning av EU-medel. Slutligen ges en kort redogöre</w:t>
      </w:r>
      <w:r w:rsidRPr="00180F94">
        <w:t>l</w:t>
      </w:r>
      <w:r w:rsidRPr="00180F94">
        <w:t>se för utvecklingen av den ekonomiska styrningen i staten.</w:t>
      </w:r>
    </w:p>
    <w:p w:rsidR="0098144C" w:rsidRPr="00180F94" w:rsidRDefault="0098144C">
      <w:pPr>
        <w:pStyle w:val="Normaltindrag"/>
      </w:pPr>
      <w:r w:rsidRPr="00180F94">
        <w:t>Med anledning av skrivelsen har det väckts två motioner (fp resp. kd). In</w:t>
      </w:r>
      <w:r w:rsidRPr="00180F94">
        <w:t>g</w:t>
      </w:r>
      <w:r w:rsidRPr="00180F94">
        <w:t>en av motionerna berör dock direkt bostadsutskottets beredningsområde.</w:t>
      </w:r>
    </w:p>
    <w:p w:rsidR="0098144C" w:rsidRPr="00180F94" w:rsidRDefault="0098144C">
      <w:pPr>
        <w:pStyle w:val="Normaltindrag"/>
      </w:pPr>
      <w:r w:rsidRPr="00180F94">
        <w:t>Bostadsutskottet har vid sin genomgång av skrivelsen framför allt ägnat uppmärksamhet åt de delar som avser utskottets beredningsområde, dvs. i huvudsak anslag m.m. inom utgiftsområde 18 Samhällsplanering, bostadsfö</w:t>
      </w:r>
      <w:r w:rsidRPr="00180F94">
        <w:t>r</w:t>
      </w:r>
      <w:r w:rsidRPr="00180F94">
        <w:t>sörjning och byggande. Utskottet behandlar mot den bakgrunden inledning</w:t>
      </w:r>
      <w:r w:rsidRPr="00180F94">
        <w:t>s</w:t>
      </w:r>
      <w:r w:rsidRPr="00180F94">
        <w:t>vis regeringens redovisning av statsbudgetens utfall för 2003 när det gäller utgiftsområde 18. I ett andra och sista avsnitt tar utskottet sedan upp de i</w:t>
      </w:r>
      <w:r w:rsidRPr="00180F94">
        <w:t>n</w:t>
      </w:r>
      <w:r w:rsidRPr="00180F94">
        <w:t xml:space="preserve">vändningar mot myndigheternas årsredovisningar som Riksrevisionen fört fram i sina revisionsberättelser. </w:t>
      </w:r>
    </w:p>
    <w:p w:rsidR="0098144C" w:rsidRPr="00180F94" w:rsidRDefault="0098144C">
      <w:pPr>
        <w:pStyle w:val="Rubrik2"/>
      </w:pPr>
      <w:r w:rsidRPr="00180F94">
        <w:t>Statsbudgetens utfall</w:t>
      </w:r>
    </w:p>
    <w:p w:rsidR="0098144C" w:rsidRPr="00180F94" w:rsidRDefault="0098144C">
      <w:r w:rsidRPr="00180F94">
        <w:t>Av regeringens skrivelse framgår att utfallet för utgiftsområde 18 för budge</w:t>
      </w:r>
      <w:r w:rsidRPr="00180F94">
        <w:t>t</w:t>
      </w:r>
      <w:r w:rsidRPr="00180F94">
        <w:t>året 2003 är 677 miljoner kronor lägre än vad som anvisats över statsbudg</w:t>
      </w:r>
      <w:r w:rsidRPr="00180F94">
        <w:t>e</w:t>
      </w:r>
      <w:r w:rsidRPr="00180F94">
        <w:t>ten. Huvuddelen av denna skillnad förklaras av utfallet på två av anslagen inom utgiftsområdet. Det gäller anslagen 31:12 Investeringsbidrag för n</w:t>
      </w:r>
      <w:r w:rsidRPr="00180F94">
        <w:t>y</w:t>
      </w:r>
      <w:r w:rsidRPr="00180F94">
        <w:t xml:space="preserve">byggnad av hyresbostäder samt 21:1 Bostadsbidrag. För det förstnämnda anslaget blev utfallet 384 och för det sistnämnda 234 miljoner kronor lägre än vad som anvisats. </w:t>
      </w:r>
    </w:p>
    <w:p w:rsidR="0098144C" w:rsidRPr="00180F94" w:rsidRDefault="0098144C">
      <w:pPr>
        <w:pStyle w:val="Normaltindrag"/>
      </w:pPr>
      <w:r w:rsidRPr="00180F94">
        <w:t>Som en del i ett fördjupat arbete med uppföljning och utvärdering är det naturligtvis viktigt att följa upp utfallet av st</w:t>
      </w:r>
      <w:r w:rsidRPr="00180F94">
        <w:t>atens budget. Vid sidan av bu</w:t>
      </w:r>
      <w:r w:rsidRPr="00180F94">
        <w:t>d</w:t>
      </w:r>
      <w:r w:rsidRPr="00180F94">
        <w:t>getpropositionen utgör årsredovisningen det viktigaste instrumentet för detta. När det gäller utgiftsområde 18 kan utskottet konstatera att utfallet under senare år regelmässigt blivit lägre än vad som anvisats. Det behöver dock inte med nödvändighet betyda att utgiftsberäkningarna varit mindre goda eller rent av felaktiga. En stor del av de anslag som finns inom utgiftsområdet är rege</w:t>
      </w:r>
      <w:r w:rsidRPr="00180F94">
        <w:t>l</w:t>
      </w:r>
      <w:r w:rsidRPr="00180F94">
        <w:t>styrda och avhängiga den ekonomiska utvecklingen och hur andra aktörer än staten agerar. Mede</w:t>
      </w:r>
      <w:r w:rsidRPr="00180F94">
        <w:t>lsförbrukningen på anslagen kan därför vara svår att i förhand förutse. Detta förhållande utgör självfallet inte ett skäl för att avstå från en analys av vilka orsaker som ligger bakom utfallet. Det är snarare så att  det utgör ett argument för att med hjälp av en sådan analys söka förbättra de prognosmodeller m.m. som ligger bakom anslagsberäkningarna. Denna fråga hänger också intimt samman med hur regeringens resultatredovisning i bu</w:t>
      </w:r>
      <w:r w:rsidRPr="00180F94">
        <w:t>d</w:t>
      </w:r>
      <w:r w:rsidRPr="00180F94">
        <w:t>getpropositionen bör utformas. En adekvat resultatredovisning är naturli</w:t>
      </w:r>
      <w:r w:rsidRPr="00180F94">
        <w:t>gtvis en grundförutsättning för en väl fungerande mål- och resultatstyrning. B</w:t>
      </w:r>
      <w:r w:rsidRPr="00180F94">
        <w:t>o</w:t>
      </w:r>
      <w:r w:rsidRPr="00180F94">
        <w:t>stadsutskottet vill i detta sammanhang erinra om de synpunkter på utfor</w:t>
      </w:r>
      <w:r w:rsidRPr="00180F94">
        <w:t>m</w:t>
      </w:r>
      <w:r w:rsidRPr="00180F94">
        <w:t xml:space="preserve">ningen av budgetpropositionen i detta avseende som utskottet lämnat i sitt anslagsbetänkande för budgetåret 2004 (bet. 2003/04:BoU1 s. 34). </w:t>
      </w:r>
    </w:p>
    <w:p w:rsidR="0098144C" w:rsidRPr="00180F94" w:rsidRDefault="0098144C">
      <w:pPr>
        <w:pStyle w:val="Rubrik2"/>
      </w:pPr>
      <w:r w:rsidRPr="00180F94">
        <w:t>Revisionsberättelser med invändningar</w:t>
      </w:r>
    </w:p>
    <w:p w:rsidR="0098144C" w:rsidRPr="00180F94" w:rsidRDefault="0098144C">
      <w:r w:rsidRPr="00180F94">
        <w:t>Riksrevisionen bedriver revision genom årlig revision och genom effektiv</w:t>
      </w:r>
      <w:r w:rsidRPr="00180F94">
        <w:t>i</w:t>
      </w:r>
      <w:r w:rsidRPr="00180F94">
        <w:t>tetsrevision. Den årliga revisionen avslutas genom uttalande i revisionsberä</w:t>
      </w:r>
      <w:r w:rsidRPr="00180F94">
        <w:t>t</w:t>
      </w:r>
      <w:r w:rsidRPr="00180F94">
        <w:t xml:space="preserve">telser om bl.a. myndigheternas årsredovisningar. För räkenskapsåret 2003 har Riksrevisionen lämnat invändningar i 19 myndigheters revisionsberättelser. År 2002 var antalet invändningar 14. </w:t>
      </w:r>
    </w:p>
    <w:p w:rsidR="0098144C" w:rsidRPr="00180F94" w:rsidRDefault="0098144C">
      <w:pPr>
        <w:pStyle w:val="Normaltindrag"/>
      </w:pPr>
      <w:r w:rsidRPr="00180F94">
        <w:t>När det gäller myndigheterna inom bostadsutskottets beredningsområde har Riksrevisionen lämnat invändningar mot fyra myndigheter, vilket kan jämf</w:t>
      </w:r>
      <w:r w:rsidRPr="00180F94">
        <w:t>ö</w:t>
      </w:r>
      <w:r w:rsidRPr="00180F94">
        <w:t>ras med att inga invändningar lämnades för räkenskapsåret 2002.</w:t>
      </w:r>
    </w:p>
    <w:p w:rsidR="0098144C" w:rsidRPr="00180F94" w:rsidRDefault="0098144C">
      <w:pPr>
        <w:pStyle w:val="Normaltindrag"/>
      </w:pPr>
      <w:r w:rsidRPr="00180F94">
        <w:t xml:space="preserve">Det är naturligtvis oroande att antalet invändningar ökat totalt sett. Inte minst oroande är utvecklingen när det gäller de myndigheter som faller inom bostadsutskottets beredningsområde. Samtidigt finns det enligt utskottets mening anledning att göra en viss skillnad mellan invändningar som är av mera redovisningsmässig natur och sådana invändningar som avser oriktig användning av anvisade medel eller anslagsöverskridande. Även om det i båda </w:t>
      </w:r>
      <w:r w:rsidRPr="00180F94">
        <w:t>fallen finns anledning att se över systemen för styrning och kontroll hos de myndigheter som fått invändningar, är det särskilt viktigt att detta sker när anslag överskridits eller använts på ett icke avsett sätt. Utskottet har också noterat att regeringen aviserar att den i budgetpropositionen för 2005 kommer att ge en bedömning av vilka åtgärder som har vidtagits eller kommer att vidtas med anledning av invändningarna. Utskottet utgår från att regeringens redovisning kommer att belysa frågor om i vilken u</w:t>
      </w:r>
      <w:r w:rsidRPr="00180F94">
        <w:t>tsträckning förhållandena är avhängiga brister i kontroll och styrning eller om det kan finnas andra omvärldsfaktorer som också påverkat myndighetens resultat. Enligt utskottets mening bör det efter en sådan analys och redovisning finnas ett bättre unde</w:t>
      </w:r>
      <w:r w:rsidRPr="00180F94">
        <w:t>r</w:t>
      </w:r>
      <w:r w:rsidRPr="00180F94">
        <w:t>lag för såväl regering som riksdag att bedöma behovet av insatser liksom det framtida medelsbehovet för berörda myndigh</w:t>
      </w:r>
      <w:r w:rsidRPr="00180F94">
        <w:t>e</w:t>
      </w:r>
      <w:r w:rsidRPr="00180F94">
        <w:t xml:space="preserve">ter. </w:t>
      </w:r>
    </w:p>
    <w:p w:rsidR="0098144C" w:rsidRPr="00180F94" w:rsidRDefault="0098144C">
      <w:pPr>
        <w:pStyle w:val="Normaltindrag"/>
      </w:pPr>
    </w:p>
    <w:p w:rsidR="0098144C" w:rsidRPr="00180F94" w:rsidRDefault="0098144C"/>
    <w:p w:rsidR="0098144C" w:rsidRPr="00180F94" w:rsidRDefault="0098144C">
      <w:pPr>
        <w:pStyle w:val="Utskriftsdatum"/>
      </w:pPr>
      <w:r w:rsidRPr="00180F94">
        <w:t>Stockholm den 13 maj 2004</w:t>
      </w:r>
    </w:p>
    <w:p w:rsidR="0098144C" w:rsidRPr="00180F94" w:rsidRDefault="0098144C">
      <w:r w:rsidRPr="00180F94">
        <w:t>På bostadsutskottets vägnar</w:t>
      </w:r>
    </w:p>
    <w:p w:rsidR="0098144C" w:rsidRPr="00180F94" w:rsidRDefault="0098144C">
      <w:pPr>
        <w:pStyle w:val="Ordfranden"/>
        <w:rPr>
          <w:noProof w:val="0"/>
        </w:rPr>
      </w:pPr>
      <w:bookmarkStart w:id="3" w:name="Ordförande"/>
      <w:bookmarkEnd w:id="3"/>
      <w:r w:rsidRPr="00180F94">
        <w:rPr>
          <w:noProof w:val="0"/>
        </w:rPr>
        <w:t xml:space="preserve">Ragnwi Marcelind </w:t>
      </w:r>
    </w:p>
    <w:p w:rsidR="0098144C" w:rsidRPr="00180F94" w:rsidRDefault="0098144C">
      <w:pPr>
        <w:pStyle w:val="Deltagare"/>
        <w:rPr>
          <w:noProof w:val="0"/>
        </w:rPr>
      </w:pPr>
      <w:r w:rsidRPr="00180F94">
        <w:rPr>
          <w:noProof w:val="0"/>
        </w:rPr>
        <w:t>Följande ledamöter har deltagit i beslutet: Ragnwi Marcelind (kd), Owe Hellberg (v), Anders Ygeman (s), Lilian Virgin (s), Marietta de Pourbaix-Lundin (m), Nina Lundström (fp), Siw Wittgren-Ahl (s), Maria Öberg (s), Margareta Pålsson (m), Ingela Thalén (s), Lars Tysklind (fp), Rigmor Stenmark (c), Gunnar Sandberg (s), Peter Danielsson (m), Sten Lundström (v), Helena Hillar Rosenqvist (mp) och Leif Jakobsson (s).</w:t>
      </w:r>
    </w:p>
    <w:p w:rsidR="0098144C" w:rsidRPr="00180F94" w:rsidRDefault="0098144C">
      <w:pPr>
        <w:pStyle w:val="Normaltindrag"/>
      </w:pPr>
    </w:p>
    <w:p w:rsidR="0098144C" w:rsidRPr="00180F94" w:rsidRDefault="0098144C">
      <w:pPr>
        <w:pStyle w:val="Tryckort"/>
        <w:framePr w:wrap="around"/>
      </w:pPr>
      <w:r w:rsidRPr="00180F94">
        <w:t>Elanders Gotab, Stockholm  2004</w:t>
      </w:r>
    </w:p>
    <w:p w:rsidR="0098144C" w:rsidRPr="00180F94" w:rsidRDefault="0098144C">
      <w:pPr>
        <w:pStyle w:val="Normaltindrag"/>
      </w:pPr>
    </w:p>
    <w:sectPr w:rsidR="0098144C" w:rsidRPr="00180F9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44C" w:rsidRPr="00180F94" w:rsidRDefault="0098144C">
      <w:pPr>
        <w:spacing w:before="0" w:line="240" w:lineRule="auto"/>
      </w:pPr>
      <w:r w:rsidRPr="00180F94">
        <w:separator/>
      </w:r>
    </w:p>
  </w:endnote>
  <w:endnote w:type="continuationSeparator" w:id="0">
    <w:p w:rsidR="0098144C" w:rsidRPr="00180F94" w:rsidRDefault="0098144C">
      <w:pPr>
        <w:spacing w:before="0" w:line="240" w:lineRule="auto"/>
      </w:pPr>
      <w:r w:rsidRPr="00180F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fotV"/>
      <w:framePr w:w="8732" w:h="284" w:hRule="exact" w:hSpace="0" w:vSpace="0" w:wrap="around" w:xAlign="inside" w:y="13042" w:anchorLock="0"/>
    </w:pPr>
    <w:r w:rsidRPr="00180F94">
      <w:fldChar w:fldCharType="begin" w:fldLock="1"/>
    </w:r>
    <w:r w:rsidRPr="00180F94">
      <w:instrText xml:space="preserve"> P</w:instrText>
    </w:r>
    <w:r w:rsidRPr="00180F94">
      <w:instrText>A</w:instrText>
    </w:r>
    <w:r w:rsidRPr="00180F94">
      <w:instrText xml:space="preserve">GE </w:instrText>
    </w:r>
    <w:r w:rsidRPr="00180F94">
      <w:fldChar w:fldCharType="separate"/>
    </w:r>
    <w:r w:rsidRPr="00180F94">
      <w:t>2</w:t>
    </w:r>
    <w:r w:rsidRPr="00180F94">
      <w:fldChar w:fldCharType="end"/>
    </w:r>
  </w:p>
  <w:p w:rsidR="0098144C" w:rsidRPr="00180F94" w:rsidRDefault="009814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fotH"/>
      <w:framePr w:w="8732" w:h="284" w:hRule="exact" w:hSpace="0" w:vSpace="0" w:wrap="around" w:xAlign="inside" w:y="13042" w:anchorLock="0"/>
    </w:pPr>
    <w:r w:rsidRPr="00180F94">
      <w:fldChar w:fldCharType="begin" w:fldLock="1"/>
    </w:r>
    <w:r w:rsidRPr="00180F94">
      <w:instrText xml:space="preserve"> P</w:instrText>
    </w:r>
    <w:r w:rsidRPr="00180F94">
      <w:instrText>A</w:instrText>
    </w:r>
    <w:r w:rsidRPr="00180F94">
      <w:instrText xml:space="preserve">GE </w:instrText>
    </w:r>
    <w:r w:rsidRPr="00180F94">
      <w:fldChar w:fldCharType="separate"/>
    </w:r>
    <w:r w:rsidRPr="00180F94">
      <w:t>3</w:t>
    </w:r>
    <w:r w:rsidRPr="00180F94">
      <w:fldChar w:fldCharType="end"/>
    </w:r>
  </w:p>
  <w:p w:rsidR="0098144C" w:rsidRPr="00180F94" w:rsidRDefault="009814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fotV"/>
      <w:framePr w:w="8732" w:h="284" w:hRule="exact" w:hSpace="0" w:vSpace="0" w:wrap="around" w:xAlign="inside" w:y="13042" w:anchorLock="0"/>
    </w:pPr>
    <w:r w:rsidRPr="00180F94">
      <w:fldChar w:fldCharType="begin" w:fldLock="1"/>
    </w:r>
    <w:r w:rsidRPr="00180F94">
      <w:instrText xml:space="preserve"> if </w:instrText>
    </w:r>
    <w:r w:rsidRPr="00180F94">
      <w:fldChar w:fldCharType="begin" w:fldLock="1"/>
    </w:r>
    <w:r w:rsidRPr="00180F94">
      <w:instrText xml:space="preserve"> = </w:instrText>
    </w:r>
    <w:r w:rsidRPr="00180F94">
      <w:fldChar w:fldCharType="begin" w:fldLock="1"/>
    </w:r>
    <w:r w:rsidRPr="00180F94">
      <w:instrText xml:space="preserve"> = </w:instrText>
    </w:r>
    <w:r w:rsidRPr="00180F94">
      <w:fldChar w:fldCharType="begin" w:fldLock="1"/>
    </w:r>
    <w:r w:rsidRPr="00180F94">
      <w:instrText xml:space="preserve"> page</w:instrText>
    </w:r>
    <w:r w:rsidRPr="00180F94">
      <w:fldChar w:fldCharType="separate"/>
    </w:r>
    <w:r w:rsidR="00180F94">
      <w:rPr>
        <w:noProof/>
      </w:rPr>
      <w:instrText>1</w:instrText>
    </w:r>
    <w:r w:rsidRPr="00180F94">
      <w:fldChar w:fldCharType="end"/>
    </w:r>
    <w:r w:rsidRPr="00180F94">
      <w:instrText xml:space="preserve">/2 </w:instrText>
    </w:r>
    <w:r w:rsidRPr="00180F94">
      <w:fldChar w:fldCharType="separate"/>
    </w:r>
    <w:r w:rsidR="00180F94">
      <w:rPr>
        <w:noProof/>
      </w:rPr>
      <w:instrText>0,5</w:instrText>
    </w:r>
    <w:r w:rsidRPr="00180F94">
      <w:fldChar w:fldCharType="end"/>
    </w:r>
    <w:r w:rsidRPr="00180F94">
      <w:instrText xml:space="preserve"> - </w:instrText>
    </w:r>
    <w:r w:rsidRPr="00180F94">
      <w:fldChar w:fldCharType="begin" w:fldLock="1"/>
    </w:r>
    <w:r w:rsidRPr="00180F94">
      <w:instrText xml:space="preserve"> = int(</w:instrText>
    </w:r>
    <w:r w:rsidRPr="00180F94">
      <w:fldChar w:fldCharType="begin" w:fldLock="1"/>
    </w:r>
    <w:r w:rsidRPr="00180F94">
      <w:instrText xml:space="preserve"> page</w:instrText>
    </w:r>
    <w:r w:rsidRPr="00180F94">
      <w:fldChar w:fldCharType="separate"/>
    </w:r>
    <w:r w:rsidR="00180F94">
      <w:rPr>
        <w:noProof/>
      </w:rPr>
      <w:instrText>1</w:instrText>
    </w:r>
    <w:r w:rsidRPr="00180F94">
      <w:fldChar w:fldCharType="end"/>
    </w:r>
    <w:r w:rsidRPr="00180F94">
      <w:instrText xml:space="preserve">/2) </w:instrText>
    </w:r>
    <w:r w:rsidRPr="00180F94">
      <w:fldChar w:fldCharType="separate"/>
    </w:r>
    <w:r w:rsidR="00180F94">
      <w:rPr>
        <w:noProof/>
      </w:rPr>
      <w:instrText>0</w:instrText>
    </w:r>
    <w:r w:rsidRPr="00180F94">
      <w:fldChar w:fldCharType="end"/>
    </w:r>
    <w:r w:rsidRPr="00180F94">
      <w:fldChar w:fldCharType="separate"/>
    </w:r>
    <w:r w:rsidR="00180F94">
      <w:rPr>
        <w:noProof/>
      </w:rPr>
      <w:instrText>0,5</w:instrText>
    </w:r>
    <w:r w:rsidRPr="00180F94">
      <w:fldChar w:fldCharType="end"/>
    </w:r>
    <w:r w:rsidRPr="00180F94">
      <w:instrText xml:space="preserve"> = 0 "</w:instrText>
    </w:r>
    <w:r w:rsidRPr="00180F94">
      <w:fldChar w:fldCharType="begin" w:fldLock="1"/>
    </w:r>
    <w:r w:rsidRPr="00180F94">
      <w:instrText xml:space="preserve"> P</w:instrText>
    </w:r>
    <w:r w:rsidRPr="00180F94">
      <w:instrText>A</w:instrText>
    </w:r>
    <w:r w:rsidRPr="00180F94">
      <w:instrText xml:space="preserve">GE </w:instrText>
    </w:r>
    <w:r w:rsidRPr="00180F94">
      <w:fldChar w:fldCharType="separate"/>
    </w:r>
    <w:r w:rsidRPr="00180F94">
      <w:instrText>4</w:instrText>
    </w:r>
    <w:r w:rsidRPr="00180F94">
      <w:fldChar w:fldCharType="end"/>
    </w:r>
  </w:p>
  <w:p w:rsidR="0098144C" w:rsidRPr="00180F94" w:rsidRDefault="0098144C">
    <w:pPr>
      <w:pStyle w:val="SidfotH"/>
      <w:framePr w:w="8732" w:h="284" w:hRule="exact" w:hSpace="0" w:vSpace="0" w:wrap="around" w:xAlign="inside" w:y="13042" w:anchorLock="0"/>
    </w:pPr>
    <w:r w:rsidRPr="00180F94">
      <w:instrText>""</w:instrText>
    </w:r>
    <w:r w:rsidRPr="00180F94">
      <w:fldChar w:fldCharType="begin" w:fldLock="1"/>
    </w:r>
    <w:r w:rsidRPr="00180F94">
      <w:instrText xml:space="preserve"> P</w:instrText>
    </w:r>
    <w:r w:rsidRPr="00180F94">
      <w:instrText>A</w:instrText>
    </w:r>
    <w:r w:rsidRPr="00180F94">
      <w:instrText xml:space="preserve">GE </w:instrText>
    </w:r>
    <w:r w:rsidRPr="00180F94">
      <w:fldChar w:fldCharType="separate"/>
    </w:r>
    <w:r w:rsidR="00180F94">
      <w:rPr>
        <w:noProof/>
      </w:rPr>
      <w:instrText>1</w:instrText>
    </w:r>
    <w:r w:rsidRPr="00180F94">
      <w:fldChar w:fldCharType="end"/>
    </w:r>
    <w:r w:rsidRPr="00180F94">
      <w:instrText>"</w:instrText>
    </w:r>
    <w:r w:rsidRPr="00180F94">
      <w:fldChar w:fldCharType="separate"/>
    </w:r>
    <w:r w:rsidR="00180F94">
      <w:rPr>
        <w:noProof/>
      </w:rPr>
      <w:t>1</w:t>
    </w:r>
    <w:r w:rsidRPr="00180F94">
      <w:fldChar w:fldCharType="end"/>
    </w:r>
  </w:p>
  <w:p w:rsidR="0098144C" w:rsidRPr="00180F94" w:rsidRDefault="00981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44C" w:rsidRPr="00180F94" w:rsidRDefault="0098144C">
      <w:pPr>
        <w:pStyle w:val="Sidfot"/>
      </w:pPr>
    </w:p>
  </w:footnote>
  <w:footnote w:type="continuationSeparator" w:id="0">
    <w:p w:rsidR="0098144C" w:rsidRPr="00180F94" w:rsidRDefault="0098144C">
      <w:pPr>
        <w:spacing w:before="0" w:line="240" w:lineRule="auto"/>
      </w:pPr>
      <w:r w:rsidRPr="00180F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huvudKantJmn"/>
      <w:framePr w:w="8732" w:h="567" w:hRule="exact" w:vSpace="0" w:wrap="around" w:vAnchor="page" w:y="341" w:anchorLock="0"/>
    </w:pPr>
    <w:r w:rsidRPr="00180F94">
      <w:rPr>
        <w:rStyle w:val="SidhuvudUtskott"/>
      </w:rPr>
      <w:t>2003/04:BoU6y</w:t>
    </w:r>
    <w:r w:rsidRPr="00180F94">
      <w:t xml:space="preserve">     </w:t>
    </w:r>
    <w:r w:rsidRPr="00180F94">
      <w:rPr>
        <w:rStyle w:val="SidhuvudBilaga"/>
      </w:rPr>
      <w:t xml:space="preserve"> </w:t>
    </w:r>
    <w:r w:rsidRPr="00180F94">
      <w:rPr>
        <w:rStyle w:val="SidhuvudRubrikReferens"/>
      </w:rPr>
      <w:t>Utskottets överväganden</w:t>
    </w:r>
  </w:p>
  <w:p w:rsidR="0098144C" w:rsidRPr="00180F94" w:rsidRDefault="0098144C">
    <w:pPr>
      <w:pStyle w:val="SidhuvudKantJmn"/>
      <w:framePr w:w="8732" w:h="567" w:hRule="exact" w:vSpace="0" w:wrap="around" w:vAnchor="page" w:y="341" w:anchorLock="0"/>
    </w:pPr>
  </w:p>
  <w:p w:rsidR="0098144C" w:rsidRPr="00180F94" w:rsidRDefault="0098144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huvudKantUdda"/>
      <w:framePr w:w="8732" w:h="567" w:hRule="exact" w:vSpace="0" w:wrap="around" w:vAnchor="page" w:y="341" w:anchorLock="0"/>
    </w:pPr>
    <w:r w:rsidRPr="00180F94">
      <w:rPr>
        <w:rStyle w:val="SidhuvudRubrikReferens"/>
      </w:rPr>
      <w:t>Utskottets överväganden</w:t>
    </w:r>
    <w:r w:rsidRPr="00180F94">
      <w:rPr>
        <w:rStyle w:val="SidhuvudBilaga"/>
      </w:rPr>
      <w:t xml:space="preserve"> </w:t>
    </w:r>
    <w:r w:rsidRPr="00180F94">
      <w:t xml:space="preserve">     </w:t>
    </w:r>
    <w:r w:rsidRPr="00180F94">
      <w:rPr>
        <w:rStyle w:val="SidhuvudUtskott"/>
      </w:rPr>
      <w:t>2003/04:BoU6y</w:t>
    </w:r>
  </w:p>
  <w:p w:rsidR="0098144C" w:rsidRPr="00180F94" w:rsidRDefault="0098144C">
    <w:pPr>
      <w:pStyle w:val="SidhuvudKantUdda"/>
      <w:framePr w:w="8732" w:h="567" w:hRule="exact" w:vSpace="0" w:wrap="around" w:vAnchor="page" w:y="341" w:anchorLock="0"/>
    </w:pPr>
  </w:p>
  <w:p w:rsidR="0098144C" w:rsidRPr="00180F94" w:rsidRDefault="0098144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44C" w:rsidRPr="00180F94" w:rsidRDefault="0098144C">
    <w:pPr>
      <w:pStyle w:val="SidhuvudKantUdda"/>
      <w:framePr w:w="8732" w:h="567" w:hRule="exact" w:vSpace="0" w:wrap="around" w:vAnchor="page" w:y="341" w:anchorLock="0"/>
    </w:pPr>
    <w:r w:rsidRPr="00180F94">
      <w:t xml:space="preserve"> </w:t>
    </w:r>
  </w:p>
  <w:p w:rsidR="0098144C" w:rsidRPr="00180F94" w:rsidRDefault="0098144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77303717">
    <w:abstractNumId w:val="10"/>
  </w:num>
  <w:num w:numId="2" w16cid:durableId="943150677">
    <w:abstractNumId w:val="8"/>
  </w:num>
  <w:num w:numId="3" w16cid:durableId="895896858">
    <w:abstractNumId w:val="3"/>
  </w:num>
  <w:num w:numId="4" w16cid:durableId="338167479">
    <w:abstractNumId w:val="2"/>
  </w:num>
  <w:num w:numId="5" w16cid:durableId="958755404">
    <w:abstractNumId w:val="1"/>
  </w:num>
  <w:num w:numId="6" w16cid:durableId="278420406">
    <w:abstractNumId w:val="0"/>
  </w:num>
  <w:num w:numId="7" w16cid:durableId="795220715">
    <w:abstractNumId w:val="9"/>
  </w:num>
  <w:num w:numId="8" w16cid:durableId="1913930490">
    <w:abstractNumId w:val="7"/>
  </w:num>
  <w:num w:numId="9" w16cid:durableId="833301874">
    <w:abstractNumId w:val="6"/>
  </w:num>
  <w:num w:numId="10" w16cid:durableId="451746541">
    <w:abstractNumId w:val="5"/>
  </w:num>
  <w:num w:numId="11" w16cid:durableId="91436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803918"/>
    <w:rsid w:val="00180F94"/>
    <w:rsid w:val="00803918"/>
    <w:rsid w:val="00981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35F2F-8CBC-4B27-B4A9-93CA44B4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6141</Characters>
  <Application>Microsoft Office Word</Application>
  <DocSecurity>4</DocSecurity>
  <Lines>122</Lines>
  <Paragraphs>27</Paragraphs>
  <ScaleCrop>false</ScaleCrop>
  <HeadingPairs>
    <vt:vector size="2" baseType="variant">
      <vt:variant>
        <vt:lpstr>Title</vt:lpstr>
      </vt:variant>
      <vt:variant>
        <vt:i4>1</vt:i4>
      </vt:variant>
    </vt:vector>
  </HeadingPairs>
  <TitlesOfParts>
    <vt:vector size="1" baseType="lpstr">
      <vt:lpstr>Bostadsutskottets yttrande</vt:lpstr>
    </vt:vector>
  </TitlesOfParts>
  <Company>Riksdagen</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dc:description/>
  <cp:lastModifiedBy>Lars Brink</cp:lastModifiedBy>
  <cp:revision>2</cp:revision>
  <cp:lastPrinted>2004-05-13T12:25:00Z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