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C0159" w:rsidP="007242A3">
            <w:pPr>
              <w:framePr w:w="5035" w:h="1644" w:wrap="notBeside" w:vAnchor="page" w:hAnchor="page" w:x="6573" w:y="721"/>
              <w:rPr>
                <w:sz w:val="20"/>
              </w:rPr>
            </w:pPr>
            <w:r>
              <w:rPr>
                <w:sz w:val="20"/>
              </w:rPr>
              <w:t>Dnr S2017/04642/FS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C0159" w:rsidP="00B47CC6">
            <w:pPr>
              <w:pStyle w:val="Avsndare"/>
              <w:framePr w:h="2483" w:wrap="notBeside" w:x="1478" w:y="1966"/>
              <w:rPr>
                <w:b/>
                <w:i w:val="0"/>
                <w:sz w:val="22"/>
              </w:rPr>
            </w:pPr>
            <w:r>
              <w:rPr>
                <w:b/>
                <w:i w:val="0"/>
                <w:sz w:val="22"/>
              </w:rPr>
              <w:t>Socialdepartementet</w:t>
            </w:r>
          </w:p>
        </w:tc>
      </w:tr>
      <w:tr w:rsidR="006E4E11">
        <w:trPr>
          <w:trHeight w:val="284"/>
        </w:trPr>
        <w:tc>
          <w:tcPr>
            <w:tcW w:w="4911" w:type="dxa"/>
          </w:tcPr>
          <w:p w:rsidR="006E4E11" w:rsidRDefault="009C0159" w:rsidP="00B47CC6">
            <w:pPr>
              <w:pStyle w:val="Avsndare"/>
              <w:framePr w:h="2483" w:wrap="notBeside" w:x="1478" w:y="1966"/>
              <w:rPr>
                <w:bCs/>
                <w:iCs/>
              </w:rPr>
            </w:pPr>
            <w:r>
              <w:rPr>
                <w:bCs/>
                <w:iCs/>
              </w:rPr>
              <w:t>Socialministern</w:t>
            </w:r>
          </w:p>
        </w:tc>
      </w:tr>
      <w:tr w:rsidR="00B47CC6">
        <w:trPr>
          <w:trHeight w:val="284"/>
        </w:trPr>
        <w:tc>
          <w:tcPr>
            <w:tcW w:w="4911" w:type="dxa"/>
          </w:tcPr>
          <w:tbl>
            <w:tblPr>
              <w:tblW w:w="0" w:type="auto"/>
              <w:tblLayout w:type="fixed"/>
              <w:tblLook w:val="0000" w:firstRow="0" w:lastRow="0" w:firstColumn="0" w:lastColumn="0" w:noHBand="0" w:noVBand="0"/>
            </w:tblPr>
            <w:tblGrid>
              <w:gridCol w:w="4911"/>
            </w:tblGrid>
            <w:tr w:rsidR="00B47CC6" w:rsidRPr="001F0845" w:rsidTr="006723C9">
              <w:trPr>
                <w:trHeight w:val="284"/>
              </w:trPr>
              <w:tc>
                <w:tcPr>
                  <w:tcW w:w="4911" w:type="dxa"/>
                </w:tcPr>
                <w:p w:rsidR="00B47CC6" w:rsidRPr="001F0845" w:rsidRDefault="00B47CC6" w:rsidP="00B47CC6">
                  <w:pPr>
                    <w:pStyle w:val="Avsndare"/>
                    <w:framePr w:h="2483" w:wrap="notBeside" w:x="1478" w:y="1966"/>
                    <w:rPr>
                      <w:bCs/>
                      <w:iCs/>
                    </w:rPr>
                  </w:pPr>
                </w:p>
              </w:tc>
            </w:tr>
            <w:tr w:rsidR="00B47CC6" w:rsidRPr="001F0845" w:rsidTr="006723C9">
              <w:trPr>
                <w:trHeight w:val="284"/>
              </w:trPr>
              <w:tc>
                <w:tcPr>
                  <w:tcW w:w="4911" w:type="dxa"/>
                </w:tcPr>
                <w:p w:rsidR="00B47CC6" w:rsidRPr="001F0845" w:rsidRDefault="00B47CC6" w:rsidP="00B47CC6">
                  <w:pPr>
                    <w:pStyle w:val="Avsndare"/>
                    <w:framePr w:h="2483" w:wrap="notBeside" w:x="1478" w:y="1966"/>
                    <w:rPr>
                      <w:bCs/>
                      <w:iCs/>
                    </w:rPr>
                  </w:pPr>
                </w:p>
              </w:tc>
            </w:tr>
            <w:tr w:rsidR="00B47CC6" w:rsidRPr="001F0845" w:rsidTr="006723C9">
              <w:trPr>
                <w:trHeight w:val="284"/>
              </w:trPr>
              <w:tc>
                <w:tcPr>
                  <w:tcW w:w="4911" w:type="dxa"/>
                </w:tcPr>
                <w:p w:rsidR="00B47CC6" w:rsidRPr="001F0845" w:rsidRDefault="00B47CC6" w:rsidP="00B47CC6">
                  <w:pPr>
                    <w:pStyle w:val="Avsndare"/>
                    <w:framePr w:h="2483" w:wrap="notBeside" w:x="1478" w:y="1966"/>
                    <w:rPr>
                      <w:bCs/>
                      <w:iCs/>
                    </w:rPr>
                  </w:pPr>
                </w:p>
              </w:tc>
            </w:tr>
          </w:tbl>
          <w:p w:rsidR="00B47CC6" w:rsidRDefault="00B47CC6" w:rsidP="00B47CC6">
            <w:pPr>
              <w:pStyle w:val="Avsndare"/>
              <w:framePr w:h="2483" w:wrap="notBeside" w:x="1478" w:y="1966"/>
              <w:rPr>
                <w:bCs/>
                <w:iCs/>
              </w:rPr>
            </w:pPr>
          </w:p>
        </w:tc>
      </w:tr>
      <w:tr w:rsidR="00B47CC6">
        <w:trPr>
          <w:trHeight w:val="284"/>
        </w:trPr>
        <w:tc>
          <w:tcPr>
            <w:tcW w:w="4911" w:type="dxa"/>
          </w:tcPr>
          <w:tbl>
            <w:tblPr>
              <w:tblW w:w="0" w:type="auto"/>
              <w:tblLayout w:type="fixed"/>
              <w:tblLook w:val="0000" w:firstRow="0" w:lastRow="0" w:firstColumn="0" w:lastColumn="0" w:noHBand="0" w:noVBand="0"/>
            </w:tblPr>
            <w:tblGrid>
              <w:gridCol w:w="4911"/>
            </w:tblGrid>
            <w:tr w:rsidR="00B47CC6" w:rsidRPr="001F0845" w:rsidTr="006723C9">
              <w:trPr>
                <w:trHeight w:val="284"/>
              </w:trPr>
              <w:tc>
                <w:tcPr>
                  <w:tcW w:w="4911" w:type="dxa"/>
                </w:tcPr>
                <w:p w:rsidR="00B47CC6" w:rsidRPr="001F0845" w:rsidRDefault="00B47CC6" w:rsidP="00B47CC6">
                  <w:pPr>
                    <w:pStyle w:val="Avsndare"/>
                    <w:framePr w:h="2483" w:wrap="notBeside" w:x="1478" w:y="1966"/>
                    <w:rPr>
                      <w:bCs/>
                      <w:iCs/>
                    </w:rPr>
                  </w:pPr>
                </w:p>
              </w:tc>
            </w:tr>
            <w:tr w:rsidR="00B47CC6" w:rsidRPr="001F0845" w:rsidTr="006723C9">
              <w:trPr>
                <w:trHeight w:val="284"/>
              </w:trPr>
              <w:tc>
                <w:tcPr>
                  <w:tcW w:w="4911" w:type="dxa"/>
                </w:tcPr>
                <w:p w:rsidR="00B47CC6" w:rsidRPr="001F0845" w:rsidRDefault="00B47CC6" w:rsidP="00B47CC6">
                  <w:pPr>
                    <w:pStyle w:val="Avsndare"/>
                    <w:framePr w:h="2483" w:wrap="notBeside" w:x="1478" w:y="1966"/>
                    <w:rPr>
                      <w:bCs/>
                      <w:iCs/>
                    </w:rPr>
                  </w:pPr>
                </w:p>
              </w:tc>
            </w:tr>
            <w:tr w:rsidR="00B47CC6" w:rsidRPr="001F0845" w:rsidTr="006723C9">
              <w:trPr>
                <w:trHeight w:val="284"/>
              </w:trPr>
              <w:tc>
                <w:tcPr>
                  <w:tcW w:w="4911" w:type="dxa"/>
                </w:tcPr>
                <w:p w:rsidR="00B47CC6" w:rsidRPr="001F0845" w:rsidRDefault="00B47CC6" w:rsidP="00B47CC6">
                  <w:pPr>
                    <w:pStyle w:val="Avsndare"/>
                    <w:framePr w:h="2483" w:wrap="notBeside" w:x="1478" w:y="1966"/>
                    <w:rPr>
                      <w:bCs/>
                      <w:iCs/>
                    </w:rPr>
                  </w:pPr>
                </w:p>
              </w:tc>
            </w:tr>
          </w:tbl>
          <w:p w:rsidR="00B47CC6" w:rsidRDefault="00B47CC6" w:rsidP="00B47CC6">
            <w:pPr>
              <w:pStyle w:val="Avsndare"/>
              <w:framePr w:h="2483" w:wrap="notBeside" w:x="1478" w:y="1966"/>
              <w:rPr>
                <w:bCs/>
                <w:iCs/>
              </w:rPr>
            </w:pPr>
          </w:p>
        </w:tc>
      </w:tr>
      <w:tr w:rsidR="006E4E11">
        <w:trPr>
          <w:trHeight w:val="284"/>
        </w:trPr>
        <w:tc>
          <w:tcPr>
            <w:tcW w:w="4911" w:type="dxa"/>
          </w:tcPr>
          <w:p w:rsidR="006E4E11" w:rsidRDefault="006E4E11" w:rsidP="00B47CC6">
            <w:pPr>
              <w:pStyle w:val="Avsndare"/>
              <w:framePr w:h="2483" w:wrap="notBeside" w:x="1478" w:y="1966"/>
              <w:rPr>
                <w:bCs/>
                <w:iCs/>
              </w:rPr>
            </w:pPr>
          </w:p>
        </w:tc>
      </w:tr>
      <w:tr w:rsidR="006E4E11">
        <w:trPr>
          <w:trHeight w:val="284"/>
        </w:trPr>
        <w:tc>
          <w:tcPr>
            <w:tcW w:w="4911" w:type="dxa"/>
          </w:tcPr>
          <w:p w:rsidR="006E4E11" w:rsidRDefault="006E4E11" w:rsidP="00B47CC6">
            <w:pPr>
              <w:pStyle w:val="Avsndare"/>
              <w:framePr w:h="2483" w:wrap="notBeside" w:x="1478" w:y="1966"/>
              <w:rPr>
                <w:bCs/>
                <w:iCs/>
              </w:rPr>
            </w:pPr>
          </w:p>
        </w:tc>
      </w:tr>
      <w:tr w:rsidR="006E4E11">
        <w:trPr>
          <w:trHeight w:val="284"/>
        </w:trPr>
        <w:tc>
          <w:tcPr>
            <w:tcW w:w="4911" w:type="dxa"/>
          </w:tcPr>
          <w:p w:rsidR="006E4E11" w:rsidRDefault="006E4E11" w:rsidP="00B47CC6">
            <w:pPr>
              <w:pStyle w:val="Avsndare"/>
              <w:framePr w:h="2483" w:wrap="notBeside" w:x="1478" w:y="1966"/>
              <w:rPr>
                <w:bCs/>
                <w:iCs/>
              </w:rPr>
            </w:pPr>
          </w:p>
        </w:tc>
      </w:tr>
      <w:tr w:rsidR="006E4E11">
        <w:trPr>
          <w:trHeight w:val="284"/>
        </w:trPr>
        <w:tc>
          <w:tcPr>
            <w:tcW w:w="4911" w:type="dxa"/>
          </w:tcPr>
          <w:p w:rsidR="006E4E11" w:rsidRDefault="006E4E11" w:rsidP="00B47CC6">
            <w:pPr>
              <w:pStyle w:val="Avsndare"/>
              <w:framePr w:h="2483" w:wrap="notBeside" w:x="1478" w:y="1966"/>
              <w:rPr>
                <w:bCs/>
                <w:iCs/>
              </w:rPr>
            </w:pPr>
          </w:p>
        </w:tc>
      </w:tr>
      <w:tr w:rsidR="006E4E11">
        <w:trPr>
          <w:trHeight w:val="284"/>
        </w:trPr>
        <w:tc>
          <w:tcPr>
            <w:tcW w:w="4911" w:type="dxa"/>
          </w:tcPr>
          <w:p w:rsidR="006E4E11" w:rsidRDefault="006E4E11" w:rsidP="00B47CC6">
            <w:pPr>
              <w:pStyle w:val="Avsndare"/>
              <w:framePr w:h="2483" w:wrap="notBeside" w:x="1478" w:y="1966"/>
              <w:rPr>
                <w:bCs/>
                <w:iCs/>
              </w:rPr>
            </w:pPr>
          </w:p>
        </w:tc>
      </w:tr>
    </w:tbl>
    <w:p w:rsidR="006E4E11" w:rsidRDefault="009C0159">
      <w:pPr>
        <w:framePr w:w="4400" w:h="2523" w:wrap="notBeside" w:vAnchor="page" w:hAnchor="page" w:x="6453" w:y="2445"/>
        <w:ind w:left="142"/>
      </w:pPr>
      <w:r>
        <w:t>Till riksdagen</w:t>
      </w:r>
    </w:p>
    <w:p w:rsidR="006E4E11" w:rsidRDefault="009C0159" w:rsidP="009C0159">
      <w:pPr>
        <w:pStyle w:val="RKrubrik"/>
        <w:pBdr>
          <w:bottom w:val="single" w:sz="4" w:space="1" w:color="auto"/>
        </w:pBdr>
        <w:spacing w:before="0" w:after="0"/>
      </w:pPr>
      <w:r>
        <w:t>Svar på fråga 2016/17:1830 av Cecilia Widegren (M) Gårdsförsäljning som stärker Sverige och Skaraborg</w:t>
      </w:r>
    </w:p>
    <w:p w:rsidR="006E4E11" w:rsidRDefault="006E4E11">
      <w:pPr>
        <w:pStyle w:val="RKnormal"/>
      </w:pPr>
    </w:p>
    <w:p w:rsidR="006E4E11" w:rsidRDefault="009C0159">
      <w:pPr>
        <w:pStyle w:val="RKnormal"/>
      </w:pPr>
      <w:r>
        <w:t>Cecilia Widegren har frågat mig vilka konkreta åtgärder jag och regeringen avser att vidta för att tillvarata potentialen på den svenska landsbygden, exempelvis småbryggerier, och om jag avser att möjliggöra gårdsförsäljning likt övriga Europa.</w:t>
      </w:r>
    </w:p>
    <w:p w:rsidR="009C0159" w:rsidRDefault="009C0159">
      <w:pPr>
        <w:pStyle w:val="RKnormal"/>
      </w:pPr>
    </w:p>
    <w:p w:rsidR="009C0159" w:rsidRDefault="009C0159" w:rsidP="009C0159">
      <w:pPr>
        <w:pStyle w:val="RKnormal"/>
      </w:pPr>
      <w:r>
        <w:t xml:space="preserve">Cecilia Widegren hänvisar i sin fråga till att gårdsförsäljning är tillåtet i Finland och att det därmed inte borde vara några problem för Sverige att göra samma sak. </w:t>
      </w:r>
    </w:p>
    <w:p w:rsidR="009C0159" w:rsidRDefault="009C0159" w:rsidP="009C0159">
      <w:pPr>
        <w:pStyle w:val="RKnormal"/>
      </w:pPr>
    </w:p>
    <w:p w:rsidR="00A94870" w:rsidRDefault="009C0159" w:rsidP="00A94870">
      <w:pPr>
        <w:pStyle w:val="RKnormal"/>
      </w:pPr>
      <w:r>
        <w:t xml:space="preserve">Jag vill därför inleda med några klargöranden avseende den finska regleringen av gårdsförsäljning. Den finska </w:t>
      </w:r>
      <w:r w:rsidRPr="009C0159">
        <w:t xml:space="preserve">definitionen </w:t>
      </w:r>
      <w:r>
        <w:t xml:space="preserve">av gårdsförsäljning </w:t>
      </w:r>
      <w:r w:rsidRPr="009C0159">
        <w:t xml:space="preserve">anger att framställningen </w:t>
      </w:r>
      <w:r>
        <w:t xml:space="preserve">av de aktuella dryckerna </w:t>
      </w:r>
      <w:r w:rsidRPr="009C0159">
        <w:t xml:space="preserve">ska göras på bär och frukter samt aromgivande växtdelar vilka härstammar från en </w:t>
      </w:r>
      <w:proofErr w:type="spellStart"/>
      <w:r w:rsidRPr="009C0159">
        <w:t>växtzon</w:t>
      </w:r>
      <w:proofErr w:type="spellEnd"/>
      <w:r w:rsidRPr="009C0159">
        <w:t xml:space="preserve"> inom det Europeiska ekonomiska samarbetsområdet, vars karakteristiska drag genereras norr om den sextionde nordliga breddgraden.</w:t>
      </w:r>
      <w:r>
        <w:t xml:space="preserve"> Produkter som omfattas av bestämmelsen ska bestå av minst femtio procent frukt eller bär och får inte innehålla mer än 13 volymprocent alkohol.</w:t>
      </w:r>
      <w:r w:rsidR="00A94870">
        <w:t xml:space="preserve"> Den </w:t>
      </w:r>
      <w:r w:rsidR="00AC38FD">
        <w:t>f</w:t>
      </w:r>
      <w:r w:rsidR="00A94870">
        <w:t>inska regleringen är sålunda utformad på ett sätt som gör att en motsvarande reglering i Sverige inte skulle omfatta de vingårdar som vill ha rätt att sälja sina produkter från egen gård. Det finska exemplet är därför inte relevant för Sverige.</w:t>
      </w:r>
    </w:p>
    <w:p w:rsidR="009C0159" w:rsidRDefault="009C0159" w:rsidP="009C0159">
      <w:pPr>
        <w:pStyle w:val="RKnormal"/>
      </w:pPr>
    </w:p>
    <w:p w:rsidR="009C0159" w:rsidRDefault="00A94870" w:rsidP="009C0159">
      <w:pPr>
        <w:pStyle w:val="RKnormal"/>
      </w:pPr>
      <w:r>
        <w:t xml:space="preserve">Cecilia Widegren hänvisar även till den utredning, </w:t>
      </w:r>
      <w:r w:rsidR="009C0159">
        <w:t>som senast analyserat förutsättningar för att tillåta gårdsförsäljning i Sverige</w:t>
      </w:r>
      <w:r>
        <w:t xml:space="preserve">. Utredningen </w:t>
      </w:r>
      <w:r w:rsidR="009C0159">
        <w:t>konstatera</w:t>
      </w:r>
      <w:r>
        <w:t>de</w:t>
      </w:r>
      <w:r w:rsidR="009C0159">
        <w:t xml:space="preserve"> att den finska lagstiftningen vilar på osäker grund. Utredningens förslag utgår därför från de EU-rättsliga krav som torde ställas på en EU-rättslig legitim reglering av gårdsförsäljning. </w:t>
      </w:r>
    </w:p>
    <w:p w:rsidR="009C0159" w:rsidRDefault="009C0159" w:rsidP="009C0159">
      <w:pPr>
        <w:pStyle w:val="RKnormal"/>
      </w:pPr>
    </w:p>
    <w:p w:rsidR="009C0159" w:rsidRDefault="009C0159" w:rsidP="009C0159">
      <w:pPr>
        <w:pStyle w:val="RKnormal"/>
      </w:pPr>
      <w:r>
        <w:t xml:space="preserve">Utredningen konstaterar för det första att gårdsförsäljning inte bara kan begränsas till alkoholdrycker som har tillverkats på den egna gården i Sverige, utan att även utländska tillverkare ska ges möjlighet att bedriva gårdsförsäljning av sina egenproducerade alkoholdrycker här i Sverige. Det innebär bl.a. att den som bedriver försäljning av egenproducerade drycker också ska ha möjlighet att sälja inte bara alkoholdrycker som han eller hon själv har tillverkat, utan också alkoholdrycker som har tillverkats av andra, såväl inhemska som utländska producenter. </w:t>
      </w:r>
    </w:p>
    <w:p w:rsidR="009C0159" w:rsidRDefault="009C0159" w:rsidP="009C0159">
      <w:pPr>
        <w:pStyle w:val="RKnormal"/>
      </w:pPr>
    </w:p>
    <w:p w:rsidR="009C0159" w:rsidRDefault="009C0159" w:rsidP="009C0159">
      <w:pPr>
        <w:pStyle w:val="RKnormal"/>
      </w:pPr>
      <w:r>
        <w:t>Utredningen konstaterar vidare att försäljningen inte kan begränsas till att avse försäljning från en gård på landet. Det innebär att gårdsförsäljning skulle omfatta försäljning från t.ex. bryggerier eller andra tillverkare som har sitt säte i tätorter. Likaså skulle gårdsförsäljning inte begränsas vad avser alkoholhalt, vilket innebär att även sprit skulle kunna säljas vid sidan av Systembolaget.</w:t>
      </w:r>
    </w:p>
    <w:p w:rsidR="009C0159" w:rsidRDefault="009C0159" w:rsidP="009C0159">
      <w:pPr>
        <w:pStyle w:val="RKnormal"/>
      </w:pPr>
    </w:p>
    <w:p w:rsidR="009C0159" w:rsidRDefault="009C0159" w:rsidP="009C0159">
      <w:pPr>
        <w:pStyle w:val="RKnormal"/>
      </w:pPr>
      <w:r>
        <w:t>Slutligen föreslår utredningen en rad begränsningar som bl.a. innebär att gårdsförsäljningen bara ska kunna ske i samband med studiebesök på tillverkningsstället, föreläsning eller någon annan liknande upplevelsetjänst med anknytning till de aktuella dryckerna och att säljaren måste ta betalt för denna tjänst så att den inte används i marknadsföringssyfte.</w:t>
      </w:r>
    </w:p>
    <w:p w:rsidR="009C0159" w:rsidRDefault="009C0159" w:rsidP="009C0159">
      <w:pPr>
        <w:pStyle w:val="RKnormal"/>
      </w:pPr>
    </w:p>
    <w:p w:rsidR="009C0159" w:rsidRDefault="009C0159" w:rsidP="009C0159">
      <w:pPr>
        <w:pStyle w:val="RKnormal"/>
      </w:pPr>
      <w:r>
        <w:t>Regeringen kan således konstatera att gårdsförsäljningen inte kan reduceras till en fråga som bara rör vinproducenter på den svenska landsbygden. Det handlar i stället om att öppna upp en försäljningskanal för alla typer av alkoholdrycker, för såväl svenska som utländska producenter, både på landsbygden och i tätorter. Det är därmed inte osannolikt att merparten av försäljningen de facto kan komma att ske i städer och tätorter snarare än på landsbygden, då tätorter skulle ge större försäljningsmöjligheter än landsbygden.</w:t>
      </w:r>
    </w:p>
    <w:p w:rsidR="009C0159" w:rsidRDefault="009C0159" w:rsidP="009C0159">
      <w:pPr>
        <w:pStyle w:val="RKnormal"/>
      </w:pPr>
    </w:p>
    <w:p w:rsidR="009C0159" w:rsidRDefault="00A546D1" w:rsidP="009C0159">
      <w:pPr>
        <w:pStyle w:val="RKnormal"/>
      </w:pPr>
      <w:r>
        <w:t>Jag håller med</w:t>
      </w:r>
      <w:r w:rsidR="008A564E">
        <w:t xml:space="preserve"> Cecilia Widegren </w:t>
      </w:r>
      <w:r>
        <w:t>om att det finns</w:t>
      </w:r>
      <w:r w:rsidR="009C0159">
        <w:t xml:space="preserve"> ett stort kunnande och engagemang bland småskaliga dryckesproducenter runt om i landet. Detta i kombination med ett ökat intresse för det hantverksmässiga och småskaliga, har också slagit igenom för de lokala och småskaliga drycker som Systembolaget säljer. Systembolaget tar hänsyn till denna utveckling genom nya tillvägagångssätt för hantering av lokala och småskaliga artiklar både för Systembolaget och för leverantörer i syfte att öka tillgänglighet, produktinformation och kvalitetskontroll. Antal leverantörer och artiklar både vad gäller öl och vin har ökat kontinuerligt i Systembolagets småskaliga sortiment. Även antalet leverantörer som levererar till Systembolagets lokala och småskaliga sortiment har ökat och uppgick till ca 200 under 2016.</w:t>
      </w:r>
    </w:p>
    <w:p w:rsidR="009C0159" w:rsidRDefault="009C0159" w:rsidP="009C0159">
      <w:pPr>
        <w:pStyle w:val="RKnormal"/>
      </w:pPr>
    </w:p>
    <w:p w:rsidR="009C0159" w:rsidRDefault="009C0159" w:rsidP="009C0159">
      <w:pPr>
        <w:pStyle w:val="RKnormal"/>
      </w:pPr>
      <w:r>
        <w:t xml:space="preserve">Förutom att de lokalt producerade produkterna som kan köpas i den närmsta Systembolagsbutiken, kan konsumenterna i hela landet beställa produkterna för uthämtning i någon av Systembolagets mer än 400 butiker eller cirka 500 ombud. Många arbetstillfällen med koppling till och inom livsmedelsproduktionen är lokaliserade till landsbygden. Regeringen arbetar aktivt med att förbättra för företagen på landsbygden genom en aktiv näringslivspolitik. </w:t>
      </w:r>
    </w:p>
    <w:p w:rsidR="009C0159" w:rsidRDefault="009C0159" w:rsidP="009C0159">
      <w:pPr>
        <w:pStyle w:val="RKnormal"/>
      </w:pPr>
    </w:p>
    <w:p w:rsidR="009C0159" w:rsidRDefault="009C0159" w:rsidP="009C0159">
      <w:pPr>
        <w:pStyle w:val="RKnormal"/>
      </w:pPr>
      <w:r>
        <w:t>Jag vill avsluta med att poängtera att skyddet för folkhälsan är detaljhandelsmonopolets huvudsakliga motivering. Och skyddet för folkhälsan är också motivet bakom den svenska alkoholregleringen och ska även fortsättningsvis vara ledstjärnan i utvecklingen av den svenska alkoholpolitiken. Jag är övertygad om att en sådan utveckling kan gå hand i hand med en positiv utveckling av både landsbygd och företagande.</w:t>
      </w:r>
    </w:p>
    <w:p w:rsidR="009C0159" w:rsidRDefault="009C0159">
      <w:pPr>
        <w:pStyle w:val="RKnormal"/>
      </w:pPr>
    </w:p>
    <w:p w:rsidR="009C0159" w:rsidRDefault="009C0159">
      <w:pPr>
        <w:pStyle w:val="RKnormal"/>
      </w:pPr>
      <w:r>
        <w:t>Stockholm den 5 september 2017</w:t>
      </w:r>
    </w:p>
    <w:p w:rsidR="009C0159" w:rsidRDefault="009C0159">
      <w:pPr>
        <w:pStyle w:val="RKnormal"/>
      </w:pPr>
    </w:p>
    <w:p w:rsidR="009C0159" w:rsidRDefault="009C0159">
      <w:pPr>
        <w:pStyle w:val="RKnormal"/>
      </w:pPr>
    </w:p>
    <w:p w:rsidR="009C0159" w:rsidRDefault="009C0159">
      <w:pPr>
        <w:pStyle w:val="RKnormal"/>
      </w:pPr>
      <w:r>
        <w:t>Annika Strandhäll</w:t>
      </w:r>
    </w:p>
    <w:sectPr w:rsidR="009C015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C4" w:rsidRDefault="00D12DC4">
      <w:r>
        <w:separator/>
      </w:r>
    </w:p>
  </w:endnote>
  <w:endnote w:type="continuationSeparator" w:id="0">
    <w:p w:rsidR="00D12DC4" w:rsidRDefault="00D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C4" w:rsidRDefault="00D12DC4">
      <w:r>
        <w:separator/>
      </w:r>
    </w:p>
  </w:footnote>
  <w:footnote w:type="continuationSeparator" w:id="0">
    <w:p w:rsidR="00D12DC4" w:rsidRDefault="00D1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40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40F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59" w:rsidRDefault="008A564E">
    <w:pPr>
      <w:framePr w:w="2948" w:h="1321" w:hRule="exact" w:wrap="notBeside" w:vAnchor="page" w:hAnchor="page" w:x="1362" w:y="653"/>
    </w:pPr>
    <w:r>
      <w:rPr>
        <w:noProof/>
        <w:lang w:eastAsia="sv-SE"/>
      </w:rPr>
      <w:drawing>
        <wp:inline distT="0" distB="0" distL="0" distR="0" wp14:anchorId="7BD5EAE0" wp14:editId="578AB3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59"/>
    <w:rsid w:val="00150384"/>
    <w:rsid w:val="00160901"/>
    <w:rsid w:val="001805B7"/>
    <w:rsid w:val="00367B1C"/>
    <w:rsid w:val="004A328D"/>
    <w:rsid w:val="0058762B"/>
    <w:rsid w:val="00597A31"/>
    <w:rsid w:val="006E4E11"/>
    <w:rsid w:val="007242A3"/>
    <w:rsid w:val="007A6855"/>
    <w:rsid w:val="008A564E"/>
    <w:rsid w:val="0092027A"/>
    <w:rsid w:val="00955E31"/>
    <w:rsid w:val="00992E72"/>
    <w:rsid w:val="009C0159"/>
    <w:rsid w:val="009D40F0"/>
    <w:rsid w:val="00A546D1"/>
    <w:rsid w:val="00A94870"/>
    <w:rsid w:val="00AC38FD"/>
    <w:rsid w:val="00AF26D1"/>
    <w:rsid w:val="00B47CC6"/>
    <w:rsid w:val="00C60540"/>
    <w:rsid w:val="00D12DC4"/>
    <w:rsid w:val="00D133D7"/>
    <w:rsid w:val="00DF2D5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C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C38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38F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C38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38F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72eec484-9850-4853-8e09-1e3b865b7315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79246-32C8-4BF0-B444-ED9CAAA2623A}">
  <ds:schemaRefs>
    <ds:schemaRef ds:uri="http://schemas.microsoft.com/office/2006/metadata/customXsn"/>
  </ds:schemaRefs>
</ds:datastoreItem>
</file>

<file path=customXml/itemProps2.xml><?xml version="1.0" encoding="utf-8"?>
<ds:datastoreItem xmlns:ds="http://schemas.openxmlformats.org/officeDocument/2006/customXml" ds:itemID="{E482448C-C709-49F7-B9C8-1A255CE401E9}">
  <ds:schemaRefs>
    <ds:schemaRef ds:uri="http://schemas.microsoft.com/sharepoint/events"/>
  </ds:schemaRefs>
</ds:datastoreItem>
</file>

<file path=customXml/itemProps3.xml><?xml version="1.0" encoding="utf-8"?>
<ds:datastoreItem xmlns:ds="http://schemas.openxmlformats.org/officeDocument/2006/customXml" ds:itemID="{1711F93B-327F-4DA9-BE80-011C15D24726}"/>
</file>

<file path=customXml/itemProps4.xml><?xml version="1.0" encoding="utf-8"?>
<ds:datastoreItem xmlns:ds="http://schemas.openxmlformats.org/officeDocument/2006/customXml" ds:itemID="{FDC0225D-5AA0-444C-952C-6CBA70B69C10}">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B4EEE238-A8FF-44F3-8960-BDBE0B5772A6}">
  <ds:schemaRefs>
    <ds:schemaRef ds:uri="http://schemas.microsoft.com/sharepoint/v3/contenttype/forms/url"/>
  </ds:schemaRefs>
</ds:datastoreItem>
</file>

<file path=customXml/itemProps6.xml><?xml version="1.0" encoding="utf-8"?>
<ds:datastoreItem xmlns:ds="http://schemas.openxmlformats.org/officeDocument/2006/customXml" ds:itemID="{19F5B677-976D-407E-AAD4-EDC27E741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851</Words>
  <Characters>4512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Aldenberg</dc:creator>
  <cp:lastModifiedBy>Elisabet Aldenberg</cp:lastModifiedBy>
  <cp:revision>6</cp:revision>
  <cp:lastPrinted>2017-08-23T09:56:00Z</cp:lastPrinted>
  <dcterms:created xsi:type="dcterms:W3CDTF">2017-08-23T09:31:00Z</dcterms:created>
  <dcterms:modified xsi:type="dcterms:W3CDTF">2017-08-28T13:07:00Z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6b17e4a4-31bb-42b0-95b7-8f467127e61c</vt:lpwstr>
  </property>
</Properties>
</file>