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BB8" w:rsidRPr="0005366D" w:rsidRDefault="006A7BB8">
      <w:pPr>
        <w:pStyle w:val="Hemstlrubrik"/>
        <w:shd w:val="clear" w:color="000000" w:fill="auto"/>
      </w:pPr>
      <w:r w:rsidRPr="0005366D">
        <w:t>Förslag till riksdagsbeslut</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inrätta ett svensk-danskt kommando Öresund.</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förstärka tullen i Skåne.</w:t>
      </w:r>
      <w:r w:rsidRPr="0005366D">
        <w:rPr>
          <w:vertAlign w:val="superscript"/>
        </w:rPr>
        <w:t>1</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inrätta ett nationellt underrättelsece</w:t>
      </w:r>
      <w:r w:rsidRPr="0005366D">
        <w:t>n</w:t>
      </w:r>
      <w:r w:rsidRPr="0005366D">
        <w:t>ter.</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införa möjligheten till buggning.</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utöka möjligheterna till förverkande.</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införa ett snabbspår för klassificering.</w:t>
      </w:r>
      <w:r w:rsidRPr="0005366D">
        <w:rPr>
          <w:vertAlign w:val="superscript"/>
        </w:rPr>
        <w:t>2</w:t>
      </w:r>
    </w:p>
    <w:p w:rsidR="00212CFC" w:rsidRPr="0005366D" w:rsidRDefault="00212CFC">
      <w:pPr>
        <w:pStyle w:val="Hemstlatt"/>
        <w:numPr>
          <w:ilvl w:val="0"/>
          <w:numId w:val="1"/>
        </w:numPr>
        <w:shd w:val="clear" w:color="000000" w:fill="auto"/>
      </w:pPr>
      <w:r w:rsidRPr="0005366D">
        <w:t>Riksdagen tillkännager för regeringen som sin mening vad i motionen anförs om att ge möjlighet till drogtester i skolo</w:t>
      </w:r>
      <w:r w:rsidRPr="0005366D">
        <w:t>r</w:t>
      </w:r>
      <w:r w:rsidRPr="0005366D">
        <w:t>na.</w:t>
      </w: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7E68D8" w:rsidRPr="0005366D" w:rsidRDefault="007E68D8">
      <w:pPr>
        <w:shd w:val="clear" w:color="000000" w:fill="auto"/>
        <w:spacing w:before="0"/>
        <w:rPr>
          <w:vertAlign w:val="superscript"/>
        </w:rPr>
      </w:pPr>
    </w:p>
    <w:p w:rsidR="00212CFC" w:rsidRPr="0005366D" w:rsidRDefault="00212CFC">
      <w:pPr>
        <w:shd w:val="clear" w:color="000000" w:fill="auto"/>
      </w:pPr>
      <w:r w:rsidRPr="0005366D">
        <w:rPr>
          <w:vertAlign w:val="superscript"/>
        </w:rPr>
        <w:t>1</w:t>
      </w:r>
      <w:r w:rsidRPr="0005366D">
        <w:t xml:space="preserve"> Yrkande 2 hänvisat till SkU.</w:t>
      </w:r>
    </w:p>
    <w:p w:rsidR="00212CFC" w:rsidRPr="0005366D" w:rsidRDefault="00212CFC">
      <w:pPr>
        <w:shd w:val="clear" w:color="000000" w:fill="auto"/>
      </w:pPr>
      <w:r w:rsidRPr="0005366D">
        <w:rPr>
          <w:vertAlign w:val="superscript"/>
        </w:rPr>
        <w:t>2</w:t>
      </w:r>
      <w:r w:rsidRPr="0005366D">
        <w:t xml:space="preserve"> Yrkande 6 hänvisat till SoU.</w:t>
      </w:r>
    </w:p>
    <w:p w:rsidR="006A7BB8" w:rsidRPr="0005366D" w:rsidRDefault="006A7BB8">
      <w:pPr>
        <w:shd w:val="clear" w:color="000000" w:fill="auto"/>
      </w:pPr>
    </w:p>
    <w:p w:rsidR="006A7BB8" w:rsidRPr="0005366D" w:rsidRDefault="006A7BB8">
      <w:pPr>
        <w:pStyle w:val="Rubrik1"/>
        <w:pageBreakBefore/>
        <w:shd w:val="clear" w:color="000000" w:fill="auto"/>
        <w:spacing w:before="0"/>
      </w:pPr>
      <w:r w:rsidRPr="0005366D">
        <w:lastRenderedPageBreak/>
        <w:t xml:space="preserve">Stärk kampen mot narkotikan </w:t>
      </w:r>
      <w:r w:rsidR="00C439BC" w:rsidRPr="0005366D">
        <w:t xml:space="preserve">– </w:t>
      </w:r>
      <w:r w:rsidRPr="0005366D">
        <w:t>inrätta ett kommando Öresund</w:t>
      </w:r>
    </w:p>
    <w:p w:rsidR="006A7BB8" w:rsidRPr="0005366D" w:rsidRDefault="006A7BB8">
      <w:pPr>
        <w:shd w:val="clear" w:color="000000" w:fill="auto"/>
        <w:rPr>
          <w:szCs w:val="24"/>
        </w:rPr>
      </w:pPr>
      <w:r w:rsidRPr="0005366D">
        <w:rPr>
          <w:szCs w:val="24"/>
        </w:rPr>
        <w:t>Sedan 2002 har antalet tullare som sysslar med brottsbekämpning minskat i Sverige. Situationen är densamma i Skåne. Trots att stora delar av gods- och passagerarflödena till Sverige går via Skåne har både antalet tullare och Sk</w:t>
      </w:r>
      <w:r w:rsidRPr="0005366D">
        <w:rPr>
          <w:szCs w:val="24"/>
        </w:rPr>
        <w:t>å</w:t>
      </w:r>
      <w:r w:rsidRPr="0005366D">
        <w:rPr>
          <w:szCs w:val="24"/>
        </w:rPr>
        <w:t>nes andel av det totala antalet tullare i Sverige minskat.</w:t>
      </w:r>
    </w:p>
    <w:p w:rsidR="006A7BB8" w:rsidRPr="0005366D" w:rsidRDefault="006A7BB8">
      <w:pPr>
        <w:pStyle w:val="Normaltindrag"/>
        <w:shd w:val="clear" w:color="000000" w:fill="auto"/>
      </w:pPr>
      <w:r w:rsidRPr="0005366D">
        <w:t>Sannolikheten att åka fast om man smugglar narkotika måste öka. Detta gäller naturligtvis den storskaliga smugglingen, men även den som sker i liten skala för eget bruk. I detta arbete skulle en större satsning på fler narkotik</w:t>
      </w:r>
      <w:r w:rsidRPr="0005366D">
        <w:t>a</w:t>
      </w:r>
      <w:r w:rsidRPr="0005366D">
        <w:t>hundar vara önskvärd.</w:t>
      </w:r>
    </w:p>
    <w:p w:rsidR="006A7BB8" w:rsidRPr="0005366D" w:rsidRDefault="006A7BB8">
      <w:pPr>
        <w:pStyle w:val="Normaltindrag"/>
        <w:shd w:val="clear" w:color="000000" w:fill="auto"/>
      </w:pPr>
      <w:r w:rsidRPr="0005366D">
        <w:t>Vi vet att narkotikan medför kriminalitet i flera led: Från storskalig smug</w:t>
      </w:r>
      <w:r w:rsidRPr="0005366D">
        <w:t>g</w:t>
      </w:r>
      <w:r w:rsidRPr="0005366D">
        <w:t>ling och försäljning till missbrukares brottslighet genom personrån samt b</w:t>
      </w:r>
      <w:r w:rsidRPr="0005366D">
        <w:t>o</w:t>
      </w:r>
      <w:r w:rsidRPr="0005366D">
        <w:t xml:space="preserve">stads- och bilinbrott i jakten på pengar till mer droger. I en undersökning från Polisförbundet uppskattade närpoliserna i Sverige att 55 </w:t>
      </w:r>
      <w:r w:rsidR="00C439BC" w:rsidRPr="0005366D">
        <w:t>%</w:t>
      </w:r>
      <w:r w:rsidRPr="0005366D">
        <w:t xml:space="preserve"> av den s.k. va</w:t>
      </w:r>
      <w:r w:rsidRPr="0005366D">
        <w:t>r</w:t>
      </w:r>
      <w:r w:rsidRPr="0005366D">
        <w:t>dagsbrottsligheten begås av narkomaner. En framgångsrik kamp mot narkot</w:t>
      </w:r>
      <w:r w:rsidRPr="0005366D">
        <w:t>i</w:t>
      </w:r>
      <w:r w:rsidRPr="0005366D">
        <w:t>kan skulle alltså även vara en stor framgång i kampen mot annan brottslighet.</w:t>
      </w:r>
    </w:p>
    <w:p w:rsidR="006A7BB8" w:rsidRPr="0005366D" w:rsidRDefault="006A7BB8">
      <w:pPr>
        <w:pStyle w:val="Normaltindrag"/>
        <w:shd w:val="clear" w:color="000000" w:fill="auto"/>
      </w:pPr>
      <w:r w:rsidRPr="0005366D">
        <w:t>Utbudet av narkotika är i</w:t>
      </w:r>
      <w:r w:rsidR="00C439BC" w:rsidRPr="0005366D">
        <w:t xml:space="preserve"> </w:t>
      </w:r>
      <w:r w:rsidRPr="0005366D">
        <w:t>dag större än någonsin. Narkotikan är både billig och enkel att få tag på. En del polismyndigheter visar på ökade insatser med fler anmälda narkotikabrott och ökade beslag. Men det räcker inte långt. A</w:t>
      </w:r>
      <w:r w:rsidRPr="0005366D">
        <w:t>n</w:t>
      </w:r>
      <w:r w:rsidRPr="0005366D">
        <w:t>talet grova narkotikabrott har ökat med 80 procent jämfört med 1995. Samt</w:t>
      </w:r>
      <w:r w:rsidRPr="0005366D">
        <w:t>i</w:t>
      </w:r>
      <w:r w:rsidRPr="0005366D">
        <w:t>digt beräknas beslagen av narkotika utgöra endast 5-10 procent av den totala mängden som förs in i landet varje år. Kampen mot narkotikan släpar efter ordentligt.</w:t>
      </w:r>
    </w:p>
    <w:p w:rsidR="006A7BB8" w:rsidRPr="0005366D" w:rsidRDefault="006A7BB8">
      <w:pPr>
        <w:shd w:val="clear" w:color="000000" w:fill="auto"/>
        <w:spacing w:after="40" w:line="200" w:lineRule="exact"/>
        <w:rPr>
          <w:b/>
        </w:rPr>
      </w:pPr>
      <w:r w:rsidRPr="0005366D">
        <w:rPr>
          <w:b/>
        </w:rPr>
        <w:t>Skånetullens andel av total mängd beslagtagen av tullen beslagtagen narkotika i Sverige eft</w:t>
      </w:r>
      <w:r w:rsidR="00C439BC" w:rsidRPr="0005366D">
        <w:rPr>
          <w:b/>
        </w:rPr>
        <w:t>er preparat, 2002–005, procent</w:t>
      </w:r>
      <w:r w:rsidRPr="0005366D">
        <w:rPr>
          <w:b/>
        </w:rPr>
        <w:t xml:space="preserve"> </w:t>
      </w:r>
    </w:p>
    <w:tbl>
      <w:tblPr>
        <w:tblStyle w:val="Enkeltabell1"/>
        <w:tblW w:w="5933" w:type="dxa"/>
        <w:tblInd w:w="108" w:type="dxa"/>
        <w:tblLayout w:type="fixed"/>
        <w:tblLook w:val="01A0" w:firstRow="1" w:lastRow="0" w:firstColumn="1" w:lastColumn="1" w:noHBand="0" w:noVBand="0"/>
      </w:tblPr>
      <w:tblGrid>
        <w:gridCol w:w="2757"/>
        <w:gridCol w:w="794"/>
        <w:gridCol w:w="794"/>
        <w:gridCol w:w="794"/>
        <w:gridCol w:w="794"/>
      </w:tblGrid>
      <w:tr w:rsidR="006A7BB8" w:rsidRPr="0005366D" w:rsidTr="00C439BC">
        <w:trPr>
          <w:cnfStyle w:val="100000000000" w:firstRow="1" w:lastRow="0" w:firstColumn="0" w:lastColumn="0" w:oddVBand="0" w:evenVBand="0" w:oddHBand="0" w:evenHBand="0" w:firstRowFirstColumn="0" w:firstRowLastColumn="0" w:lastRowFirstColumn="0" w:lastRowLastColumn="0"/>
        </w:trPr>
        <w:tc>
          <w:tcPr>
            <w:tcW w:w="2757" w:type="dxa"/>
            <w:tcBorders>
              <w:top w:val="single" w:sz="4" w:space="0" w:color="auto"/>
              <w:bottom w:val="single" w:sz="4" w:space="0" w:color="auto"/>
            </w:tcBorders>
            <w:vAlign w:val="bottom"/>
          </w:tcPr>
          <w:p w:rsidR="006A7BB8" w:rsidRPr="0005366D" w:rsidRDefault="006A7BB8">
            <w:pPr>
              <w:shd w:val="clear" w:color="000000" w:fill="auto"/>
              <w:spacing w:before="60" w:line="200" w:lineRule="exact"/>
              <w:rPr>
                <w:b/>
                <w:sz w:val="16"/>
                <w:szCs w:val="16"/>
              </w:rPr>
            </w:pPr>
            <w:r w:rsidRPr="0005366D">
              <w:rPr>
                <w:b/>
                <w:sz w:val="16"/>
                <w:szCs w:val="16"/>
              </w:rPr>
              <w:t xml:space="preserve">Preparat </w:t>
            </w:r>
          </w:p>
        </w:tc>
        <w:tc>
          <w:tcPr>
            <w:tcW w:w="794" w:type="dxa"/>
            <w:tcBorders>
              <w:top w:val="single" w:sz="4" w:space="0" w:color="auto"/>
              <w:bottom w:val="single" w:sz="4" w:space="0" w:color="auto"/>
            </w:tcBorders>
            <w:vAlign w:val="bottom"/>
          </w:tcPr>
          <w:p w:rsidR="006A7BB8" w:rsidRPr="0005366D" w:rsidRDefault="006A7BB8">
            <w:pPr>
              <w:shd w:val="clear" w:color="000000" w:fill="auto"/>
              <w:spacing w:before="60" w:line="200" w:lineRule="exact"/>
              <w:jc w:val="right"/>
              <w:rPr>
                <w:b/>
                <w:sz w:val="16"/>
                <w:szCs w:val="16"/>
              </w:rPr>
            </w:pPr>
            <w:r w:rsidRPr="0005366D">
              <w:rPr>
                <w:b/>
                <w:sz w:val="16"/>
                <w:szCs w:val="16"/>
              </w:rPr>
              <w:t>2005</w:t>
            </w:r>
          </w:p>
        </w:tc>
        <w:tc>
          <w:tcPr>
            <w:tcW w:w="794" w:type="dxa"/>
            <w:tcBorders>
              <w:top w:val="single" w:sz="4" w:space="0" w:color="auto"/>
              <w:bottom w:val="single" w:sz="4" w:space="0" w:color="auto"/>
            </w:tcBorders>
            <w:vAlign w:val="bottom"/>
          </w:tcPr>
          <w:p w:rsidR="006A7BB8" w:rsidRPr="0005366D" w:rsidRDefault="006A7BB8">
            <w:pPr>
              <w:shd w:val="clear" w:color="000000" w:fill="auto"/>
              <w:spacing w:before="60" w:line="200" w:lineRule="exact"/>
              <w:jc w:val="right"/>
              <w:rPr>
                <w:b/>
                <w:sz w:val="16"/>
                <w:szCs w:val="16"/>
              </w:rPr>
            </w:pPr>
            <w:r w:rsidRPr="0005366D">
              <w:rPr>
                <w:b/>
                <w:sz w:val="16"/>
                <w:szCs w:val="16"/>
              </w:rPr>
              <w:t>2004</w:t>
            </w:r>
          </w:p>
        </w:tc>
        <w:tc>
          <w:tcPr>
            <w:tcW w:w="794" w:type="dxa"/>
            <w:tcBorders>
              <w:top w:val="single" w:sz="4" w:space="0" w:color="auto"/>
              <w:bottom w:val="single" w:sz="4" w:space="0" w:color="auto"/>
            </w:tcBorders>
            <w:vAlign w:val="bottom"/>
          </w:tcPr>
          <w:p w:rsidR="006A7BB8" w:rsidRPr="0005366D" w:rsidRDefault="006A7BB8">
            <w:pPr>
              <w:shd w:val="clear" w:color="000000" w:fill="auto"/>
              <w:spacing w:before="60" w:line="200" w:lineRule="exact"/>
              <w:jc w:val="right"/>
              <w:rPr>
                <w:b/>
                <w:sz w:val="16"/>
                <w:szCs w:val="16"/>
              </w:rPr>
            </w:pPr>
            <w:r w:rsidRPr="0005366D">
              <w:rPr>
                <w:b/>
                <w:sz w:val="16"/>
                <w:szCs w:val="16"/>
              </w:rPr>
              <w:t>2003</w:t>
            </w:r>
          </w:p>
        </w:tc>
        <w:tc>
          <w:tcPr>
            <w:tcW w:w="794" w:type="dxa"/>
            <w:tcBorders>
              <w:top w:val="single" w:sz="4" w:space="0" w:color="auto"/>
              <w:bottom w:val="single" w:sz="4" w:space="0" w:color="auto"/>
            </w:tcBorders>
            <w:vAlign w:val="bottom"/>
          </w:tcPr>
          <w:p w:rsidR="006A7BB8" w:rsidRPr="0005366D" w:rsidRDefault="006A7BB8">
            <w:pPr>
              <w:shd w:val="clear" w:color="000000" w:fill="auto"/>
              <w:spacing w:before="60" w:line="200" w:lineRule="exact"/>
              <w:jc w:val="right"/>
              <w:rPr>
                <w:b/>
                <w:sz w:val="16"/>
                <w:szCs w:val="16"/>
              </w:rPr>
            </w:pPr>
            <w:r w:rsidRPr="0005366D">
              <w:rPr>
                <w:b/>
                <w:sz w:val="16"/>
                <w:szCs w:val="16"/>
              </w:rPr>
              <w:t>2002</w:t>
            </w:r>
          </w:p>
        </w:tc>
      </w:tr>
      <w:tr w:rsidR="006A7BB8" w:rsidRPr="0005366D" w:rsidTr="00C439BC">
        <w:tc>
          <w:tcPr>
            <w:tcW w:w="2757" w:type="dxa"/>
            <w:tcBorders>
              <w:top w:val="single" w:sz="4" w:space="0" w:color="auto"/>
              <w:bottom w:val="nil"/>
            </w:tcBorders>
          </w:tcPr>
          <w:p w:rsidR="006A7BB8" w:rsidRPr="0005366D" w:rsidRDefault="006A7BB8">
            <w:pPr>
              <w:shd w:val="clear" w:color="000000" w:fill="auto"/>
              <w:spacing w:before="60" w:line="200" w:lineRule="exact"/>
              <w:rPr>
                <w:sz w:val="16"/>
                <w:szCs w:val="16"/>
              </w:rPr>
            </w:pPr>
            <w:r w:rsidRPr="0005366D">
              <w:rPr>
                <w:sz w:val="16"/>
                <w:szCs w:val="16"/>
              </w:rPr>
              <w:t xml:space="preserve">Cannabis </w:t>
            </w:r>
          </w:p>
        </w:tc>
        <w:tc>
          <w:tcPr>
            <w:tcW w:w="794" w:type="dxa"/>
            <w:tcBorders>
              <w:top w:val="single" w:sz="4" w:space="0" w:color="auto"/>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76</w:t>
            </w:r>
          </w:p>
        </w:tc>
        <w:tc>
          <w:tcPr>
            <w:tcW w:w="794" w:type="dxa"/>
            <w:tcBorders>
              <w:top w:val="single" w:sz="4" w:space="0" w:color="auto"/>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99</w:t>
            </w:r>
          </w:p>
        </w:tc>
        <w:tc>
          <w:tcPr>
            <w:tcW w:w="794" w:type="dxa"/>
            <w:tcBorders>
              <w:top w:val="single" w:sz="4" w:space="0" w:color="auto"/>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86</w:t>
            </w:r>
          </w:p>
        </w:tc>
        <w:tc>
          <w:tcPr>
            <w:tcW w:w="794" w:type="dxa"/>
            <w:tcBorders>
              <w:top w:val="single" w:sz="4" w:space="0" w:color="auto"/>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78</w:t>
            </w:r>
          </w:p>
        </w:tc>
      </w:tr>
      <w:tr w:rsidR="006A7BB8" w:rsidRPr="0005366D" w:rsidTr="00C439BC">
        <w:tc>
          <w:tcPr>
            <w:tcW w:w="2757" w:type="dxa"/>
            <w:tcBorders>
              <w:top w:val="nil"/>
            </w:tcBorders>
          </w:tcPr>
          <w:p w:rsidR="006A7BB8" w:rsidRPr="0005366D" w:rsidRDefault="006A7BB8">
            <w:pPr>
              <w:shd w:val="clear" w:color="000000" w:fill="auto"/>
              <w:spacing w:before="60" w:line="200" w:lineRule="exact"/>
              <w:rPr>
                <w:sz w:val="16"/>
                <w:szCs w:val="16"/>
              </w:rPr>
            </w:pPr>
            <w:r w:rsidRPr="0005366D">
              <w:rPr>
                <w:sz w:val="16"/>
                <w:szCs w:val="16"/>
              </w:rPr>
              <w:t xml:space="preserve">Kat </w:t>
            </w:r>
          </w:p>
        </w:tc>
        <w:tc>
          <w:tcPr>
            <w:tcW w:w="794" w:type="dxa"/>
            <w:tcBorders>
              <w:top w:val="nil"/>
            </w:tcBorders>
          </w:tcPr>
          <w:p w:rsidR="006A7BB8" w:rsidRPr="0005366D" w:rsidRDefault="006A7BB8">
            <w:pPr>
              <w:shd w:val="clear" w:color="000000" w:fill="auto"/>
              <w:spacing w:before="60" w:line="200" w:lineRule="exact"/>
              <w:jc w:val="right"/>
              <w:rPr>
                <w:sz w:val="16"/>
                <w:szCs w:val="16"/>
              </w:rPr>
            </w:pPr>
            <w:r w:rsidRPr="0005366D">
              <w:rPr>
                <w:sz w:val="16"/>
                <w:szCs w:val="16"/>
              </w:rPr>
              <w:t>75</w:t>
            </w:r>
          </w:p>
        </w:tc>
        <w:tc>
          <w:tcPr>
            <w:tcW w:w="794" w:type="dxa"/>
            <w:tcBorders>
              <w:top w:val="nil"/>
            </w:tcBorders>
          </w:tcPr>
          <w:p w:rsidR="006A7BB8" w:rsidRPr="0005366D" w:rsidRDefault="006A7BB8">
            <w:pPr>
              <w:shd w:val="clear" w:color="000000" w:fill="auto"/>
              <w:spacing w:before="60" w:line="200" w:lineRule="exact"/>
              <w:jc w:val="right"/>
              <w:rPr>
                <w:sz w:val="16"/>
                <w:szCs w:val="16"/>
              </w:rPr>
            </w:pPr>
            <w:r w:rsidRPr="0005366D">
              <w:rPr>
                <w:sz w:val="16"/>
                <w:szCs w:val="16"/>
              </w:rPr>
              <w:t>79</w:t>
            </w:r>
          </w:p>
        </w:tc>
        <w:tc>
          <w:tcPr>
            <w:tcW w:w="794" w:type="dxa"/>
            <w:tcBorders>
              <w:top w:val="nil"/>
            </w:tcBorders>
          </w:tcPr>
          <w:p w:rsidR="006A7BB8" w:rsidRPr="0005366D" w:rsidRDefault="006A7BB8">
            <w:pPr>
              <w:shd w:val="clear" w:color="000000" w:fill="auto"/>
              <w:spacing w:before="60" w:line="200" w:lineRule="exact"/>
              <w:jc w:val="right"/>
              <w:rPr>
                <w:sz w:val="16"/>
                <w:szCs w:val="16"/>
              </w:rPr>
            </w:pPr>
            <w:r w:rsidRPr="0005366D">
              <w:rPr>
                <w:sz w:val="16"/>
                <w:szCs w:val="16"/>
              </w:rPr>
              <w:t>90</w:t>
            </w:r>
          </w:p>
        </w:tc>
        <w:tc>
          <w:tcPr>
            <w:tcW w:w="794" w:type="dxa"/>
            <w:tcBorders>
              <w:top w:val="nil"/>
            </w:tcBorders>
          </w:tcPr>
          <w:p w:rsidR="006A7BB8" w:rsidRPr="0005366D" w:rsidRDefault="006A7BB8">
            <w:pPr>
              <w:shd w:val="clear" w:color="000000" w:fill="auto"/>
              <w:spacing w:before="60" w:line="200" w:lineRule="exact"/>
              <w:jc w:val="right"/>
              <w:rPr>
                <w:sz w:val="16"/>
                <w:szCs w:val="16"/>
              </w:rPr>
            </w:pPr>
            <w:r w:rsidRPr="0005366D">
              <w:rPr>
                <w:sz w:val="16"/>
                <w:szCs w:val="16"/>
              </w:rPr>
              <w:t>94</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Opium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90</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99</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96</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20</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Heroin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66</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63</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62</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65</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Amfetamin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83</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79</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79</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46</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Kokain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15</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70</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14</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64</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Ecstasy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89</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91</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99</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54</w:t>
            </w:r>
          </w:p>
        </w:tc>
      </w:tr>
      <w:tr w:rsidR="006A7BB8" w:rsidRPr="0005366D" w:rsidTr="006A7BB8">
        <w:tc>
          <w:tcPr>
            <w:tcW w:w="2757" w:type="dxa"/>
          </w:tcPr>
          <w:p w:rsidR="006A7BB8" w:rsidRPr="0005366D" w:rsidRDefault="006A7BB8">
            <w:pPr>
              <w:shd w:val="clear" w:color="000000" w:fill="auto"/>
              <w:spacing w:before="60" w:line="200" w:lineRule="exact"/>
              <w:rPr>
                <w:sz w:val="16"/>
                <w:szCs w:val="16"/>
              </w:rPr>
            </w:pPr>
            <w:r w:rsidRPr="0005366D">
              <w:rPr>
                <w:sz w:val="16"/>
                <w:szCs w:val="16"/>
              </w:rPr>
              <w:t xml:space="preserve">Rohypnol (Flunitrazepam) </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10</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51</w:t>
            </w:r>
          </w:p>
        </w:tc>
        <w:tc>
          <w:tcPr>
            <w:tcW w:w="794" w:type="dxa"/>
          </w:tcPr>
          <w:p w:rsidR="006A7BB8" w:rsidRPr="0005366D" w:rsidRDefault="006A7BB8">
            <w:pPr>
              <w:shd w:val="clear" w:color="000000" w:fill="auto"/>
              <w:spacing w:before="60" w:line="200" w:lineRule="exact"/>
              <w:jc w:val="right"/>
              <w:rPr>
                <w:sz w:val="16"/>
                <w:szCs w:val="16"/>
              </w:rPr>
            </w:pPr>
            <w:r w:rsidRPr="0005366D">
              <w:rPr>
                <w:sz w:val="16"/>
                <w:szCs w:val="16"/>
              </w:rPr>
              <w:t>3</w:t>
            </w:r>
          </w:p>
        </w:tc>
      </w:tr>
      <w:tr w:rsidR="006A7BB8" w:rsidRPr="0005366D" w:rsidTr="00C439BC">
        <w:tc>
          <w:tcPr>
            <w:tcW w:w="2757" w:type="dxa"/>
            <w:tcBorders>
              <w:bottom w:val="nil"/>
            </w:tcBorders>
          </w:tcPr>
          <w:p w:rsidR="006A7BB8" w:rsidRPr="0005366D" w:rsidRDefault="006A7BB8">
            <w:pPr>
              <w:shd w:val="clear" w:color="000000" w:fill="auto"/>
              <w:spacing w:before="60" w:line="200" w:lineRule="exact"/>
              <w:rPr>
                <w:sz w:val="16"/>
                <w:szCs w:val="16"/>
              </w:rPr>
            </w:pPr>
            <w:r w:rsidRPr="0005366D">
              <w:rPr>
                <w:sz w:val="16"/>
                <w:szCs w:val="16"/>
              </w:rPr>
              <w:t>Dopningsmedel (fast)</w:t>
            </w:r>
          </w:p>
        </w:tc>
        <w:tc>
          <w:tcPr>
            <w:tcW w:w="794" w:type="dxa"/>
            <w:tcBorders>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11</w:t>
            </w:r>
          </w:p>
        </w:tc>
        <w:tc>
          <w:tcPr>
            <w:tcW w:w="794" w:type="dxa"/>
            <w:tcBorders>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42</w:t>
            </w:r>
          </w:p>
        </w:tc>
        <w:tc>
          <w:tcPr>
            <w:tcW w:w="794" w:type="dxa"/>
            <w:tcBorders>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8</w:t>
            </w:r>
          </w:p>
        </w:tc>
        <w:tc>
          <w:tcPr>
            <w:tcW w:w="794" w:type="dxa"/>
            <w:tcBorders>
              <w:bottom w:val="nil"/>
            </w:tcBorders>
          </w:tcPr>
          <w:p w:rsidR="006A7BB8" w:rsidRPr="0005366D" w:rsidRDefault="006A7BB8">
            <w:pPr>
              <w:shd w:val="clear" w:color="000000" w:fill="auto"/>
              <w:spacing w:before="60" w:line="200" w:lineRule="exact"/>
              <w:jc w:val="right"/>
              <w:rPr>
                <w:sz w:val="16"/>
                <w:szCs w:val="16"/>
              </w:rPr>
            </w:pPr>
            <w:r w:rsidRPr="0005366D">
              <w:rPr>
                <w:sz w:val="16"/>
                <w:szCs w:val="16"/>
              </w:rPr>
              <w:t>7</w:t>
            </w:r>
          </w:p>
        </w:tc>
      </w:tr>
      <w:tr w:rsidR="006A7BB8" w:rsidRPr="0005366D" w:rsidTr="00C439BC">
        <w:tc>
          <w:tcPr>
            <w:tcW w:w="2757" w:type="dxa"/>
            <w:tcBorders>
              <w:top w:val="nil"/>
              <w:bottom w:val="single" w:sz="4" w:space="0" w:color="auto"/>
            </w:tcBorders>
          </w:tcPr>
          <w:p w:rsidR="006A7BB8" w:rsidRPr="0005366D" w:rsidRDefault="006A7BB8">
            <w:pPr>
              <w:shd w:val="clear" w:color="000000" w:fill="auto"/>
              <w:spacing w:before="60" w:line="200" w:lineRule="exact"/>
              <w:rPr>
                <w:sz w:val="16"/>
                <w:szCs w:val="16"/>
              </w:rPr>
            </w:pPr>
            <w:r w:rsidRPr="0005366D">
              <w:rPr>
                <w:sz w:val="16"/>
                <w:szCs w:val="16"/>
              </w:rPr>
              <w:t>Dopningsmedel (flytande)</w:t>
            </w:r>
          </w:p>
        </w:tc>
        <w:tc>
          <w:tcPr>
            <w:tcW w:w="794" w:type="dxa"/>
            <w:tcBorders>
              <w:top w:val="nil"/>
              <w:bottom w:val="single" w:sz="4" w:space="0" w:color="auto"/>
            </w:tcBorders>
          </w:tcPr>
          <w:p w:rsidR="006A7BB8" w:rsidRPr="0005366D" w:rsidRDefault="006A7BB8">
            <w:pPr>
              <w:shd w:val="clear" w:color="000000" w:fill="auto"/>
              <w:spacing w:before="60" w:line="200" w:lineRule="exact"/>
              <w:jc w:val="right"/>
              <w:rPr>
                <w:sz w:val="16"/>
                <w:szCs w:val="16"/>
              </w:rPr>
            </w:pPr>
            <w:r w:rsidRPr="0005366D">
              <w:rPr>
                <w:sz w:val="16"/>
                <w:szCs w:val="16"/>
              </w:rPr>
              <w:t>29</w:t>
            </w:r>
          </w:p>
        </w:tc>
        <w:tc>
          <w:tcPr>
            <w:tcW w:w="794" w:type="dxa"/>
            <w:tcBorders>
              <w:top w:val="nil"/>
              <w:bottom w:val="single" w:sz="4" w:space="0" w:color="auto"/>
            </w:tcBorders>
          </w:tcPr>
          <w:p w:rsidR="006A7BB8" w:rsidRPr="0005366D" w:rsidRDefault="006A7BB8">
            <w:pPr>
              <w:shd w:val="clear" w:color="000000" w:fill="auto"/>
              <w:spacing w:before="60" w:line="200" w:lineRule="exact"/>
              <w:jc w:val="right"/>
              <w:rPr>
                <w:sz w:val="16"/>
                <w:szCs w:val="16"/>
              </w:rPr>
            </w:pPr>
            <w:r w:rsidRPr="0005366D">
              <w:rPr>
                <w:sz w:val="16"/>
                <w:szCs w:val="16"/>
              </w:rPr>
              <w:t>13</w:t>
            </w:r>
          </w:p>
        </w:tc>
        <w:tc>
          <w:tcPr>
            <w:tcW w:w="794" w:type="dxa"/>
            <w:tcBorders>
              <w:top w:val="nil"/>
              <w:bottom w:val="single" w:sz="4" w:space="0" w:color="auto"/>
            </w:tcBorders>
          </w:tcPr>
          <w:p w:rsidR="006A7BB8" w:rsidRPr="0005366D" w:rsidRDefault="006A7BB8">
            <w:pPr>
              <w:shd w:val="clear" w:color="000000" w:fill="auto"/>
              <w:spacing w:before="60" w:line="200" w:lineRule="exact"/>
              <w:jc w:val="right"/>
              <w:rPr>
                <w:sz w:val="16"/>
                <w:szCs w:val="16"/>
              </w:rPr>
            </w:pPr>
            <w:r w:rsidRPr="0005366D">
              <w:rPr>
                <w:sz w:val="16"/>
                <w:szCs w:val="16"/>
              </w:rPr>
              <w:t>24</w:t>
            </w:r>
          </w:p>
        </w:tc>
        <w:tc>
          <w:tcPr>
            <w:tcW w:w="794" w:type="dxa"/>
            <w:tcBorders>
              <w:top w:val="nil"/>
              <w:bottom w:val="single" w:sz="4" w:space="0" w:color="auto"/>
            </w:tcBorders>
          </w:tcPr>
          <w:p w:rsidR="006A7BB8" w:rsidRPr="0005366D" w:rsidRDefault="006A7BB8">
            <w:pPr>
              <w:shd w:val="clear" w:color="000000" w:fill="auto"/>
              <w:spacing w:before="60" w:line="200" w:lineRule="exact"/>
              <w:jc w:val="right"/>
              <w:rPr>
                <w:sz w:val="16"/>
                <w:szCs w:val="16"/>
              </w:rPr>
            </w:pPr>
            <w:r w:rsidRPr="0005366D">
              <w:rPr>
                <w:sz w:val="16"/>
                <w:szCs w:val="16"/>
              </w:rPr>
              <w:t>25</w:t>
            </w:r>
          </w:p>
        </w:tc>
      </w:tr>
    </w:tbl>
    <w:p w:rsidR="006A7BB8" w:rsidRPr="0005366D" w:rsidRDefault="006A7BB8">
      <w:pPr>
        <w:shd w:val="clear" w:color="000000" w:fill="auto"/>
        <w:spacing w:before="0"/>
        <w:rPr>
          <w:sz w:val="16"/>
          <w:szCs w:val="16"/>
        </w:rPr>
      </w:pPr>
      <w:r w:rsidRPr="0005366D">
        <w:rPr>
          <w:sz w:val="16"/>
          <w:szCs w:val="16"/>
        </w:rPr>
        <w:t>Källor: Tullverket (2004), Tullverket (2006). Paula Levänen, Tullverket.</w:t>
      </w:r>
    </w:p>
    <w:p w:rsidR="006A7BB8" w:rsidRPr="0005366D" w:rsidRDefault="006A7BB8">
      <w:pPr>
        <w:shd w:val="clear" w:color="000000" w:fill="auto"/>
        <w:rPr>
          <w:szCs w:val="24"/>
        </w:rPr>
      </w:pPr>
      <w:r w:rsidRPr="0005366D">
        <w:rPr>
          <w:szCs w:val="24"/>
        </w:rPr>
        <w:t>Av redovisningen i tabell 2 framgår att tullen i Skåne under vart och ett av åren under den aktuella perioden, 2002</w:t>
      </w:r>
      <w:r w:rsidR="00C439BC" w:rsidRPr="0005366D">
        <w:rPr>
          <w:szCs w:val="24"/>
        </w:rPr>
        <w:t>–2</w:t>
      </w:r>
      <w:r w:rsidRPr="0005366D">
        <w:rPr>
          <w:szCs w:val="24"/>
        </w:rPr>
        <w:t xml:space="preserve">005, stod för 75 </w:t>
      </w:r>
      <w:r w:rsidR="00C439BC" w:rsidRPr="0005366D">
        <w:rPr>
          <w:szCs w:val="24"/>
        </w:rPr>
        <w:t xml:space="preserve">% </w:t>
      </w:r>
      <w:r w:rsidRPr="0005366D">
        <w:rPr>
          <w:szCs w:val="24"/>
        </w:rPr>
        <w:t>eller mer av den beslagtagna mängden cannabis och kat. De senaste tre åren, 2003</w:t>
      </w:r>
      <w:r w:rsidR="00C439BC" w:rsidRPr="0005366D">
        <w:rPr>
          <w:szCs w:val="24"/>
        </w:rPr>
        <w:t>–200</w:t>
      </w:r>
      <w:r w:rsidRPr="0005366D">
        <w:rPr>
          <w:szCs w:val="24"/>
        </w:rPr>
        <w:t xml:space="preserve">5, har tullen i Skåne också svarat för 79 </w:t>
      </w:r>
      <w:r w:rsidR="00C439BC" w:rsidRPr="0005366D">
        <w:rPr>
          <w:szCs w:val="24"/>
        </w:rPr>
        <w:t>% e</w:t>
      </w:r>
      <w:r w:rsidRPr="0005366D">
        <w:rPr>
          <w:szCs w:val="24"/>
        </w:rPr>
        <w:t xml:space="preserve">ller mer av den totala beslagsmängden opium, amfetamin och </w:t>
      </w:r>
      <w:r w:rsidR="00C439BC" w:rsidRPr="0005366D">
        <w:rPr>
          <w:szCs w:val="24"/>
        </w:rPr>
        <w:t>ecstasy</w:t>
      </w:r>
      <w:r w:rsidRPr="0005366D">
        <w:rPr>
          <w:szCs w:val="24"/>
        </w:rPr>
        <w:t>. Vad gäller beslagen av kokain, Rohypnol och dopningsmedel har Skånes andel av den totala mängden varierat relativt kra</w:t>
      </w:r>
      <w:r w:rsidRPr="0005366D">
        <w:rPr>
          <w:szCs w:val="24"/>
        </w:rPr>
        <w:t>f</w:t>
      </w:r>
      <w:r w:rsidRPr="0005366D">
        <w:rPr>
          <w:szCs w:val="24"/>
        </w:rPr>
        <w:t xml:space="preserve">tigt under perioden. </w:t>
      </w:r>
    </w:p>
    <w:p w:rsidR="006A7BB8" w:rsidRPr="0005366D" w:rsidRDefault="006A7BB8">
      <w:pPr>
        <w:pStyle w:val="Normaltindrag"/>
        <w:shd w:val="clear" w:color="000000" w:fill="auto"/>
      </w:pPr>
      <w:r w:rsidRPr="0005366D">
        <w:t>Det behövs en upprustning av den svenska narkotikabekämpningen. Det är en förstahandsuppgift för den svenska tullen att förhindra införsel av narkot</w:t>
      </w:r>
      <w:r w:rsidRPr="0005366D">
        <w:t>i</w:t>
      </w:r>
      <w:r w:rsidRPr="0005366D">
        <w:t>ka till Sverige, eftersom det i slutändan handlar om svenska flickors och po</w:t>
      </w:r>
      <w:r w:rsidRPr="0005366D">
        <w:t>j</w:t>
      </w:r>
      <w:r w:rsidRPr="0005366D">
        <w:t>kars överlevnad och framtid. Varje beslag, stort eller litet, som tullen gör sparar liv och pengar. Tullen måste ges utökade befogenheter och resurser för att med full kraft kunna motverka narkotikasmugglingen</w:t>
      </w:r>
      <w:r w:rsidR="00C439BC" w:rsidRPr="0005366D">
        <w:t>.</w:t>
      </w:r>
    </w:p>
    <w:p w:rsidR="006A7BB8" w:rsidRPr="0005366D" w:rsidRDefault="00C439BC">
      <w:pPr>
        <w:pStyle w:val="Rubrik2"/>
        <w:shd w:val="clear" w:color="000000" w:fill="auto"/>
      </w:pPr>
      <w:r w:rsidRPr="0005366D">
        <w:t>1</w:t>
      </w:r>
      <w:r w:rsidR="006A7BB8" w:rsidRPr="0005366D">
        <w:t xml:space="preserve"> Inrätta ett kommando Öresund</w:t>
      </w:r>
    </w:p>
    <w:p w:rsidR="006A7BB8" w:rsidRPr="0005366D" w:rsidRDefault="006A7BB8">
      <w:pPr>
        <w:shd w:val="clear" w:color="000000" w:fill="auto"/>
        <w:rPr>
          <w:szCs w:val="24"/>
        </w:rPr>
      </w:pPr>
      <w:r w:rsidRPr="0005366D">
        <w:rPr>
          <w:szCs w:val="24"/>
        </w:rPr>
        <w:t>Den grova, organiserade brottsligheten är gränsöverskridande. Inrätta ett kommando Öresund med poliser och tullare från både Sverige och Danmark som inte bara samarbetar utan utgör en egen enhet.</w:t>
      </w:r>
    </w:p>
    <w:p w:rsidR="006A7BB8" w:rsidRPr="0005366D" w:rsidRDefault="00C439BC">
      <w:pPr>
        <w:pStyle w:val="Rubrik2"/>
        <w:shd w:val="clear" w:color="000000" w:fill="auto"/>
      </w:pPr>
      <w:r w:rsidRPr="0005366D">
        <w:t>2</w:t>
      </w:r>
      <w:r w:rsidR="006A7BB8" w:rsidRPr="0005366D">
        <w:t xml:space="preserve"> Förstärk tullen i Skåne </w:t>
      </w:r>
    </w:p>
    <w:p w:rsidR="006A7BB8" w:rsidRPr="0005366D" w:rsidRDefault="006A7BB8">
      <w:pPr>
        <w:shd w:val="clear" w:color="000000" w:fill="auto"/>
        <w:rPr>
          <w:szCs w:val="24"/>
        </w:rPr>
      </w:pPr>
      <w:r w:rsidRPr="0005366D">
        <w:rPr>
          <w:szCs w:val="24"/>
        </w:rPr>
        <w:t>Tullen i Skåne tar en mycket stor andel av den narkotika som påträffas i Sv</w:t>
      </w:r>
      <w:r w:rsidRPr="0005366D">
        <w:rPr>
          <w:szCs w:val="24"/>
        </w:rPr>
        <w:t>e</w:t>
      </w:r>
      <w:r w:rsidRPr="0005366D">
        <w:rPr>
          <w:szCs w:val="24"/>
        </w:rPr>
        <w:t>rige. Till exempel över 80 % av amfetaminet. Tullens personal i Skåne utgör bara 27 % av tullens samlade personalstyrka i Sverige. Fler tullare till Skånes gränser.</w:t>
      </w:r>
    </w:p>
    <w:p w:rsidR="006A7BB8" w:rsidRPr="0005366D" w:rsidRDefault="006A7BB8">
      <w:pPr>
        <w:pStyle w:val="Rubrik2"/>
        <w:shd w:val="clear" w:color="000000" w:fill="auto"/>
      </w:pPr>
      <w:r w:rsidRPr="0005366D">
        <w:t>3 Kriminella ska inte ha det lättare i Sverige</w:t>
      </w:r>
    </w:p>
    <w:p w:rsidR="006A7BB8" w:rsidRPr="0005366D" w:rsidRDefault="006A7BB8">
      <w:pPr>
        <w:shd w:val="clear" w:color="000000" w:fill="auto"/>
        <w:rPr>
          <w:szCs w:val="24"/>
        </w:rPr>
      </w:pPr>
      <w:r w:rsidRPr="0005366D">
        <w:rPr>
          <w:szCs w:val="24"/>
        </w:rPr>
        <w:t xml:space="preserve">Den organiserade brottsligheten etablerar sig där den har det enklast. Det duger inte att vi </w:t>
      </w:r>
      <w:r w:rsidR="00C439BC" w:rsidRPr="0005366D">
        <w:rPr>
          <w:szCs w:val="24"/>
        </w:rPr>
        <w:t xml:space="preserve">i </w:t>
      </w:r>
      <w:r w:rsidRPr="0005366D">
        <w:rPr>
          <w:szCs w:val="24"/>
        </w:rPr>
        <w:t>Skåne och Sverige har sämre arbetsmetoder för polisen än i t.ex. Danmark. Den organiserade brottsligheten har slagit rot i vårt land</w:t>
      </w:r>
      <w:r w:rsidR="00C439BC" w:rsidRPr="0005366D">
        <w:rPr>
          <w:szCs w:val="24"/>
        </w:rPr>
        <w:t>,</w:t>
      </w:r>
      <w:r w:rsidRPr="0005366D">
        <w:rPr>
          <w:szCs w:val="24"/>
        </w:rPr>
        <w:t xml:space="preserve"> och enligt polisen kommer bl.a. den grova narkotikabrottsligheten att öka. Men Sverige ligger långt efter i kampen mot den organiserade kriminaliteten. Nya krav på en effektiv brottsbekämpning handlar bl.a. om att inrätta ett nationellt underrättelsecenter, införa möjlighet till buggning, infiltration, registrering av spaningsfordon på fiktiva ägare och att inrätta ett vittnesskyddsprogram.</w:t>
      </w:r>
    </w:p>
    <w:p w:rsidR="006A7BB8" w:rsidRPr="0005366D" w:rsidRDefault="00C439BC">
      <w:pPr>
        <w:pStyle w:val="Rubrik2"/>
        <w:shd w:val="clear" w:color="000000" w:fill="auto"/>
      </w:pPr>
      <w:r w:rsidRPr="0005366D">
        <w:t>4</w:t>
      </w:r>
      <w:r w:rsidR="006A7BB8" w:rsidRPr="0005366D">
        <w:t xml:space="preserve"> ”Go for the money” – utökade möjligheter </w:t>
      </w:r>
      <w:r w:rsidRPr="0005366D">
        <w:t>att komma åt kriminellas pengar</w:t>
      </w:r>
    </w:p>
    <w:p w:rsidR="006A7BB8" w:rsidRPr="0005366D" w:rsidRDefault="006A7BB8">
      <w:pPr>
        <w:shd w:val="clear" w:color="000000" w:fill="auto"/>
        <w:rPr>
          <w:szCs w:val="24"/>
        </w:rPr>
      </w:pPr>
      <w:r w:rsidRPr="0005366D">
        <w:rPr>
          <w:szCs w:val="24"/>
        </w:rPr>
        <w:t>Drivkraften bakom narkotikabrottsligheten handlar om att tjäna pengar. Att kunna beslagta vinsten som uppkomm</w:t>
      </w:r>
      <w:r w:rsidR="00C439BC" w:rsidRPr="0005366D">
        <w:rPr>
          <w:szCs w:val="24"/>
        </w:rPr>
        <w:t>it genom brott</w:t>
      </w:r>
      <w:r w:rsidRPr="0005366D">
        <w:rPr>
          <w:szCs w:val="24"/>
        </w:rPr>
        <w:t xml:space="preserve"> är därför ett effektivt sätt att komma åt den grova brottsligheten. Men dagens regler för att komma åt kriminellas pengar och andra tillgångar är för snäva. Det är stötande att den som kommer ut från ett fängelsestraff i lugn och ro kan använda sig av til</w:t>
      </w:r>
      <w:r w:rsidRPr="0005366D">
        <w:rPr>
          <w:szCs w:val="24"/>
        </w:rPr>
        <w:t>l</w:t>
      </w:r>
      <w:r w:rsidRPr="0005366D">
        <w:rPr>
          <w:szCs w:val="24"/>
        </w:rPr>
        <w:t>gångarna från brottet. Utöka möjligheterna till förverkande på grund av brott.</w:t>
      </w:r>
    </w:p>
    <w:p w:rsidR="006A7BB8" w:rsidRPr="0005366D" w:rsidRDefault="006A7BB8">
      <w:pPr>
        <w:pStyle w:val="Rubrik2"/>
        <w:shd w:val="clear" w:color="000000" w:fill="auto"/>
      </w:pPr>
      <w:r w:rsidRPr="0005366D">
        <w:t>5 Inför snabbspår för narkotikaklassning</w:t>
      </w:r>
    </w:p>
    <w:p w:rsidR="006A7BB8" w:rsidRPr="0005366D" w:rsidRDefault="006A7BB8">
      <w:pPr>
        <w:shd w:val="clear" w:color="000000" w:fill="auto"/>
        <w:rPr>
          <w:szCs w:val="24"/>
        </w:rPr>
      </w:pPr>
      <w:r w:rsidRPr="0005366D">
        <w:rPr>
          <w:szCs w:val="24"/>
        </w:rPr>
        <w:t>Dagens regler för klassning av narkotika är alldeles för stelbenta. Att vänta tills problemet</w:t>
      </w:r>
      <w:r w:rsidR="00C439BC" w:rsidRPr="0005366D">
        <w:rPr>
          <w:szCs w:val="24"/>
        </w:rPr>
        <w:t xml:space="preserve"> </w:t>
      </w:r>
      <w:r w:rsidRPr="0005366D">
        <w:rPr>
          <w:szCs w:val="24"/>
        </w:rPr>
        <w:t>med en ny drog redan har hunnit bli stort för att sedan ingripa</w:t>
      </w:r>
      <w:r w:rsidR="00C439BC" w:rsidRPr="0005366D">
        <w:rPr>
          <w:szCs w:val="24"/>
        </w:rPr>
        <w:t xml:space="preserve"> </w:t>
      </w:r>
      <w:r w:rsidRPr="0005366D">
        <w:rPr>
          <w:szCs w:val="24"/>
        </w:rPr>
        <w:t xml:space="preserve">är inget bra sätt att bekämpa narkotikan. Vi kan inte fortsätta </w:t>
      </w:r>
      <w:r w:rsidR="00C439BC" w:rsidRPr="0005366D">
        <w:rPr>
          <w:szCs w:val="24"/>
        </w:rPr>
        <w:t xml:space="preserve">att </w:t>
      </w:r>
      <w:r w:rsidRPr="0005366D">
        <w:rPr>
          <w:szCs w:val="24"/>
        </w:rPr>
        <w:t>sätta ungd</w:t>
      </w:r>
      <w:r w:rsidRPr="0005366D">
        <w:rPr>
          <w:szCs w:val="24"/>
        </w:rPr>
        <w:t>o</w:t>
      </w:r>
      <w:r w:rsidRPr="0005366D">
        <w:rPr>
          <w:szCs w:val="24"/>
        </w:rPr>
        <w:t>mars hälsa och liv på spel medan vi väntar på att nya, farliga droger ska na</w:t>
      </w:r>
      <w:r w:rsidRPr="0005366D">
        <w:rPr>
          <w:szCs w:val="24"/>
        </w:rPr>
        <w:t>r</w:t>
      </w:r>
      <w:r w:rsidRPr="0005366D">
        <w:rPr>
          <w:szCs w:val="24"/>
        </w:rPr>
        <w:t>kotikaklassas. Inför ett snabbspår för narkotikaklassning så att en drog kan ställas under tidsbegränsad kontroll i väntan på narkotikaklassning.</w:t>
      </w:r>
    </w:p>
    <w:p w:rsidR="006A7BB8" w:rsidRPr="0005366D" w:rsidRDefault="006A7BB8">
      <w:pPr>
        <w:pStyle w:val="Rubrik2"/>
        <w:shd w:val="clear" w:color="000000" w:fill="auto"/>
      </w:pPr>
      <w:r w:rsidRPr="0005366D">
        <w:t>6 Tidig upptäckt ökar chanserna att hjälpa</w:t>
      </w:r>
    </w:p>
    <w:p w:rsidR="006A7BB8" w:rsidRPr="0005366D" w:rsidRDefault="006A7BB8">
      <w:pPr>
        <w:shd w:val="clear" w:color="000000" w:fill="auto"/>
        <w:rPr>
          <w:szCs w:val="24"/>
        </w:rPr>
      </w:pPr>
      <w:r w:rsidRPr="0005366D">
        <w:rPr>
          <w:szCs w:val="24"/>
        </w:rPr>
        <w:t>Narkotikamissbruket bryter ne</w:t>
      </w:r>
      <w:r w:rsidR="00C439BC" w:rsidRPr="0005366D">
        <w:rPr>
          <w:szCs w:val="24"/>
        </w:rPr>
        <w:t>d</w:t>
      </w:r>
      <w:r w:rsidRPr="0005366D">
        <w:rPr>
          <w:szCs w:val="24"/>
        </w:rPr>
        <w:t xml:space="preserve"> människor och krossar deras liv, </w:t>
      </w:r>
      <w:r w:rsidR="00C439BC" w:rsidRPr="0005366D">
        <w:rPr>
          <w:szCs w:val="24"/>
        </w:rPr>
        <w:t xml:space="preserve">och </w:t>
      </w:r>
      <w:r w:rsidRPr="0005366D">
        <w:rPr>
          <w:szCs w:val="24"/>
        </w:rPr>
        <w:t>det trasar sönder familj och vänner. Att inte samla krafterna för att kunna ingripa så tidigt som möjligt är ett svek mot alla ungdomar som riskerar att förstöra sina liv i narkotikamissbruk. Krav för tidigare ingripanden handlar bl.a. om ett stärkt samarbete mellan polis och socialtjänst, drogtester i skolorna och u</w:t>
      </w:r>
      <w:r w:rsidRPr="0005366D">
        <w:rPr>
          <w:spacing w:val="-2"/>
          <w:szCs w:val="24"/>
        </w:rPr>
        <w:t>tvidgade möjligheter till informationsutbyte så att polisen kan ingripa tidigare.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66D">
        <w:trPr>
          <w:cantSplit/>
        </w:trPr>
        <w:tc>
          <w:tcPr>
            <w:tcW w:w="3046" w:type="dxa"/>
          </w:tcPr>
          <w:p w:rsidR="00212CFC" w:rsidRPr="0005366D" w:rsidRDefault="00212CFC">
            <w:pPr>
              <w:pStyle w:val="UnderskriftDatum"/>
              <w:shd w:val="clear" w:color="000000" w:fill="auto"/>
              <w:spacing w:before="240"/>
            </w:pPr>
            <w:r w:rsidRPr="0005366D">
              <w:t>Stockholm den 31 oktober 2006</w:t>
            </w:r>
          </w:p>
        </w:tc>
        <w:tc>
          <w:tcPr>
            <w:tcW w:w="3047" w:type="dxa"/>
          </w:tcPr>
          <w:p w:rsidR="00212CFC" w:rsidRPr="0005366D" w:rsidRDefault="00212CFC">
            <w:pPr>
              <w:pStyle w:val="Underskrifter"/>
              <w:shd w:val="clear" w:color="000000" w:fill="auto"/>
              <w:spacing w:before="240"/>
            </w:pPr>
          </w:p>
        </w:tc>
      </w:tr>
      <w:tr w:rsidR="00000000" w:rsidRPr="0005366D">
        <w:trPr>
          <w:cantSplit/>
        </w:trPr>
        <w:tc>
          <w:tcPr>
            <w:tcW w:w="3046" w:type="dxa"/>
          </w:tcPr>
          <w:p w:rsidR="00212CFC" w:rsidRPr="0005366D" w:rsidRDefault="00212CFC">
            <w:pPr>
              <w:pStyle w:val="Underskrifter"/>
              <w:shd w:val="clear" w:color="000000" w:fill="auto"/>
            </w:pPr>
            <w:r w:rsidRPr="0005366D">
              <w:t>Torkild Strandberg (fp)</w:t>
            </w:r>
          </w:p>
        </w:tc>
        <w:tc>
          <w:tcPr>
            <w:tcW w:w="3046" w:type="dxa"/>
          </w:tcPr>
          <w:p w:rsidR="00212CFC" w:rsidRPr="0005366D" w:rsidRDefault="00212CFC">
            <w:pPr>
              <w:pStyle w:val="Underskrifter"/>
              <w:shd w:val="clear" w:color="000000" w:fill="auto"/>
            </w:pPr>
          </w:p>
        </w:tc>
      </w:tr>
    </w:tbl>
    <w:p w:rsidR="00E84F25" w:rsidRPr="0005366D" w:rsidRDefault="00E84F25">
      <w:pPr>
        <w:pStyle w:val="Normaltindrag"/>
        <w:shd w:val="clear" w:color="000000" w:fill="auto"/>
      </w:pPr>
    </w:p>
    <w:sectPr w:rsidR="00E84F25" w:rsidRPr="0005366D" w:rsidSect="00010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CFC" w:rsidRPr="0005366D" w:rsidRDefault="00212CFC">
      <w:r w:rsidRPr="0005366D">
        <w:separator/>
      </w:r>
    </w:p>
  </w:endnote>
  <w:endnote w:type="continuationSeparator" w:id="0">
    <w:p w:rsidR="00212CFC" w:rsidRPr="0005366D" w:rsidRDefault="00212CFC">
      <w:r w:rsidRPr="00053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DC" w:rsidRPr="0005366D" w:rsidRDefault="0005366D" w:rsidP="00010C66">
    <w:pPr>
      <w:pStyle w:val="Sidfot"/>
    </w:pPr>
    <w:r w:rsidRPr="00053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755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6" w:rsidRDefault="00212CFC">
                          <w:pPr>
                            <w:pStyle w:val="NormalS5sidnrV"/>
                          </w:pPr>
                          <w:r>
                            <w:fldChar w:fldCharType="begin"/>
                          </w:r>
                          <w:r w:rsidR="00010C6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C66" w:rsidRDefault="00212CFC">
                    <w:pPr>
                      <w:pStyle w:val="NormalS5sidnrV"/>
                    </w:pPr>
                    <w:r>
                      <w:fldChar w:fldCharType="begin"/>
                    </w:r>
                    <w:r w:rsidR="00010C6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DC" w:rsidRPr="0005366D" w:rsidRDefault="0005366D" w:rsidP="00010C66">
    <w:pPr>
      <w:pStyle w:val="Sidfot"/>
    </w:pPr>
    <w:r w:rsidRPr="00053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72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6" w:rsidRDefault="00212CFC">
                          <w:pPr>
                            <w:pStyle w:val="NormalS5sidnrH"/>
                            <w:ind w:right="0"/>
                          </w:pPr>
                          <w:r>
                            <w:fldChar w:fldCharType="begin"/>
                          </w:r>
                          <w:r w:rsidR="00010C66">
                            <w:instrText xml:space="preserve"> PAGE *\charformat</w:instrText>
                          </w:r>
                          <w:r>
                            <w:fldChar w:fldCharType="separate"/>
                          </w:r>
                          <w:r w:rsidR="00680E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C66" w:rsidRDefault="00212CFC">
                    <w:pPr>
                      <w:pStyle w:val="NormalS5sidnrH"/>
                      <w:ind w:right="0"/>
                    </w:pPr>
                    <w:r>
                      <w:fldChar w:fldCharType="begin"/>
                    </w:r>
                    <w:r w:rsidR="00010C66">
                      <w:instrText xml:space="preserve"> PAGE *\charformat</w:instrText>
                    </w:r>
                    <w:r>
                      <w:fldChar w:fldCharType="separate"/>
                    </w:r>
                    <w:r w:rsidR="00680E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DC" w:rsidRPr="0005366D" w:rsidRDefault="0005366D" w:rsidP="00010C66">
    <w:pPr>
      <w:pStyle w:val="Sidfot"/>
    </w:pPr>
    <w:r w:rsidRPr="00053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145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6" w:rsidRDefault="00212CFC">
                          <w:pPr>
                            <w:pStyle w:val="NormalS5sidnrH"/>
                            <w:ind w:right="0"/>
                          </w:pPr>
                          <w:r>
                            <w:fldChar w:fldCharType="begin"/>
                          </w:r>
                          <w:r w:rsidR="00010C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C66" w:rsidRDefault="00212CFC">
                    <w:pPr>
                      <w:pStyle w:val="NormalS5sidnrH"/>
                      <w:ind w:right="0"/>
                    </w:pPr>
                    <w:r>
                      <w:fldChar w:fldCharType="begin"/>
                    </w:r>
                    <w:r w:rsidR="00010C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CFC" w:rsidRPr="0005366D" w:rsidRDefault="00212CFC">
      <w:r w:rsidRPr="0005366D">
        <w:separator/>
      </w:r>
    </w:p>
  </w:footnote>
  <w:footnote w:type="continuationSeparator" w:id="0">
    <w:p w:rsidR="00212CFC" w:rsidRPr="0005366D" w:rsidRDefault="00212CFC">
      <w:r w:rsidRPr="00053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DC" w:rsidRPr="0005366D" w:rsidRDefault="0005366D" w:rsidP="00010C66">
    <w:pPr>
      <w:pStyle w:val="Sidhuvud"/>
    </w:pPr>
    <w:r w:rsidRPr="00053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128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6" w:rsidRDefault="00212CFC">
                          <w:pPr>
                            <w:pStyle w:val="KantRubrikS5V"/>
                          </w:pPr>
                          <w:r>
                            <w:fldChar w:fldCharType="begin"/>
                          </w:r>
                          <w:r w:rsidR="00010C66">
                            <w:instrText xml:space="preserve"> DOCPROPERTY "YearUser" *\charformat </w:instrText>
                          </w:r>
                          <w:r>
                            <w:fldChar w:fldCharType="separate"/>
                          </w:r>
                          <w:r w:rsidR="00680EAA">
                            <w:t>2006/07</w:t>
                          </w:r>
                          <w:r>
                            <w:fldChar w:fldCharType="end"/>
                          </w:r>
                          <w:r w:rsidR="00010C66">
                            <w:t>:</w:t>
                          </w:r>
                          <w:r>
                            <w:fldChar w:fldCharType="begin"/>
                          </w:r>
                          <w:r w:rsidR="00010C66">
                            <w:instrText xml:space="preserve"> DOCPROPERTY "Motionsnummer" *\charformat </w:instrText>
                          </w:r>
                          <w:r>
                            <w:fldChar w:fldCharType="separate"/>
                          </w:r>
                          <w:r w:rsidR="00680EAA">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C66" w:rsidRDefault="00212CFC">
                    <w:pPr>
                      <w:pStyle w:val="KantRubrikS5V"/>
                    </w:pPr>
                    <w:r>
                      <w:fldChar w:fldCharType="begin"/>
                    </w:r>
                    <w:r w:rsidR="00010C66">
                      <w:instrText xml:space="preserve"> DOCPROPERTY "YearUser" *\charformat </w:instrText>
                    </w:r>
                    <w:r>
                      <w:fldChar w:fldCharType="separate"/>
                    </w:r>
                    <w:r w:rsidR="00680EAA">
                      <w:t>2006/07</w:t>
                    </w:r>
                    <w:r>
                      <w:fldChar w:fldCharType="end"/>
                    </w:r>
                    <w:r w:rsidR="00010C66">
                      <w:t>:</w:t>
                    </w:r>
                    <w:r>
                      <w:fldChar w:fldCharType="begin"/>
                    </w:r>
                    <w:r w:rsidR="00010C66">
                      <w:instrText xml:space="preserve"> DOCPROPERTY "Motionsnummer" *\charformat </w:instrText>
                    </w:r>
                    <w:r>
                      <w:fldChar w:fldCharType="separate"/>
                    </w:r>
                    <w:r w:rsidR="00680EAA">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CDC" w:rsidRPr="0005366D" w:rsidRDefault="0005366D" w:rsidP="00010C66">
    <w:pPr>
      <w:pStyle w:val="Sidhuvud"/>
    </w:pPr>
    <w:r w:rsidRPr="00053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769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66" w:rsidRDefault="00212CFC">
                          <w:pPr>
                            <w:pStyle w:val="KantRubrikS5H"/>
                            <w:ind w:right="0"/>
                          </w:pPr>
                          <w:r>
                            <w:fldChar w:fldCharType="begin"/>
                          </w:r>
                          <w:r w:rsidR="00010C66">
                            <w:instrText xml:space="preserve"> DOCPROPERTY "YearUser" *\charformat </w:instrText>
                          </w:r>
                          <w:r>
                            <w:fldChar w:fldCharType="separate"/>
                          </w:r>
                          <w:r w:rsidR="00680EAA">
                            <w:t>2006/07</w:t>
                          </w:r>
                          <w:r>
                            <w:fldChar w:fldCharType="end"/>
                          </w:r>
                          <w:r w:rsidR="00010C66">
                            <w:t>:</w:t>
                          </w:r>
                          <w:r>
                            <w:fldChar w:fldCharType="begin"/>
                          </w:r>
                          <w:r w:rsidR="00010C66">
                            <w:instrText xml:space="preserve"> DOCPROPERTY "Motionsnummer" *\charformat </w:instrText>
                          </w:r>
                          <w:r>
                            <w:fldChar w:fldCharType="separate"/>
                          </w:r>
                          <w:r w:rsidR="00680EAA">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C66" w:rsidRDefault="00212CFC">
                    <w:pPr>
                      <w:pStyle w:val="KantRubrikS5H"/>
                      <w:ind w:right="0"/>
                    </w:pPr>
                    <w:r>
                      <w:fldChar w:fldCharType="begin"/>
                    </w:r>
                    <w:r w:rsidR="00010C66">
                      <w:instrText xml:space="preserve"> DOCPROPERTY "YearUser" *\charformat </w:instrText>
                    </w:r>
                    <w:r>
                      <w:fldChar w:fldCharType="separate"/>
                    </w:r>
                    <w:r w:rsidR="00680EAA">
                      <w:t>2006/07</w:t>
                    </w:r>
                    <w:r>
                      <w:fldChar w:fldCharType="end"/>
                    </w:r>
                    <w:r w:rsidR="00010C66">
                      <w:t>:</w:t>
                    </w:r>
                    <w:r>
                      <w:fldChar w:fldCharType="begin"/>
                    </w:r>
                    <w:r w:rsidR="00010C66">
                      <w:instrText xml:space="preserve"> DOCPROPERTY "Motionsnummer" *\charformat </w:instrText>
                    </w:r>
                    <w:r>
                      <w:fldChar w:fldCharType="separate"/>
                    </w:r>
                    <w:r w:rsidR="00680EAA">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CFC" w:rsidRPr="0005366D" w:rsidRDefault="00212CFC">
    <w:pPr>
      <w:pStyle w:val="FSHNormal"/>
      <w:tabs>
        <w:tab w:val="right" w:pos="5840"/>
      </w:tabs>
    </w:pPr>
    <w:r w:rsidRPr="0005366D">
      <w:br/>
    </w:r>
    <w:r w:rsidRPr="0005366D">
      <w:fldChar w:fldCharType="begin" w:fldLock="1"/>
    </w:r>
    <w:r w:rsidRPr="0005366D">
      <w:instrText xml:space="preserve"> DOCPROPERTY</w:instrText>
    </w:r>
    <w:r w:rsidRPr="0005366D">
      <w:rPr>
        <w:sz w:val="18"/>
      </w:rPr>
      <w:instrText xml:space="preserve"> "YearUser" *\charformat </w:instrText>
    </w:r>
    <w:r w:rsidRPr="0005366D">
      <w:fldChar w:fldCharType="separate"/>
    </w:r>
    <w:r w:rsidRPr="0005366D">
      <w:t>2006/07</w:t>
    </w:r>
    <w:r w:rsidRPr="0005366D">
      <w:fldChar w:fldCharType="end"/>
    </w:r>
    <w:r w:rsidRPr="0005366D">
      <w:t xml:space="preserve"> </w:t>
    </w:r>
    <w:r w:rsidRPr="0005366D">
      <w:tab/>
      <w:t xml:space="preserve">mnr: </w:t>
    </w:r>
    <w:r w:rsidRPr="0005366D">
      <w:fldChar w:fldCharType="begin" w:fldLock="1"/>
    </w:r>
    <w:r w:rsidRPr="0005366D">
      <w:instrText xml:space="preserve"> DOCPROPERTY</w:instrText>
    </w:r>
    <w:r w:rsidRPr="0005366D">
      <w:rPr>
        <w:sz w:val="18"/>
      </w:rPr>
      <w:instrText xml:space="preserve"> "Motionsnummer" *\charformat </w:instrText>
    </w:r>
    <w:r w:rsidRPr="0005366D">
      <w:fldChar w:fldCharType="separate"/>
    </w:r>
    <w:r w:rsidRPr="0005366D">
      <w:t>Ju311</w:t>
    </w:r>
    <w:r w:rsidRPr="0005366D">
      <w:fldChar w:fldCharType="end"/>
    </w:r>
    <w:r w:rsidRPr="0005366D">
      <w:br/>
    </w:r>
    <w:r w:rsidRPr="0005366D">
      <w:fldChar w:fldCharType="begin" w:fldLock="1"/>
    </w:r>
    <w:r w:rsidRPr="0005366D">
      <w:instrText xml:space="preserve"> DOCPROPERTY</w:instrText>
    </w:r>
    <w:r w:rsidRPr="0005366D">
      <w:rPr>
        <w:sz w:val="18"/>
      </w:rPr>
      <w:instrText xml:space="preserve"> "Samling" *\charformat </w:instrText>
    </w:r>
    <w:r w:rsidRPr="0005366D">
      <w:fldChar w:fldCharType="end"/>
    </w:r>
    <w:r w:rsidRPr="0005366D">
      <w:tab/>
      <w:t xml:space="preserve">pnr: </w:t>
    </w:r>
    <w:r w:rsidRPr="0005366D">
      <w:fldChar w:fldCharType="begin" w:fldLock="1"/>
    </w:r>
    <w:r w:rsidRPr="0005366D">
      <w:instrText xml:space="preserve"> DOCPROPERTY</w:instrText>
    </w:r>
    <w:r w:rsidRPr="0005366D">
      <w:rPr>
        <w:sz w:val="18"/>
      </w:rPr>
      <w:instrText xml:space="preserve"> "Partinummer" *\charformat </w:instrText>
    </w:r>
    <w:r w:rsidRPr="0005366D">
      <w:fldChar w:fldCharType="separate"/>
    </w:r>
    <w:r w:rsidRPr="0005366D">
      <w:t>fp1540</w:t>
    </w:r>
    <w:r w:rsidRPr="0005366D">
      <w:fldChar w:fldCharType="end"/>
    </w:r>
  </w:p>
  <w:p w:rsidR="00212CFC" w:rsidRPr="0005366D" w:rsidRDefault="00212CFC">
    <w:pPr>
      <w:pStyle w:val="FSHRub1"/>
    </w:pPr>
    <w:r w:rsidRPr="0005366D">
      <w:t>Motion till riksdagen</w:t>
    </w:r>
    <w:r w:rsidRPr="0005366D">
      <w:br/>
    </w:r>
    <w:r w:rsidRPr="0005366D">
      <w:fldChar w:fldCharType="begin" w:fldLock="1"/>
    </w:r>
    <w:r w:rsidRPr="0005366D">
      <w:instrText xml:space="preserve"> DOCPROPERTY "YearUser" *\charformat </w:instrText>
    </w:r>
    <w:r w:rsidRPr="0005366D">
      <w:fldChar w:fldCharType="separate"/>
    </w:r>
    <w:r w:rsidRPr="0005366D">
      <w:t>2006/07</w:t>
    </w:r>
    <w:r w:rsidRPr="0005366D">
      <w:fldChar w:fldCharType="end"/>
    </w:r>
    <w:r w:rsidRPr="0005366D">
      <w:t>:</w:t>
    </w:r>
    <w:r w:rsidRPr="0005366D">
      <w:fldChar w:fldCharType="begin" w:fldLock="1"/>
    </w:r>
    <w:r w:rsidRPr="0005366D">
      <w:instrText xml:space="preserve"> DOCPROPERTY "Motionsnummer" *\charformat </w:instrText>
    </w:r>
    <w:r w:rsidRPr="0005366D">
      <w:fldChar w:fldCharType="separate"/>
    </w:r>
    <w:r w:rsidRPr="0005366D">
      <w:t>Ju311</w:t>
    </w:r>
    <w:r w:rsidRPr="0005366D">
      <w:fldChar w:fldCharType="end"/>
    </w:r>
  </w:p>
  <w:p w:rsidR="00212CFC" w:rsidRPr="0005366D" w:rsidRDefault="00212CFC">
    <w:pPr>
      <w:pStyle w:val="FSHNormalS5"/>
    </w:pPr>
    <w:r w:rsidRPr="0005366D">
      <w:fldChar w:fldCharType="begin" w:fldLock="1"/>
    </w:r>
    <w:r w:rsidRPr="0005366D">
      <w:instrText xml:space="preserve"> DOCPROPERTY "MotionarText" *\charformat </w:instrText>
    </w:r>
    <w:r w:rsidRPr="0005366D">
      <w:fldChar w:fldCharType="separate"/>
    </w:r>
    <w:r w:rsidRPr="0005366D">
      <w:t>av Torkild Strandberg (fp)</w:t>
    </w:r>
    <w:r w:rsidRPr="0005366D">
      <w:fldChar w:fldCharType="end"/>
    </w:r>
    <w:r w:rsidRPr="0005366D">
      <w:br/>
    </w:r>
    <w:r w:rsidRPr="0005366D">
      <w:fldChar w:fldCharType="begin" w:fldLock="1"/>
    </w:r>
    <w:r w:rsidRPr="0005366D">
      <w:instrText xml:space="preserve"> DOCPROPERTY "SvarFrasKort" *\charformat </w:instrText>
    </w:r>
    <w:r w:rsidRPr="0005366D">
      <w:fldChar w:fldCharType="end"/>
    </w:r>
  </w:p>
  <w:p w:rsidR="00212CFC" w:rsidRPr="0005366D" w:rsidRDefault="00212CFC">
    <w:pPr>
      <w:pStyle w:val="FSHTitel"/>
    </w:pPr>
    <w:r w:rsidRPr="0005366D">
      <w:fldChar w:fldCharType="begin" w:fldLock="1"/>
    </w:r>
    <w:r w:rsidRPr="0005366D">
      <w:instrText xml:space="preserve"> DOCPROPERTY</w:instrText>
    </w:r>
    <w:r w:rsidRPr="0005366D">
      <w:rPr>
        <w:sz w:val="18"/>
      </w:rPr>
      <w:instrText xml:space="preserve"> "RubrikSvar" *\charformat </w:instrText>
    </w:r>
    <w:r w:rsidRPr="0005366D">
      <w:fldChar w:fldCharType="separate"/>
    </w:r>
    <w:r w:rsidRPr="0005366D">
      <w:t>Kampen mot narkotika</w:t>
    </w:r>
    <w:r w:rsidRPr="0005366D">
      <w:fldChar w:fldCharType="end"/>
    </w:r>
  </w:p>
  <w:p w:rsidR="00212CFC" w:rsidRPr="0005366D" w:rsidRDefault="00212CFC">
    <w:pPr>
      <w:pStyle w:val="Normal00"/>
    </w:pPr>
  </w:p>
  <w:p w:rsidR="00010C66" w:rsidRPr="0005366D" w:rsidRDefault="00010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15470"/>
    <w:multiLevelType w:val="hybridMultilevel"/>
    <w:tmpl w:val="672C7FDE"/>
    <w:lvl w:ilvl="0" w:tplc="F64AF6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1799607">
    <w:abstractNumId w:val="14"/>
  </w:num>
  <w:num w:numId="2" w16cid:durableId="2001421367">
    <w:abstractNumId w:val="11"/>
  </w:num>
  <w:num w:numId="3" w16cid:durableId="1083915467">
    <w:abstractNumId w:val="12"/>
  </w:num>
  <w:num w:numId="4" w16cid:durableId="2047094477">
    <w:abstractNumId w:val="13"/>
  </w:num>
  <w:num w:numId="5" w16cid:durableId="839857722">
    <w:abstractNumId w:val="8"/>
  </w:num>
  <w:num w:numId="6" w16cid:durableId="97717614">
    <w:abstractNumId w:val="3"/>
  </w:num>
  <w:num w:numId="7" w16cid:durableId="1652100400">
    <w:abstractNumId w:val="2"/>
  </w:num>
  <w:num w:numId="8" w16cid:durableId="491919472">
    <w:abstractNumId w:val="1"/>
  </w:num>
  <w:num w:numId="9" w16cid:durableId="882912886">
    <w:abstractNumId w:val="0"/>
  </w:num>
  <w:num w:numId="10" w16cid:durableId="577398342">
    <w:abstractNumId w:val="9"/>
  </w:num>
  <w:num w:numId="11" w16cid:durableId="1569732865">
    <w:abstractNumId w:val="7"/>
  </w:num>
  <w:num w:numId="12" w16cid:durableId="447117896">
    <w:abstractNumId w:val="6"/>
  </w:num>
  <w:num w:numId="13" w16cid:durableId="32778143">
    <w:abstractNumId w:val="5"/>
  </w:num>
  <w:num w:numId="14" w16cid:durableId="1270359039">
    <w:abstractNumId w:val="4"/>
  </w:num>
  <w:num w:numId="15" w16cid:durableId="810172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9363EED-5BF4-4B0A-B9F3-4CA2EDDC075C}"/>
  </w:docVars>
  <w:rsids>
    <w:rsidRoot w:val="0005366D"/>
    <w:rsid w:val="00002742"/>
    <w:rsid w:val="00010C66"/>
    <w:rsid w:val="000220F8"/>
    <w:rsid w:val="00034058"/>
    <w:rsid w:val="00040D14"/>
    <w:rsid w:val="0004381F"/>
    <w:rsid w:val="0005366D"/>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0794"/>
    <w:rsid w:val="0019171D"/>
    <w:rsid w:val="001921C4"/>
    <w:rsid w:val="001923A4"/>
    <w:rsid w:val="001A25D5"/>
    <w:rsid w:val="001A2624"/>
    <w:rsid w:val="001A2A2B"/>
    <w:rsid w:val="001D43A4"/>
    <w:rsid w:val="001E0043"/>
    <w:rsid w:val="00201DFB"/>
    <w:rsid w:val="00204A63"/>
    <w:rsid w:val="00212CFC"/>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609C"/>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361B8"/>
    <w:rsid w:val="00653DD0"/>
    <w:rsid w:val="00680EAA"/>
    <w:rsid w:val="00687489"/>
    <w:rsid w:val="006A7BB8"/>
    <w:rsid w:val="006B6262"/>
    <w:rsid w:val="00727C6F"/>
    <w:rsid w:val="00740D6D"/>
    <w:rsid w:val="00743F76"/>
    <w:rsid w:val="00770030"/>
    <w:rsid w:val="00774959"/>
    <w:rsid w:val="007852B2"/>
    <w:rsid w:val="00794149"/>
    <w:rsid w:val="007B67A7"/>
    <w:rsid w:val="007C6092"/>
    <w:rsid w:val="007E119E"/>
    <w:rsid w:val="007E68D8"/>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2DD9"/>
    <w:rsid w:val="00B33C81"/>
    <w:rsid w:val="00B34666"/>
    <w:rsid w:val="00B67E5B"/>
    <w:rsid w:val="00BA4894"/>
    <w:rsid w:val="00BA6BE0"/>
    <w:rsid w:val="00BB6D75"/>
    <w:rsid w:val="00BC7688"/>
    <w:rsid w:val="00BD43A8"/>
    <w:rsid w:val="00C1285C"/>
    <w:rsid w:val="00C27B7D"/>
    <w:rsid w:val="00C32A06"/>
    <w:rsid w:val="00C439BC"/>
    <w:rsid w:val="00C44394"/>
    <w:rsid w:val="00C50579"/>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5F3C"/>
    <w:rsid w:val="00DC0DF0"/>
    <w:rsid w:val="00DC6C70"/>
    <w:rsid w:val="00DF5ACD"/>
    <w:rsid w:val="00E22893"/>
    <w:rsid w:val="00E349C2"/>
    <w:rsid w:val="00E360DE"/>
    <w:rsid w:val="00E5074A"/>
    <w:rsid w:val="00E521CB"/>
    <w:rsid w:val="00E728F6"/>
    <w:rsid w:val="00E75D28"/>
    <w:rsid w:val="00E84F25"/>
    <w:rsid w:val="00EA5CDC"/>
    <w:rsid w:val="00EC007B"/>
    <w:rsid w:val="00EF1007"/>
    <w:rsid w:val="00F0403A"/>
    <w:rsid w:val="00F04128"/>
    <w:rsid w:val="00F21B30"/>
    <w:rsid w:val="00F273EA"/>
    <w:rsid w:val="00F42CB9"/>
    <w:rsid w:val="00F4777F"/>
    <w:rsid w:val="00F70067"/>
    <w:rsid w:val="00F73E9E"/>
    <w:rsid w:val="00F87D14"/>
    <w:rsid w:val="00FA3374"/>
    <w:rsid w:val="00FB2435"/>
    <w:rsid w:val="00FB6490"/>
    <w:rsid w:val="00FC53D4"/>
    <w:rsid w:val="00FC7246"/>
    <w:rsid w:val="00FC7E79"/>
    <w:rsid w:val="00FD1A32"/>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05219E-3B97-438F-8845-16FB35FA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0C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Enkeltabell1">
    <w:name w:val="Table Simple 1"/>
    <w:basedOn w:val="Normaltabell"/>
    <w:rsid w:val="006A7BB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Rubrik3Char">
    <w:name w:val="Rubrik 3 Char"/>
    <w:aliases w:val="Mellanrubrik Char"/>
    <w:basedOn w:val="Standardstycketeckensnitt"/>
    <w:link w:val="Rubrik3"/>
    <w:rsid w:val="006A7BB8"/>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5598</Characters>
  <Application>Microsoft Office Word</Application>
  <DocSecurity>4</DocSecurity>
  <Lines>169</Lines>
  <Paragraphs>103</Paragraphs>
  <ScaleCrop>false</ScaleCrop>
  <HeadingPairs>
    <vt:vector size="2" baseType="variant">
      <vt:variant>
        <vt:lpstr>Rubrik</vt:lpstr>
      </vt:variant>
      <vt:variant>
        <vt:i4>1</vt:i4>
      </vt:variant>
    </vt:vector>
  </HeadingPairs>
  <TitlesOfParts>
    <vt:vector size="1" baseType="lpstr">
      <vt:lpstr>fp1540</vt:lpstr>
    </vt:vector>
  </TitlesOfParts>
  <Company>Riksdagen</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fp1540</dc:title>
  <dc:subject>fp1540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2007-01-16T06:55:00Z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Kampen mot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20062007000001020112000015400069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20062007000001020112000015400069</vt:lpwstr>
  </property>
  <property fmtid="{D5CDD505-2E9C-101B-9397-08002B2CF9AE}" pid="50" name="nummer">
    <vt:lpwstr>311</vt:lpwstr>
  </property>
  <property fmtid="{D5CDD505-2E9C-101B-9397-08002B2CF9AE}" pid="51" name="utskottsbeteckning">
    <vt:lpwstr>Ju</vt:lpwstr>
  </property>
  <property fmtid="{D5CDD505-2E9C-101B-9397-08002B2CF9AE}" pid="52" name="GlobalUID">
    <vt:lpwstr>{C4E63C02-CC86-42CD-9D38-96404D9CAD45}</vt:lpwstr>
  </property>
  <property fmtid="{D5CDD505-2E9C-101B-9397-08002B2CF9AE}" pid="53" name="Överföringar">
    <vt:i4>0</vt:i4>
  </property>
  <property fmtid="{D5CDD505-2E9C-101B-9397-08002B2CF9AE}" pid="54" name="Checksum">
    <vt:lpwstr>*1014402946476*</vt:lpwstr>
  </property>
  <property fmtid="{D5CDD505-2E9C-101B-9397-08002B2CF9AE}" pid="55" name="skuggnummer">
    <vt:lpwstr>1468</vt:lpwstr>
  </property>
  <property fmtid="{D5CDD505-2E9C-101B-9397-08002B2CF9AE}" pid="56" name="urixVersion">
    <vt:lpwstr>3.1.4.4</vt:lpwstr>
  </property>
  <property fmtid="{D5CDD505-2E9C-101B-9397-08002B2CF9AE}" pid="57" name="urixOrigin">
    <vt:lpwstr>070215 16:29:12.961</vt:lpwstr>
  </property>
  <property fmtid="{D5CDD505-2E9C-101B-9397-08002B2CF9AE}" pid="58" name="urixGuid">
    <vt:lpwstr>{5B1926CB-3E92-46EE-BB35-A091FFA36BB4}</vt:lpwstr>
  </property>
</Properties>
</file>