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53B" w:rsidRPr="00115980" w:rsidRDefault="0089553B">
      <w:pPr>
        <w:pStyle w:val="Hemstlrubrik"/>
        <w:shd w:val="clear" w:color="000000" w:fill="auto"/>
      </w:pPr>
      <w:r w:rsidRPr="00115980">
        <w:t>Förslag till riksdagsbeslut</w:t>
      </w:r>
    </w:p>
    <w:p w:rsidR="0089553B" w:rsidRPr="00115980" w:rsidRDefault="0089553B">
      <w:pPr>
        <w:pStyle w:val="Hemstlatt"/>
        <w:shd w:val="clear" w:color="000000" w:fill="auto"/>
        <w:ind w:left="0"/>
      </w:pPr>
      <w:r w:rsidRPr="00115980">
        <w:t>Riksdagen tillkännager för regeringen som sin mening vad som anförs i motionen om behovet av en utredning om att fasa ut alla subventioner som upprätthåller fossilbränsleanvändningen inom transportse</w:t>
      </w:r>
      <w:r w:rsidRPr="00115980">
        <w:t>k</w:t>
      </w:r>
      <w:r w:rsidRPr="00115980">
        <w:t>torn.</w:t>
      </w:r>
    </w:p>
    <w:p w:rsidR="0089553B" w:rsidRPr="00115980" w:rsidRDefault="0089553B">
      <w:pPr>
        <w:pStyle w:val="Rubrik1"/>
        <w:shd w:val="clear" w:color="000000" w:fill="auto"/>
      </w:pPr>
      <w:r w:rsidRPr="00115980">
        <w:t>Motivering</w:t>
      </w:r>
    </w:p>
    <w:p w:rsidR="0089553B" w:rsidRPr="00115980" w:rsidRDefault="0089553B">
      <w:pPr>
        <w:shd w:val="clear" w:color="000000" w:fill="auto"/>
      </w:pPr>
      <w:r w:rsidRPr="00115980">
        <w:t>I diskussionen om kostnaderna för omställningen till ett klimatvänligt samhä</w:t>
      </w:r>
      <w:r w:rsidRPr="00115980">
        <w:t>l</w:t>
      </w:r>
      <w:r w:rsidRPr="00115980">
        <w:t>le anförs ibland att omställningen blir mycket dyr. Det är säkert sant. Su</w:t>
      </w:r>
      <w:r w:rsidRPr="00115980">
        <w:t>m</w:t>
      </w:r>
      <w:r w:rsidRPr="00115980">
        <w:t>morna för bara det som föreslås i Klimat- och sårbarhetsutredningen belöper sig på över 100 miljarder kronor, men såsom bland annat visats i Sternrappo</w:t>
      </w:r>
      <w:r w:rsidRPr="00115980">
        <w:t>r</w:t>
      </w:r>
      <w:r w:rsidRPr="00115980">
        <w:t>ten skulle det bli dyrare att inte ställa om. Kostnaderna för förstörelse i kl</w:t>
      </w:r>
      <w:r w:rsidRPr="00115980">
        <w:t>i</w:t>
      </w:r>
      <w:r w:rsidRPr="00115980">
        <w:t>matförändringarnas spår har uppskattats vara i storleks</w:t>
      </w:r>
      <w:r w:rsidRPr="00115980">
        <w:softHyphen/>
        <w:t>ordningen av vad de två världskrigen kostade Europa. Det som borde vara intressantast både u</w:t>
      </w:r>
      <w:r w:rsidRPr="00115980">
        <w:t>t</w:t>
      </w:r>
      <w:r w:rsidRPr="00115980">
        <w:t>ifrån en statsfinasiell och en klimatpolitisk synpunkt ä</w:t>
      </w:r>
      <w:r w:rsidRPr="00115980">
        <w:t>r att snabbt fasa ut alla de subventioner som upprätthåller fossilbränsleanvändningen. Detta bör utr</w:t>
      </w:r>
      <w:r w:rsidRPr="00115980">
        <w:t>e</w:t>
      </w:r>
      <w:r w:rsidRPr="00115980">
        <w:t>das.</w:t>
      </w:r>
    </w:p>
    <w:p w:rsidR="0089553B" w:rsidRPr="00115980" w:rsidRDefault="0089553B">
      <w:pPr>
        <w:pStyle w:val="Normaltindrag"/>
        <w:shd w:val="clear" w:color="000000" w:fill="auto"/>
      </w:pPr>
      <w:r w:rsidRPr="00115980">
        <w:t>Nedan redovisas fem olika subventioner eller liknande som upprätthåller användningen av fossila bränslen inom transportsektorn. Förutom dessa som redovisas kan man säga att det faktum att de samhällsekonomiska margina</w:t>
      </w:r>
      <w:r w:rsidRPr="00115980">
        <w:t>l</w:t>
      </w:r>
      <w:r w:rsidRPr="00115980">
        <w:t>kostnaderna för de externa effekterna inte är internaliserade i hela transpor</w:t>
      </w:r>
      <w:r w:rsidRPr="00115980">
        <w:t>t</w:t>
      </w:r>
      <w:r w:rsidRPr="00115980">
        <w:t xml:space="preserve">sektorn är ett slags subvention från statens sida. </w:t>
      </w:r>
    </w:p>
    <w:p w:rsidR="0089553B" w:rsidRPr="00115980" w:rsidRDefault="0089553B">
      <w:pPr>
        <w:pStyle w:val="Normaltindrag"/>
        <w:shd w:val="clear" w:color="000000" w:fill="auto"/>
      </w:pPr>
      <w:r w:rsidRPr="00115980">
        <w:t>I många av beräkningarna nedan måste flera antaganden göras för att ku</w:t>
      </w:r>
      <w:r w:rsidRPr="00115980">
        <w:t>n</w:t>
      </w:r>
      <w:r w:rsidRPr="00115980">
        <w:t xml:space="preserve">na beräkna utsläppen. En försiktighetsprincip har då använts så att den </w:t>
      </w:r>
      <w:r w:rsidRPr="00115980">
        <w:lastRenderedPageBreak/>
        <w:t>lägsta möjliga nivån på utsläppen beräknas, detta för att reducera ett element av osäkerhet.</w:t>
      </w:r>
    </w:p>
    <w:p w:rsidR="0089553B" w:rsidRPr="00115980" w:rsidRDefault="0089553B">
      <w:pPr>
        <w:pStyle w:val="Rubrik2"/>
        <w:shd w:val="clear" w:color="000000" w:fill="auto"/>
      </w:pPr>
      <w:r w:rsidRPr="00115980">
        <w:t>Rikstrafikens flygupphandlingar</w:t>
      </w:r>
    </w:p>
    <w:p w:rsidR="0089553B" w:rsidRPr="00115980" w:rsidRDefault="0089553B">
      <w:pPr>
        <w:shd w:val="clear" w:color="000000" w:fill="auto"/>
      </w:pPr>
      <w:r w:rsidRPr="00115980">
        <w:t>Rikstrafiken har två huvuduppgifter: dels att upphandla trafik, dels att utvec</w:t>
      </w:r>
      <w:r w:rsidRPr="00115980">
        <w:t>k</w:t>
      </w:r>
      <w:r w:rsidRPr="00115980">
        <w:t xml:space="preserve">la och samordna kollektiv persontrafik. En del av Rikstrafikens upphandlingar utgörs av flygtrafik. </w:t>
      </w:r>
    </w:p>
    <w:p w:rsidR="0089553B" w:rsidRPr="00115980" w:rsidRDefault="0089553B">
      <w:pPr>
        <w:pStyle w:val="Normaltindrag"/>
        <w:shd w:val="clear" w:color="000000" w:fill="auto"/>
      </w:pPr>
      <w:r w:rsidRPr="00115980">
        <w:t>För att Rikstrafiken ska kunna upphandla flygtrafik krävs att allmän trafi</w:t>
      </w:r>
      <w:r w:rsidRPr="00115980">
        <w:t>k</w:t>
      </w:r>
      <w:r w:rsidRPr="00115980">
        <w:t>plikt gäller. Allmän trafikplikt innebär att medlemsstaterna i den europeiska gemenskapen under vissa förutsättningar har möjlighet att reglera marknad</w:t>
      </w:r>
      <w:r w:rsidRPr="00115980">
        <w:t>s</w:t>
      </w:r>
      <w:r w:rsidRPr="00115980">
        <w:t>tillträdet för regelbunden flygtrafik på sträckor till</w:t>
      </w:r>
    </w:p>
    <w:p w:rsidR="0089553B" w:rsidRPr="00115980" w:rsidRDefault="0089553B">
      <w:pPr>
        <w:pStyle w:val="PunktlistaNummer"/>
        <w:shd w:val="clear" w:color="000000" w:fill="auto"/>
      </w:pPr>
      <w:r w:rsidRPr="00115980">
        <w:t>ett ytterområde,</w:t>
      </w:r>
    </w:p>
    <w:p w:rsidR="0089553B" w:rsidRPr="00115980" w:rsidRDefault="0089553B">
      <w:pPr>
        <w:pStyle w:val="PunktlistaNummer"/>
        <w:shd w:val="clear" w:color="000000" w:fill="auto"/>
        <w:spacing w:before="0"/>
      </w:pPr>
      <w:r w:rsidRPr="00115980">
        <w:t>ett utvecklingsområde eller</w:t>
      </w:r>
    </w:p>
    <w:p w:rsidR="0089553B" w:rsidRPr="00115980" w:rsidRDefault="0089553B">
      <w:pPr>
        <w:pStyle w:val="PunktlistaNummer"/>
        <w:shd w:val="clear" w:color="000000" w:fill="auto"/>
        <w:spacing w:before="0"/>
      </w:pPr>
      <w:r w:rsidRPr="00115980">
        <w:t>på en flyglinje med låg trafikintensitet till en regional flygplats, om fly</w:t>
      </w:r>
      <w:r w:rsidRPr="00115980">
        <w:t>g</w:t>
      </w:r>
      <w:r w:rsidRPr="00115980">
        <w:t>linjen anses väsentlig för den ekonomiska utvecklingen i den region där flygplatsen är belägen.</w:t>
      </w:r>
    </w:p>
    <w:p w:rsidR="0089553B" w:rsidRPr="00115980" w:rsidRDefault="0089553B">
      <w:pPr>
        <w:shd w:val="clear" w:color="000000" w:fill="auto"/>
      </w:pPr>
      <w:r w:rsidRPr="00115980">
        <w:t>Rikstrafiken hade under år 2006 avtal om 10 flyglinjer, dessa redovisas i tabellen nedan.</w:t>
      </w:r>
    </w:p>
    <w:p w:rsidR="0089553B" w:rsidRPr="00115980" w:rsidRDefault="0089553B">
      <w:pPr>
        <w:shd w:val="clear" w:color="000000" w:fill="auto"/>
        <w:rPr>
          <w:b/>
          <w:szCs w:val="19"/>
        </w:rPr>
      </w:pPr>
      <w:r w:rsidRPr="00115980">
        <w:rPr>
          <w:b/>
          <w:szCs w:val="19"/>
        </w:rPr>
        <w:t>Tabell 1. Flyglinjer där Rikstrafiken har avtal med operatör och utbeta</w:t>
      </w:r>
      <w:r w:rsidRPr="00115980">
        <w:rPr>
          <w:b/>
          <w:szCs w:val="19"/>
        </w:rPr>
        <w:t>l</w:t>
      </w:r>
      <w:r w:rsidRPr="00115980">
        <w:rPr>
          <w:b/>
          <w:szCs w:val="19"/>
        </w:rPr>
        <w:t>da belopp 2006</w:t>
      </w:r>
    </w:p>
    <w:tbl>
      <w:tblPr>
        <w:tblW w:w="4933" w:type="dxa"/>
        <w:tblInd w:w="55" w:type="dxa"/>
        <w:tblCellMar>
          <w:left w:w="70" w:type="dxa"/>
          <w:right w:w="70" w:type="dxa"/>
        </w:tblCellMar>
        <w:tblLook w:val="0000" w:firstRow="0" w:lastRow="0" w:firstColumn="0" w:lastColumn="0" w:noHBand="0" w:noVBand="0"/>
      </w:tblPr>
      <w:tblGrid>
        <w:gridCol w:w="3711"/>
        <w:gridCol w:w="1222"/>
      </w:tblGrid>
      <w:tr w:rsidR="00000000" w:rsidRPr="00115980">
        <w:trPr>
          <w:trHeight w:val="270"/>
        </w:trPr>
        <w:tc>
          <w:tcPr>
            <w:tcW w:w="3220" w:type="dxa"/>
            <w:tcBorders>
              <w:top w:val="single" w:sz="4" w:space="0" w:color="auto"/>
              <w:bottom w:val="single" w:sz="4" w:space="0" w:color="auto"/>
            </w:tcBorders>
          </w:tcPr>
          <w:p w:rsidR="0089553B" w:rsidRPr="00115980" w:rsidRDefault="0089553B">
            <w:pPr>
              <w:shd w:val="clear" w:color="000000" w:fill="auto"/>
              <w:spacing w:before="60" w:line="200" w:lineRule="exact"/>
              <w:rPr>
                <w:b/>
              </w:rPr>
            </w:pPr>
            <w:r w:rsidRPr="00115980">
              <w:rPr>
                <w:b/>
              </w:rPr>
              <w:t>Linjer</w:t>
            </w:r>
          </w:p>
        </w:tc>
        <w:tc>
          <w:tcPr>
            <w:tcW w:w="1060" w:type="dxa"/>
            <w:tcBorders>
              <w:top w:val="single" w:sz="4" w:space="0" w:color="auto"/>
              <w:bottom w:val="single" w:sz="4" w:space="0" w:color="auto"/>
            </w:tcBorders>
            <w:vAlign w:val="bottom"/>
          </w:tcPr>
          <w:p w:rsidR="0089553B" w:rsidRPr="00115980" w:rsidRDefault="0089553B">
            <w:pPr>
              <w:shd w:val="clear" w:color="000000" w:fill="auto"/>
              <w:spacing w:before="60" w:line="200" w:lineRule="exact"/>
              <w:jc w:val="center"/>
              <w:rPr>
                <w:b/>
              </w:rPr>
            </w:pPr>
            <w:r w:rsidRPr="00115980">
              <w:rPr>
                <w:b/>
              </w:rPr>
              <w:t>Belopp</w:t>
            </w:r>
          </w:p>
        </w:tc>
      </w:tr>
      <w:tr w:rsidR="00000000" w:rsidRPr="00115980">
        <w:trPr>
          <w:trHeight w:val="270"/>
        </w:trPr>
        <w:tc>
          <w:tcPr>
            <w:tcW w:w="3220" w:type="dxa"/>
            <w:tcBorders>
              <w:top w:val="single" w:sz="4" w:space="0" w:color="auto"/>
            </w:tcBorders>
          </w:tcPr>
          <w:p w:rsidR="0089553B" w:rsidRPr="00115980" w:rsidRDefault="0089553B">
            <w:pPr>
              <w:shd w:val="clear" w:color="000000" w:fill="auto"/>
              <w:spacing w:before="60" w:line="200" w:lineRule="exact"/>
            </w:pPr>
            <w:r w:rsidRPr="00115980">
              <w:t>Östersund–Umeå</w:t>
            </w:r>
          </w:p>
        </w:tc>
        <w:tc>
          <w:tcPr>
            <w:tcW w:w="1060" w:type="dxa"/>
            <w:tcBorders>
              <w:top w:val="single" w:sz="4" w:space="0" w:color="auto"/>
            </w:tcBorders>
            <w:vAlign w:val="bottom"/>
          </w:tcPr>
          <w:p w:rsidR="0089553B" w:rsidRPr="00115980" w:rsidRDefault="0089553B">
            <w:pPr>
              <w:shd w:val="clear" w:color="000000" w:fill="auto"/>
              <w:spacing w:before="60" w:line="200" w:lineRule="exact"/>
              <w:ind w:right="284"/>
              <w:jc w:val="right"/>
            </w:pPr>
            <w:r w:rsidRPr="00115980">
              <w:t>9 474</w:t>
            </w:r>
          </w:p>
        </w:tc>
      </w:tr>
      <w:tr w:rsidR="00000000" w:rsidRPr="00115980">
        <w:trPr>
          <w:trHeight w:val="270"/>
        </w:trPr>
        <w:tc>
          <w:tcPr>
            <w:tcW w:w="3220" w:type="dxa"/>
          </w:tcPr>
          <w:p w:rsidR="0089553B" w:rsidRPr="00115980" w:rsidRDefault="0089553B">
            <w:pPr>
              <w:shd w:val="clear" w:color="000000" w:fill="auto"/>
              <w:spacing w:before="60" w:line="200" w:lineRule="exact"/>
            </w:pPr>
            <w:r w:rsidRPr="00115980">
              <w:t>Arvidsjaur–Arlanda</w:t>
            </w:r>
          </w:p>
        </w:tc>
        <w:tc>
          <w:tcPr>
            <w:tcW w:w="1060" w:type="dxa"/>
            <w:vAlign w:val="bottom"/>
          </w:tcPr>
          <w:p w:rsidR="0089553B" w:rsidRPr="00115980" w:rsidRDefault="0089553B">
            <w:pPr>
              <w:shd w:val="clear" w:color="000000" w:fill="auto"/>
              <w:spacing w:before="60" w:line="200" w:lineRule="exact"/>
              <w:ind w:right="284"/>
              <w:jc w:val="right"/>
            </w:pPr>
            <w:r w:rsidRPr="00115980">
              <w:t>6 373</w:t>
            </w:r>
          </w:p>
        </w:tc>
      </w:tr>
      <w:tr w:rsidR="00000000" w:rsidRPr="00115980">
        <w:trPr>
          <w:trHeight w:val="270"/>
        </w:trPr>
        <w:tc>
          <w:tcPr>
            <w:tcW w:w="3220" w:type="dxa"/>
          </w:tcPr>
          <w:p w:rsidR="0089553B" w:rsidRPr="00115980" w:rsidRDefault="0089553B">
            <w:pPr>
              <w:shd w:val="clear" w:color="000000" w:fill="auto"/>
              <w:spacing w:before="60" w:line="200" w:lineRule="exact"/>
            </w:pPr>
            <w:r w:rsidRPr="00115980">
              <w:t>Lycksele–Arlanda</w:t>
            </w:r>
          </w:p>
        </w:tc>
        <w:tc>
          <w:tcPr>
            <w:tcW w:w="1060" w:type="dxa"/>
            <w:vAlign w:val="bottom"/>
          </w:tcPr>
          <w:p w:rsidR="0089553B" w:rsidRPr="00115980" w:rsidRDefault="0089553B">
            <w:pPr>
              <w:shd w:val="clear" w:color="000000" w:fill="auto"/>
              <w:spacing w:before="60" w:line="200" w:lineRule="exact"/>
              <w:ind w:right="284"/>
              <w:jc w:val="right"/>
            </w:pPr>
            <w:r w:rsidRPr="00115980">
              <w:t>7 481</w:t>
            </w:r>
          </w:p>
        </w:tc>
      </w:tr>
      <w:tr w:rsidR="00000000" w:rsidRPr="00115980">
        <w:trPr>
          <w:trHeight w:val="270"/>
        </w:trPr>
        <w:tc>
          <w:tcPr>
            <w:tcW w:w="3220" w:type="dxa"/>
          </w:tcPr>
          <w:p w:rsidR="0089553B" w:rsidRPr="00115980" w:rsidRDefault="0089553B">
            <w:pPr>
              <w:shd w:val="clear" w:color="000000" w:fill="auto"/>
              <w:spacing w:before="60" w:line="200" w:lineRule="exact"/>
            </w:pPr>
            <w:r w:rsidRPr="00115980">
              <w:t>Storuman–Arlanda</w:t>
            </w:r>
          </w:p>
        </w:tc>
        <w:tc>
          <w:tcPr>
            <w:tcW w:w="1060" w:type="dxa"/>
            <w:vAlign w:val="bottom"/>
          </w:tcPr>
          <w:p w:rsidR="0089553B" w:rsidRPr="00115980" w:rsidRDefault="0089553B">
            <w:pPr>
              <w:shd w:val="clear" w:color="000000" w:fill="auto"/>
              <w:spacing w:before="60" w:line="200" w:lineRule="exact"/>
              <w:ind w:right="284"/>
              <w:jc w:val="right"/>
            </w:pPr>
            <w:r w:rsidRPr="00115980">
              <w:t>8 094</w:t>
            </w:r>
          </w:p>
        </w:tc>
      </w:tr>
      <w:tr w:rsidR="00000000" w:rsidRPr="00115980">
        <w:trPr>
          <w:trHeight w:val="270"/>
        </w:trPr>
        <w:tc>
          <w:tcPr>
            <w:tcW w:w="3220" w:type="dxa"/>
          </w:tcPr>
          <w:p w:rsidR="0089553B" w:rsidRPr="00115980" w:rsidRDefault="0089553B">
            <w:pPr>
              <w:shd w:val="clear" w:color="000000" w:fill="auto"/>
              <w:spacing w:before="60" w:line="200" w:lineRule="exact"/>
            </w:pPr>
            <w:r w:rsidRPr="00115980">
              <w:t>Vilhelmina–Arlanda</w:t>
            </w:r>
          </w:p>
        </w:tc>
        <w:tc>
          <w:tcPr>
            <w:tcW w:w="1060" w:type="dxa"/>
            <w:vAlign w:val="bottom"/>
          </w:tcPr>
          <w:p w:rsidR="0089553B" w:rsidRPr="00115980" w:rsidRDefault="0089553B">
            <w:pPr>
              <w:shd w:val="clear" w:color="000000" w:fill="auto"/>
              <w:spacing w:before="60" w:line="200" w:lineRule="exact"/>
              <w:ind w:right="284"/>
              <w:jc w:val="right"/>
            </w:pPr>
            <w:r w:rsidRPr="00115980">
              <w:t>7 174</w:t>
            </w:r>
          </w:p>
        </w:tc>
      </w:tr>
      <w:tr w:rsidR="00000000" w:rsidRPr="00115980">
        <w:trPr>
          <w:trHeight w:val="270"/>
        </w:trPr>
        <w:tc>
          <w:tcPr>
            <w:tcW w:w="3220" w:type="dxa"/>
          </w:tcPr>
          <w:p w:rsidR="0089553B" w:rsidRPr="00115980" w:rsidRDefault="0089553B">
            <w:pPr>
              <w:shd w:val="clear" w:color="000000" w:fill="auto"/>
              <w:spacing w:before="60" w:line="200" w:lineRule="exact"/>
            </w:pPr>
            <w:r w:rsidRPr="00115980">
              <w:t>Hemavan–Arlanda</w:t>
            </w:r>
          </w:p>
        </w:tc>
        <w:tc>
          <w:tcPr>
            <w:tcW w:w="1060" w:type="dxa"/>
            <w:vAlign w:val="bottom"/>
          </w:tcPr>
          <w:p w:rsidR="0089553B" w:rsidRPr="00115980" w:rsidRDefault="0089553B">
            <w:pPr>
              <w:shd w:val="clear" w:color="000000" w:fill="auto"/>
              <w:spacing w:before="60" w:line="200" w:lineRule="exact"/>
              <w:ind w:right="284"/>
              <w:jc w:val="right"/>
            </w:pPr>
            <w:r w:rsidRPr="00115980">
              <w:t>3 127</w:t>
            </w:r>
          </w:p>
        </w:tc>
      </w:tr>
      <w:tr w:rsidR="00000000" w:rsidRPr="00115980">
        <w:trPr>
          <w:trHeight w:val="270"/>
        </w:trPr>
        <w:tc>
          <w:tcPr>
            <w:tcW w:w="3220" w:type="dxa"/>
          </w:tcPr>
          <w:p w:rsidR="0089553B" w:rsidRPr="00115980" w:rsidRDefault="0089553B">
            <w:pPr>
              <w:shd w:val="clear" w:color="000000" w:fill="auto"/>
              <w:spacing w:before="60" w:line="200" w:lineRule="exact"/>
            </w:pPr>
            <w:r w:rsidRPr="00115980">
              <w:t>Gällivare–Arlanda</w:t>
            </w:r>
          </w:p>
        </w:tc>
        <w:tc>
          <w:tcPr>
            <w:tcW w:w="1060" w:type="dxa"/>
            <w:vAlign w:val="bottom"/>
          </w:tcPr>
          <w:p w:rsidR="0089553B" w:rsidRPr="00115980" w:rsidRDefault="0089553B">
            <w:pPr>
              <w:shd w:val="clear" w:color="000000" w:fill="auto"/>
              <w:spacing w:before="60" w:line="200" w:lineRule="exact"/>
              <w:ind w:right="284"/>
              <w:jc w:val="right"/>
            </w:pPr>
            <w:r w:rsidRPr="00115980">
              <w:t>11 929</w:t>
            </w:r>
          </w:p>
        </w:tc>
      </w:tr>
      <w:tr w:rsidR="00000000" w:rsidRPr="00115980">
        <w:trPr>
          <w:trHeight w:val="270"/>
        </w:trPr>
        <w:tc>
          <w:tcPr>
            <w:tcW w:w="3220" w:type="dxa"/>
          </w:tcPr>
          <w:p w:rsidR="0089553B" w:rsidRPr="00115980" w:rsidRDefault="0089553B">
            <w:pPr>
              <w:shd w:val="clear" w:color="000000" w:fill="auto"/>
              <w:spacing w:before="60" w:line="200" w:lineRule="exact"/>
            </w:pPr>
            <w:r w:rsidRPr="00115980">
              <w:t>Torsby/Hagfors–Arlanda</w:t>
            </w:r>
          </w:p>
        </w:tc>
        <w:tc>
          <w:tcPr>
            <w:tcW w:w="1060" w:type="dxa"/>
            <w:vAlign w:val="bottom"/>
          </w:tcPr>
          <w:p w:rsidR="0089553B" w:rsidRPr="00115980" w:rsidRDefault="0089553B">
            <w:pPr>
              <w:shd w:val="clear" w:color="000000" w:fill="auto"/>
              <w:spacing w:before="60" w:line="200" w:lineRule="exact"/>
              <w:ind w:right="284"/>
              <w:jc w:val="right"/>
            </w:pPr>
            <w:r w:rsidRPr="00115980">
              <w:t>6 661</w:t>
            </w:r>
          </w:p>
        </w:tc>
      </w:tr>
      <w:tr w:rsidR="00000000" w:rsidRPr="00115980">
        <w:trPr>
          <w:trHeight w:val="270"/>
        </w:trPr>
        <w:tc>
          <w:tcPr>
            <w:tcW w:w="3220" w:type="dxa"/>
          </w:tcPr>
          <w:p w:rsidR="0089553B" w:rsidRPr="00115980" w:rsidRDefault="0089553B">
            <w:pPr>
              <w:shd w:val="clear" w:color="000000" w:fill="auto"/>
              <w:spacing w:before="60" w:line="200" w:lineRule="exact"/>
            </w:pPr>
            <w:r w:rsidRPr="00115980">
              <w:t>Sveg–Arlanda</w:t>
            </w:r>
          </w:p>
        </w:tc>
        <w:tc>
          <w:tcPr>
            <w:tcW w:w="1060" w:type="dxa"/>
            <w:vAlign w:val="bottom"/>
          </w:tcPr>
          <w:p w:rsidR="0089553B" w:rsidRPr="00115980" w:rsidRDefault="0089553B">
            <w:pPr>
              <w:shd w:val="clear" w:color="000000" w:fill="auto"/>
              <w:spacing w:before="60" w:line="200" w:lineRule="exact"/>
              <w:ind w:right="284"/>
              <w:jc w:val="right"/>
            </w:pPr>
            <w:r w:rsidRPr="00115980">
              <w:t>7 635</w:t>
            </w:r>
          </w:p>
        </w:tc>
      </w:tr>
      <w:tr w:rsidR="00000000" w:rsidRPr="00115980">
        <w:trPr>
          <w:trHeight w:val="270"/>
        </w:trPr>
        <w:tc>
          <w:tcPr>
            <w:tcW w:w="3220" w:type="dxa"/>
          </w:tcPr>
          <w:p w:rsidR="0089553B" w:rsidRPr="00115980" w:rsidRDefault="0089553B">
            <w:pPr>
              <w:shd w:val="clear" w:color="000000" w:fill="auto"/>
              <w:spacing w:before="60" w:line="200" w:lineRule="exact"/>
            </w:pPr>
            <w:r w:rsidRPr="00115980">
              <w:t>Pajala–Luleå</w:t>
            </w:r>
          </w:p>
        </w:tc>
        <w:tc>
          <w:tcPr>
            <w:tcW w:w="1060" w:type="dxa"/>
            <w:vAlign w:val="bottom"/>
          </w:tcPr>
          <w:p w:rsidR="0089553B" w:rsidRPr="00115980" w:rsidRDefault="0089553B">
            <w:pPr>
              <w:shd w:val="clear" w:color="000000" w:fill="auto"/>
              <w:spacing w:before="60" w:line="200" w:lineRule="exact"/>
              <w:ind w:right="284"/>
              <w:jc w:val="right"/>
            </w:pPr>
            <w:r w:rsidRPr="00115980">
              <w:t>7 728</w:t>
            </w:r>
          </w:p>
        </w:tc>
      </w:tr>
      <w:tr w:rsidR="00000000" w:rsidRPr="00115980">
        <w:trPr>
          <w:trHeight w:val="270"/>
        </w:trPr>
        <w:tc>
          <w:tcPr>
            <w:tcW w:w="3220" w:type="dxa"/>
            <w:tcBorders>
              <w:bottom w:val="single" w:sz="4" w:space="0" w:color="auto"/>
            </w:tcBorders>
          </w:tcPr>
          <w:p w:rsidR="0089553B" w:rsidRPr="00115980" w:rsidRDefault="0089553B">
            <w:pPr>
              <w:shd w:val="clear" w:color="000000" w:fill="auto"/>
              <w:spacing w:before="60" w:line="200" w:lineRule="exact"/>
              <w:rPr>
                <w:b/>
              </w:rPr>
            </w:pPr>
            <w:r w:rsidRPr="00115980">
              <w:rPr>
                <w:b/>
              </w:rPr>
              <w:t>Totalt</w:t>
            </w:r>
          </w:p>
        </w:tc>
        <w:tc>
          <w:tcPr>
            <w:tcW w:w="1060" w:type="dxa"/>
            <w:tcBorders>
              <w:bottom w:val="single" w:sz="4" w:space="0" w:color="auto"/>
            </w:tcBorders>
            <w:noWrap/>
            <w:vAlign w:val="bottom"/>
          </w:tcPr>
          <w:p w:rsidR="0089553B" w:rsidRPr="00115980" w:rsidRDefault="0089553B">
            <w:pPr>
              <w:shd w:val="clear" w:color="000000" w:fill="auto"/>
              <w:spacing w:before="60" w:line="200" w:lineRule="exact"/>
              <w:ind w:right="284"/>
              <w:jc w:val="right"/>
              <w:rPr>
                <w:b/>
              </w:rPr>
            </w:pPr>
            <w:r w:rsidRPr="00115980">
              <w:rPr>
                <w:b/>
              </w:rPr>
              <w:t>75 676</w:t>
            </w:r>
          </w:p>
        </w:tc>
      </w:tr>
    </w:tbl>
    <w:p w:rsidR="0089553B" w:rsidRPr="00115980" w:rsidRDefault="0089553B">
      <w:pPr>
        <w:shd w:val="clear" w:color="000000" w:fill="auto"/>
        <w:spacing w:before="0"/>
        <w:rPr>
          <w:sz w:val="16"/>
          <w:szCs w:val="16"/>
        </w:rPr>
      </w:pPr>
      <w:r w:rsidRPr="00115980">
        <w:rPr>
          <w:sz w:val="16"/>
          <w:szCs w:val="16"/>
        </w:rPr>
        <w:t>Källa: Rikstrafiken.</w:t>
      </w:r>
    </w:p>
    <w:p w:rsidR="0089553B" w:rsidRPr="00115980" w:rsidRDefault="0089553B">
      <w:pPr>
        <w:shd w:val="clear" w:color="000000" w:fill="auto"/>
      </w:pPr>
      <w:r w:rsidRPr="00115980">
        <w:t xml:space="preserve">Enligt uppgifter från Rikstrafiken används 9,6 miljoner </w:t>
      </w:r>
      <w:r w:rsidRPr="00115980">
        <w:rPr>
          <w:i/>
        </w:rPr>
        <w:t>liter</w:t>
      </w:r>
      <w:r w:rsidRPr="00115980">
        <w:t xml:space="preserve"> flygbränsle i den upphandlade trafiken</w:t>
      </w:r>
      <w:r w:rsidRPr="00115980">
        <w:rPr>
          <w:rStyle w:val="Fotnotsreferens"/>
        </w:rPr>
        <w:footnoteReference w:id="1"/>
      </w:r>
      <w:r w:rsidRPr="00115980">
        <w:t xml:space="preserve">. Det motsvarar 7,7 miljoner </w:t>
      </w:r>
      <w:r w:rsidRPr="00115980">
        <w:rPr>
          <w:i/>
        </w:rPr>
        <w:t xml:space="preserve">kilo </w:t>
      </w:r>
      <w:r w:rsidRPr="00115980">
        <w:t>flygbränsle. Enligt Luftfarts</w:t>
      </w:r>
      <w:r w:rsidRPr="00115980">
        <w:softHyphen/>
        <w:t>styrelsen ska faktorn 3,16 användas för att beräkna koldioxidutslä</w:t>
      </w:r>
      <w:r w:rsidRPr="00115980">
        <w:t>p</w:t>
      </w:r>
      <w:r w:rsidRPr="00115980">
        <w:t>pen per kilo flygbränsle</w:t>
      </w:r>
      <w:r w:rsidRPr="00115980">
        <w:rPr>
          <w:rStyle w:val="Fotnotsreferens"/>
        </w:rPr>
        <w:footnoteReference w:id="2"/>
      </w:r>
      <w:r w:rsidRPr="00115980">
        <w:t xml:space="preserve">. Det gör att de totala utsläppen av koldioxid från Rikstrafikens upphandlade flygtrafik uppgår till 24 000 ton. </w:t>
      </w:r>
    </w:p>
    <w:p w:rsidR="0089553B" w:rsidRPr="00115980" w:rsidRDefault="0089553B">
      <w:pPr>
        <w:pStyle w:val="Normaltindrag"/>
        <w:shd w:val="clear" w:color="000000" w:fill="auto"/>
      </w:pPr>
      <w:r w:rsidRPr="00115980">
        <w:t>Enligt Luftfartsstyrelsens sektorsredovisning uppgick de totala utsläppen i inrikesflyget till 545 000 ton, vilket gör att utsläppen från de av Rikstrafiken upphandlade flyglinjerna svarar för 4 procent av koldioxidutsläppen från den inrikes flygtrafiken.</w:t>
      </w:r>
    </w:p>
    <w:p w:rsidR="0089553B" w:rsidRPr="00115980" w:rsidRDefault="0089553B">
      <w:pPr>
        <w:pStyle w:val="Rubrik2"/>
        <w:shd w:val="clear" w:color="000000" w:fill="auto"/>
      </w:pPr>
      <w:r w:rsidRPr="00115980">
        <w:t>Förmånsbilar</w:t>
      </w:r>
    </w:p>
    <w:p w:rsidR="0089553B" w:rsidRPr="00115980" w:rsidRDefault="0089553B">
      <w:pPr>
        <w:shd w:val="clear" w:color="000000" w:fill="auto"/>
      </w:pPr>
      <w:r w:rsidRPr="00115980">
        <w:t>Antalet förmånsbilar uppgick år 2005 till cirka 190 000</w:t>
      </w:r>
      <w:r w:rsidRPr="00115980">
        <w:rPr>
          <w:rStyle w:val="Fotnotsreferens"/>
        </w:rPr>
        <w:footnoteReference w:id="3"/>
      </w:r>
      <w:r w:rsidRPr="00115980">
        <w:t>. Det sammanlagda förmåns</w:t>
      </w:r>
      <w:r w:rsidRPr="00115980">
        <w:softHyphen/>
        <w:t>beloppet uppgår till 7,5 miljarder kronor, vilket ger ett genomsnittligt förmånsbelopp på knappt 40 000 kronor. Skatten baseras på en privat kö</w:t>
      </w:r>
      <w:r w:rsidRPr="00115980">
        <w:t>r</w:t>
      </w:r>
      <w:r w:rsidRPr="00115980">
        <w:t>sträcka på 1 600 mil per år. Det finns inga uppgifter om hur stor den privata körsträckan är i genomsnitt för dem som har förmånsbilar, men en inte alltför djärv gissning är att de kör minst 1 600 mil. Ett antagande om en årlig privat körsträcka på 1 600 mil för förmånsbilarna används i de fortsatta beräknin</w:t>
      </w:r>
      <w:r w:rsidRPr="00115980">
        <w:t>g</w:t>
      </w:r>
      <w:r w:rsidRPr="00115980">
        <w:t>arna.</w:t>
      </w:r>
    </w:p>
    <w:p w:rsidR="0089553B" w:rsidRPr="00115980" w:rsidRDefault="0089553B">
      <w:pPr>
        <w:pStyle w:val="Normaltindrag"/>
        <w:shd w:val="clear" w:color="000000" w:fill="auto"/>
      </w:pPr>
      <w:r w:rsidRPr="00115980">
        <w:t>För att kunna beräkna kold</w:t>
      </w:r>
      <w:r w:rsidRPr="00115980">
        <w:t xml:space="preserve">ioxidutsläppen från förmånsbilarna behövs även ett antagande om genomsnittlig bränsleförbrukning. Vägverket har beräknat att den genomsnittliga bränsleförbrukningen för nyregistrerade bilar var 7,6 liter per </w:t>
      </w:r>
      <w:smartTag w:uri="urn:schemas-microsoft-com:office:smarttags" w:element="metricconverter">
        <w:smartTagPr>
          <w:attr w:name="ProductID" w:val="100 km"/>
        </w:smartTagPr>
        <w:r w:rsidRPr="00115980">
          <w:t>100 km</w:t>
        </w:r>
      </w:smartTag>
      <w:r w:rsidRPr="00115980">
        <w:rPr>
          <w:rStyle w:val="Fotnotsreferens"/>
        </w:rPr>
        <w:footnoteReference w:id="4"/>
      </w:r>
      <w:r w:rsidRPr="00115980">
        <w:t>. De bensindrivna bilarna hade en genomsnittlig förbru</w:t>
      </w:r>
      <w:r w:rsidRPr="00115980">
        <w:t>k</w:t>
      </w:r>
      <w:r w:rsidRPr="00115980">
        <w:t xml:space="preserve">ning på cirka </w:t>
      </w:r>
      <w:smartTag w:uri="urn:schemas-microsoft-com:office:smarttags" w:element="metricconverter">
        <w:smartTagPr>
          <w:attr w:name="ProductID" w:val="8,0 liter"/>
        </w:smartTagPr>
        <w:r w:rsidRPr="00115980">
          <w:t>8,0 liter</w:t>
        </w:r>
      </w:smartTag>
      <w:r w:rsidRPr="00115980">
        <w:t xml:space="preserve"> per </w:t>
      </w:r>
      <w:smartTag w:uri="urn:schemas-microsoft-com:office:smarttags" w:element="metricconverter">
        <w:smartTagPr>
          <w:attr w:name="ProductID" w:val="100 km"/>
        </w:smartTagPr>
        <w:r w:rsidRPr="00115980">
          <w:t>100 km</w:t>
        </w:r>
      </w:smartTag>
      <w:r w:rsidRPr="00115980">
        <w:t xml:space="preserve"> och de dieseldrivna bilarnas förbrukning var cirka </w:t>
      </w:r>
      <w:smartTag w:uri="urn:schemas-microsoft-com:office:smarttags" w:element="metricconverter">
        <w:smartTagPr>
          <w:attr w:name="ProductID" w:val="6,9 liter"/>
        </w:smartTagPr>
        <w:r w:rsidRPr="00115980">
          <w:t>6,9 liter</w:t>
        </w:r>
      </w:smartTag>
      <w:r w:rsidRPr="00115980">
        <w:t xml:space="preserve"> per </w:t>
      </w:r>
      <w:smartTag w:uri="urn:schemas-microsoft-com:office:smarttags" w:element="metricconverter">
        <w:smartTagPr>
          <w:attr w:name="ProductID" w:val="100 km"/>
        </w:smartTagPr>
        <w:r w:rsidRPr="00115980">
          <w:t>100 km</w:t>
        </w:r>
      </w:smartTag>
      <w:r w:rsidRPr="00115980">
        <w:t>. Förmånsbilar är ofta stora bilar varför deras genomsnittliga förbrukning torde ligga över genomsnittet för alla nyregistr</w:t>
      </w:r>
      <w:r w:rsidRPr="00115980">
        <w:t>e</w:t>
      </w:r>
      <w:r w:rsidRPr="00115980">
        <w:t>rade bilar. I de fortsatta beräkningarna används dock en genomsnittlig fö</w:t>
      </w:r>
      <w:r w:rsidRPr="00115980">
        <w:t>r</w:t>
      </w:r>
      <w:r w:rsidRPr="00115980">
        <w:t xml:space="preserve">brukning på </w:t>
      </w:r>
      <w:smartTag w:uri="urn:schemas-microsoft-com:office:smarttags" w:element="metricconverter">
        <w:smartTagPr>
          <w:attr w:name="ProductID" w:val="7,6 liter"/>
        </w:smartTagPr>
        <w:r w:rsidRPr="00115980">
          <w:t>7,6 liter</w:t>
        </w:r>
      </w:smartTag>
      <w:r w:rsidRPr="00115980">
        <w:t xml:space="preserve"> per </w:t>
      </w:r>
      <w:smartTag w:uri="urn:schemas-microsoft-com:office:smarttags" w:element="metricconverter">
        <w:smartTagPr>
          <w:attr w:name="ProductID" w:val="100 km"/>
        </w:smartTagPr>
        <w:r w:rsidRPr="00115980">
          <w:t>100 km</w:t>
        </w:r>
      </w:smartTag>
      <w:r w:rsidRPr="00115980">
        <w:t>.</w:t>
      </w:r>
    </w:p>
    <w:p w:rsidR="0089553B" w:rsidRPr="00115980" w:rsidRDefault="0089553B">
      <w:pPr>
        <w:pStyle w:val="Normaltindrag"/>
        <w:shd w:val="clear" w:color="000000" w:fill="auto"/>
      </w:pPr>
      <w:r w:rsidRPr="00115980">
        <w:t xml:space="preserve">Koldioxidemissionerna från </w:t>
      </w:r>
      <w:smartTag w:uri="urn:schemas-microsoft-com:office:smarttags" w:element="metricconverter">
        <w:smartTagPr>
          <w:attr w:name="ProductID" w:val="1 liter"/>
        </w:smartTagPr>
        <w:r w:rsidRPr="00115980">
          <w:t>1 liter</w:t>
        </w:r>
      </w:smartTag>
      <w:r w:rsidRPr="00115980">
        <w:t xml:space="preserve"> bensin är </w:t>
      </w:r>
      <w:smartTag w:uri="urn:schemas-microsoft-com:office:smarttags" w:element="metricconverter">
        <w:smartTagPr>
          <w:attr w:name="ProductID" w:val="2,36 kg"/>
        </w:smartTagPr>
        <w:r w:rsidRPr="00115980">
          <w:t>2,36 kg</w:t>
        </w:r>
      </w:smartTag>
      <w:r w:rsidRPr="00115980">
        <w:t xml:space="preserve"> och från </w:t>
      </w:r>
      <w:smartTag w:uri="urn:schemas-microsoft-com:office:smarttags" w:element="metricconverter">
        <w:smartTagPr>
          <w:attr w:name="ProductID" w:val="1 liter"/>
        </w:smartTagPr>
        <w:r w:rsidRPr="00115980">
          <w:t>1 liter</w:t>
        </w:r>
      </w:smartTag>
      <w:r w:rsidRPr="00115980">
        <w:t xml:space="preserve"> diesel MK 1 är de </w:t>
      </w:r>
      <w:smartTag w:uri="urn:schemas-microsoft-com:office:smarttags" w:element="metricconverter">
        <w:smartTagPr>
          <w:attr w:name="ProductID" w:val="2,54 kg"/>
        </w:smartTagPr>
        <w:r w:rsidRPr="00115980">
          <w:t>2,54 kg</w:t>
        </w:r>
      </w:smartTag>
      <w:r w:rsidRPr="00115980">
        <w:rPr>
          <w:rStyle w:val="Fotnotsreferens"/>
        </w:rPr>
        <w:footnoteReference w:id="5"/>
      </w:r>
      <w:r w:rsidRPr="00115980">
        <w:t>. I beräkningarna har dessa faktorer vägts ihop med sa</w:t>
      </w:r>
      <w:r w:rsidRPr="00115980">
        <w:t>m</w:t>
      </w:r>
      <w:r w:rsidRPr="00115980">
        <w:t>ma vikter som den genomsnittliga förbrukningen, vilket ger att faktorn 2,37 används.</w:t>
      </w:r>
    </w:p>
    <w:p w:rsidR="0089553B" w:rsidRPr="00115980" w:rsidRDefault="0089553B">
      <w:pPr>
        <w:shd w:val="clear" w:color="000000" w:fill="auto"/>
        <w:rPr>
          <w:b/>
          <w:szCs w:val="19"/>
        </w:rPr>
      </w:pPr>
      <w:r w:rsidRPr="00115980">
        <w:rPr>
          <w:b/>
          <w:szCs w:val="19"/>
        </w:rPr>
        <w:t>Tabell 2. Sammanfattning av de värden som används i beräkningarna</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55"/>
        <w:gridCol w:w="2023"/>
      </w:tblGrid>
      <w:tr w:rsidR="00000000" w:rsidRPr="00115980">
        <w:tc>
          <w:tcPr>
            <w:tcW w:w="3755" w:type="dxa"/>
            <w:tcBorders>
              <w:top w:val="single" w:sz="4" w:space="0" w:color="auto"/>
              <w:bottom w:val="single" w:sz="4" w:space="0" w:color="auto"/>
            </w:tcBorders>
          </w:tcPr>
          <w:p w:rsidR="0089553B" w:rsidRPr="00115980" w:rsidRDefault="0089553B">
            <w:pPr>
              <w:shd w:val="clear" w:color="000000" w:fill="auto"/>
              <w:spacing w:before="60" w:line="200" w:lineRule="exact"/>
              <w:rPr>
                <w:b/>
              </w:rPr>
            </w:pPr>
            <w:r w:rsidRPr="00115980">
              <w:rPr>
                <w:b/>
              </w:rPr>
              <w:t>Variabel</w:t>
            </w:r>
          </w:p>
        </w:tc>
        <w:tc>
          <w:tcPr>
            <w:tcW w:w="2023" w:type="dxa"/>
            <w:tcBorders>
              <w:top w:val="single" w:sz="4" w:space="0" w:color="auto"/>
              <w:bottom w:val="single" w:sz="4" w:space="0" w:color="auto"/>
            </w:tcBorders>
          </w:tcPr>
          <w:p w:rsidR="0089553B" w:rsidRPr="00115980" w:rsidRDefault="0089553B">
            <w:pPr>
              <w:shd w:val="clear" w:color="000000" w:fill="auto"/>
              <w:spacing w:before="60" w:line="200" w:lineRule="exact"/>
              <w:rPr>
                <w:b/>
              </w:rPr>
            </w:pPr>
            <w:r w:rsidRPr="00115980">
              <w:rPr>
                <w:b/>
              </w:rPr>
              <w:t>Värde</w:t>
            </w:r>
          </w:p>
        </w:tc>
      </w:tr>
      <w:tr w:rsidR="00000000" w:rsidRPr="00115980">
        <w:tc>
          <w:tcPr>
            <w:tcW w:w="3755" w:type="dxa"/>
            <w:tcBorders>
              <w:top w:val="single" w:sz="4" w:space="0" w:color="auto"/>
            </w:tcBorders>
          </w:tcPr>
          <w:p w:rsidR="0089553B" w:rsidRPr="00115980" w:rsidRDefault="0089553B">
            <w:pPr>
              <w:shd w:val="clear" w:color="000000" w:fill="auto"/>
              <w:spacing w:before="60" w:line="200" w:lineRule="exact"/>
            </w:pPr>
            <w:r w:rsidRPr="00115980">
              <w:t>Antal förmånsbilar</w:t>
            </w:r>
          </w:p>
        </w:tc>
        <w:tc>
          <w:tcPr>
            <w:tcW w:w="2023" w:type="dxa"/>
            <w:tcBorders>
              <w:top w:val="single" w:sz="4" w:space="0" w:color="auto"/>
            </w:tcBorders>
          </w:tcPr>
          <w:p w:rsidR="0089553B" w:rsidRPr="00115980" w:rsidRDefault="0089553B">
            <w:pPr>
              <w:shd w:val="clear" w:color="000000" w:fill="auto"/>
              <w:spacing w:before="60" w:line="200" w:lineRule="exact"/>
            </w:pPr>
            <w:r w:rsidRPr="00115980">
              <w:t>190 000 stycken</w:t>
            </w:r>
          </w:p>
        </w:tc>
      </w:tr>
      <w:tr w:rsidR="00000000" w:rsidRPr="00115980">
        <w:tc>
          <w:tcPr>
            <w:tcW w:w="3755" w:type="dxa"/>
          </w:tcPr>
          <w:p w:rsidR="0089553B" w:rsidRPr="00115980" w:rsidRDefault="0089553B">
            <w:pPr>
              <w:shd w:val="clear" w:color="000000" w:fill="auto"/>
              <w:spacing w:before="60" w:line="200" w:lineRule="exact"/>
            </w:pPr>
            <w:r w:rsidRPr="00115980">
              <w:t>Genomsnittlig körsträcka</w:t>
            </w:r>
          </w:p>
        </w:tc>
        <w:tc>
          <w:tcPr>
            <w:tcW w:w="2023" w:type="dxa"/>
          </w:tcPr>
          <w:p w:rsidR="0089553B" w:rsidRPr="00115980" w:rsidRDefault="0089553B">
            <w:pPr>
              <w:shd w:val="clear" w:color="000000" w:fill="auto"/>
              <w:spacing w:before="60" w:line="200" w:lineRule="exact"/>
            </w:pPr>
            <w:r w:rsidRPr="00115980">
              <w:t>1 600 mil</w:t>
            </w:r>
          </w:p>
        </w:tc>
      </w:tr>
      <w:tr w:rsidR="00000000" w:rsidRPr="00115980">
        <w:tc>
          <w:tcPr>
            <w:tcW w:w="3755" w:type="dxa"/>
          </w:tcPr>
          <w:p w:rsidR="0089553B" w:rsidRPr="00115980" w:rsidRDefault="0089553B">
            <w:pPr>
              <w:shd w:val="clear" w:color="000000" w:fill="auto"/>
              <w:spacing w:before="60" w:line="200" w:lineRule="exact"/>
            </w:pPr>
            <w:r w:rsidRPr="00115980">
              <w:t>Genomsnittlig bränsleförbrukning</w:t>
            </w:r>
          </w:p>
        </w:tc>
        <w:tc>
          <w:tcPr>
            <w:tcW w:w="2023" w:type="dxa"/>
          </w:tcPr>
          <w:p w:rsidR="0089553B" w:rsidRPr="00115980" w:rsidRDefault="0089553B">
            <w:pPr>
              <w:shd w:val="clear" w:color="000000" w:fill="auto"/>
              <w:spacing w:before="60" w:line="200" w:lineRule="exact"/>
            </w:pPr>
            <w:smartTag w:uri="urn:schemas-microsoft-com:office:smarttags" w:element="metricconverter">
              <w:smartTagPr>
                <w:attr w:name="ProductID" w:val="7,6 liter"/>
              </w:smartTagPr>
              <w:r w:rsidRPr="00115980">
                <w:t>7,6 liter</w:t>
              </w:r>
            </w:smartTag>
            <w:r w:rsidRPr="00115980">
              <w:t>/</w:t>
            </w:r>
            <w:smartTag w:uri="urn:schemas-microsoft-com:office:smarttags" w:element="metricconverter">
              <w:smartTagPr>
                <w:attr w:name="ProductID" w:val="100 km"/>
              </w:smartTagPr>
              <w:r w:rsidRPr="00115980">
                <w:t>100 km</w:t>
              </w:r>
            </w:smartTag>
          </w:p>
        </w:tc>
      </w:tr>
      <w:tr w:rsidR="00000000" w:rsidRPr="00115980">
        <w:tc>
          <w:tcPr>
            <w:tcW w:w="3755" w:type="dxa"/>
          </w:tcPr>
          <w:p w:rsidR="0089553B" w:rsidRPr="00115980" w:rsidRDefault="0089553B">
            <w:pPr>
              <w:shd w:val="clear" w:color="000000" w:fill="auto"/>
              <w:spacing w:before="60" w:line="200" w:lineRule="exact"/>
            </w:pPr>
            <w:r w:rsidRPr="00115980">
              <w:t>Emissionsfaktor koldioxid</w:t>
            </w:r>
          </w:p>
        </w:tc>
        <w:tc>
          <w:tcPr>
            <w:tcW w:w="2023" w:type="dxa"/>
          </w:tcPr>
          <w:p w:rsidR="0089553B" w:rsidRPr="00115980" w:rsidRDefault="0089553B">
            <w:pPr>
              <w:shd w:val="clear" w:color="000000" w:fill="auto"/>
              <w:spacing w:before="60" w:line="200" w:lineRule="exact"/>
            </w:pPr>
            <w:r w:rsidRPr="00115980">
              <w:t>2,37</w:t>
            </w:r>
          </w:p>
        </w:tc>
      </w:tr>
    </w:tbl>
    <w:p w:rsidR="0089553B" w:rsidRPr="00115980" w:rsidRDefault="0089553B">
      <w:pPr>
        <w:shd w:val="clear" w:color="000000" w:fill="auto"/>
        <w:spacing w:before="240"/>
      </w:pPr>
      <w:r w:rsidRPr="00115980">
        <w:t>Med hjälp av de värden som redovisas i tabellen ovan görs följande berä</w:t>
      </w:r>
      <w:r w:rsidRPr="00115980">
        <w:t>k</w:t>
      </w:r>
      <w:r w:rsidRPr="00115980">
        <w:t>ning:</w:t>
      </w:r>
    </w:p>
    <w:p w:rsidR="0089553B" w:rsidRPr="00115980" w:rsidRDefault="0089553B">
      <w:pPr>
        <w:pStyle w:val="Normaltindrag"/>
        <w:shd w:val="clear" w:color="000000" w:fill="auto"/>
      </w:pPr>
      <w:r w:rsidRPr="00115980">
        <w:t>Total körsträcka för förmånsbilar: 190 000 x 1 600 = 30 400 000 mil.</w:t>
      </w:r>
    </w:p>
    <w:p w:rsidR="0089553B" w:rsidRPr="00115980" w:rsidRDefault="0089553B">
      <w:pPr>
        <w:pStyle w:val="Normaltindrag"/>
        <w:shd w:val="clear" w:color="000000" w:fill="auto"/>
      </w:pPr>
      <w:r w:rsidRPr="00115980">
        <w:t xml:space="preserve">Total bränsleförbrukning: 30 400 000 x 0,76 = </w:t>
      </w:r>
      <w:smartTag w:uri="urn:schemas-microsoft-com:office:smarttags" w:element="metricconverter">
        <w:smartTagPr>
          <w:attr w:name="ProductID" w:val="231?040?000 liter"/>
        </w:smartTagPr>
        <w:smartTag w:uri="urn:schemas-microsoft-com:office:smarttags" w:element="metricconverter">
          <w:smartTagPr>
            <w:attr w:name="ProductID" w:val="231 040 000 liter"/>
          </w:smartTagPr>
          <w:r w:rsidRPr="00115980">
            <w:t>231 040 000 liter</w:t>
          </w:r>
        </w:smartTag>
        <w:r w:rsidRPr="00115980">
          <w:t>.</w:t>
        </w:r>
      </w:smartTag>
    </w:p>
    <w:p w:rsidR="0089553B" w:rsidRPr="00115980" w:rsidRDefault="0089553B">
      <w:pPr>
        <w:pStyle w:val="Normaltindrag"/>
        <w:shd w:val="clear" w:color="000000" w:fill="auto"/>
      </w:pPr>
      <w:r w:rsidRPr="00115980">
        <w:t>Totalt CO</w:t>
      </w:r>
      <w:r w:rsidRPr="00115980">
        <w:rPr>
          <w:vertAlign w:val="subscript"/>
        </w:rPr>
        <w:t>2</w:t>
      </w:r>
      <w:r w:rsidRPr="00115980">
        <w:t>-utsläpp: 231 040 000 x 2,37 = 547 564 800 kilo.</w:t>
      </w:r>
    </w:p>
    <w:p w:rsidR="0089553B" w:rsidRPr="00115980" w:rsidRDefault="0089553B">
      <w:pPr>
        <w:shd w:val="clear" w:color="000000" w:fill="auto"/>
      </w:pPr>
      <w:r w:rsidRPr="00115980">
        <w:t>Utsläppen av koldioxid från den privata körningen med förmånsbilar uppgår således till minst 548 000 ton. Enligt Vägverket svarade den lätta fordonstr</w:t>
      </w:r>
      <w:r w:rsidRPr="00115980">
        <w:t>a</w:t>
      </w:r>
      <w:r w:rsidRPr="00115980">
        <w:t>fiken för cirka 75 procent av koldioxidutsläppen från vägtrafiken</w:t>
      </w:r>
      <w:r w:rsidRPr="00115980">
        <w:rPr>
          <w:rStyle w:val="Fotnotsreferens"/>
        </w:rPr>
        <w:footnoteReference w:id="6"/>
      </w:r>
      <w:r w:rsidRPr="00115980">
        <w:t>, vilket innebär att personbilstrafiken under 2005 släppte ut cirka 14 miljoner ton koldioxid. Utsläppen från den privata körningen med förmånsbilar svarar således för 4 procent av de samlade utsläppen från personbilstrafiken i Sver</w:t>
      </w:r>
      <w:r w:rsidRPr="00115980">
        <w:t>i</w:t>
      </w:r>
      <w:r w:rsidRPr="00115980">
        <w:t>ge.</w:t>
      </w:r>
    </w:p>
    <w:p w:rsidR="0089553B" w:rsidRPr="00115980" w:rsidRDefault="0089553B">
      <w:pPr>
        <w:pStyle w:val="Rubrik2"/>
        <w:shd w:val="clear" w:color="000000" w:fill="auto"/>
      </w:pPr>
      <w:r w:rsidRPr="00115980">
        <w:t>Reseavdrag</w:t>
      </w:r>
    </w:p>
    <w:p w:rsidR="0089553B" w:rsidRPr="00115980" w:rsidRDefault="0089553B">
      <w:pPr>
        <w:shd w:val="clear" w:color="000000" w:fill="auto"/>
      </w:pPr>
      <w:r w:rsidRPr="00115980">
        <w:t xml:space="preserve">Avdrag för kostnader för resor mellan bostad och arbetsplats får göras för den del som överstiger 7 000 kronor om arbetsplatsen är belägen minst </w:t>
      </w:r>
      <w:smartTag w:uri="urn:schemas-microsoft-com:office:smarttags" w:element="metricconverter">
        <w:smartTagPr>
          <w:attr w:name="ProductID" w:val="2 km"/>
        </w:smartTagPr>
        <w:r w:rsidRPr="00115980">
          <w:t>2 km</w:t>
        </w:r>
      </w:smartTag>
      <w:r w:rsidRPr="00115980">
        <w:t xml:space="preserve"> från bostaden. Avdrag erhålls för resor med allmänt kommunikationsmedel. För att få avdrag för resor med bil krävs dels att avståndet är minst </w:t>
      </w:r>
      <w:smartTag w:uri="urn:schemas-microsoft-com:office:smarttags" w:element="metricconverter">
        <w:smartTagPr>
          <w:attr w:name="ProductID" w:val="5 km"/>
        </w:smartTagPr>
        <w:r w:rsidRPr="00115980">
          <w:t>5 km</w:t>
        </w:r>
      </w:smartTag>
      <w:r w:rsidRPr="00115980">
        <w:t>, dels att tidsvinsten uppgår till minst 2 timmar vid bilresa i stället för med allmänna kommunikationsmedel. Avdraget för bilkostnader är idag 18 kronor per mil. Den statistik som redovisas nedan avser år 2005 och då var avdraget 17 kr</w:t>
      </w:r>
      <w:r w:rsidRPr="00115980">
        <w:t>o</w:t>
      </w:r>
      <w:r w:rsidRPr="00115980">
        <w:t>nor per mil.</w:t>
      </w:r>
    </w:p>
    <w:p w:rsidR="0089553B" w:rsidRPr="00115980" w:rsidRDefault="0089553B">
      <w:pPr>
        <w:pStyle w:val="Normaltindrag"/>
        <w:shd w:val="clear" w:color="000000" w:fill="auto"/>
      </w:pPr>
      <w:r w:rsidRPr="00115980">
        <w:t>Under 2005 gjorde 986 086 inkomsttagare reseavdrag, vilket motsvarar 20 procent av inkomsttagarna</w:t>
      </w:r>
      <w:r w:rsidRPr="00115980">
        <w:rPr>
          <w:rStyle w:val="Fotnotsreferens"/>
        </w:rPr>
        <w:footnoteReference w:id="7"/>
      </w:r>
      <w:r w:rsidRPr="00115980">
        <w:t>. Avdragets genomsnittliga storlek var 13 263 kronor och den totala summan uppgick till 13,1 miljarder kronor. Skatteverket har genomfört undersökningar för att se hur avdraget fördelar sig på trafikslag och det visade sig att 85 procent var bilresor, 5 procent kollekti</w:t>
      </w:r>
      <w:r w:rsidRPr="00115980">
        <w:t>v</w:t>
      </w:r>
      <w:r w:rsidRPr="00115980">
        <w:t>resor och i 7 procent av fallen framgick inte vilket trafikslag som avsågs</w:t>
      </w:r>
      <w:r w:rsidRPr="00115980">
        <w:rPr>
          <w:rStyle w:val="Fotnotsreferens"/>
        </w:rPr>
        <w:footnoteReference w:id="8"/>
      </w:r>
      <w:r w:rsidRPr="00115980">
        <w:t>.</w:t>
      </w:r>
    </w:p>
    <w:p w:rsidR="0089553B" w:rsidRPr="00115980" w:rsidRDefault="0089553B">
      <w:pPr>
        <w:pStyle w:val="Normaltindrag"/>
        <w:shd w:val="clear" w:color="000000" w:fill="auto"/>
      </w:pPr>
      <w:r w:rsidRPr="00115980">
        <w:t>Om man antar att 85 procent av avdragsbeloppet var för biltrafik blir den totala summan för reseavdragen med bil 11,2 miljarder. Med ett avdrag på 17 kronor per mil innebär det 656 miljoner mil, vilket motsvarar 10 procent av den totala körsträckan med personbilar i Sverige</w:t>
      </w:r>
      <w:r w:rsidRPr="00115980">
        <w:rPr>
          <w:rStyle w:val="Fotnotsreferens"/>
        </w:rPr>
        <w:footnoteReference w:id="9"/>
      </w:r>
      <w:r w:rsidRPr="00115980">
        <w:t>. 10 procent av körsträc</w:t>
      </w:r>
      <w:r w:rsidRPr="00115980">
        <w:t>k</w:t>
      </w:r>
      <w:r w:rsidRPr="00115980">
        <w:t>an innebär också cirka 10 procent av utsläppen från personbilstrafiken. Som framgår av avsnittet om förmånsbilar uppgår de totala koldioxidutsläppen från personbilarna till 14 miljoner ton och av det följer att utsläppen från den privata körningen med förmånsbilar motsvarar cirka 1,4 miljoner ton koldio</w:t>
      </w:r>
      <w:r w:rsidRPr="00115980">
        <w:t>x</w:t>
      </w:r>
      <w:r w:rsidRPr="00115980">
        <w:t>id.</w:t>
      </w:r>
    </w:p>
    <w:p w:rsidR="0089553B" w:rsidRPr="00115980" w:rsidRDefault="0089553B">
      <w:pPr>
        <w:pStyle w:val="Normaltindrag"/>
        <w:shd w:val="clear" w:color="000000" w:fill="auto"/>
      </w:pPr>
      <w:r w:rsidRPr="00115980">
        <w:t>Genom att multiplicera körsträckan 656 miljoner mil med den genom</w:t>
      </w:r>
      <w:r w:rsidRPr="00115980">
        <w:softHyphen/>
        <w:t>snittliga drivmedelsförbrukning (0,76 liter/mil) och den emissionsfaktor (2,37 kg koldioxid/liter drivmedel) som antogs i redovisningen av förmånsb</w:t>
      </w:r>
      <w:r w:rsidRPr="00115980">
        <w:t>i</w:t>
      </w:r>
      <w:r w:rsidRPr="00115980">
        <w:t xml:space="preserve">larna kan man göra en kontroll om det ovan framräknade värdet är rimligt. Beräkningen ger ca 1,2 miljoner ton koldioxid. Detta sätt att räkna ger således ett något lägre värde för reseavdragens utsläpp – 1,2 miljoner ton att jämföra med 1,4 miljoner ton. Den genomsnittliga förbrukningen på </w:t>
      </w:r>
      <w:smartTag w:uri="urn:schemas-microsoft-com:office:smarttags" w:element="metricconverter">
        <w:smartTagPr>
          <w:attr w:name="ProductID" w:val="0,76 liter"/>
        </w:smartTagPr>
        <w:r w:rsidRPr="00115980">
          <w:t>0,76 liter</w:t>
        </w:r>
      </w:smartTag>
      <w:r w:rsidRPr="00115980">
        <w:t xml:space="preserve"> /mil avser dock nya bilar, och den genomsnittliga förbrukning</w:t>
      </w:r>
      <w:r w:rsidRPr="00115980">
        <w:t>en i hela bilparken är troligen högre, varför skillnaden mellan de båda beräkningsmetoderna förmodligen är något mindre.</w:t>
      </w:r>
    </w:p>
    <w:p w:rsidR="0089553B" w:rsidRPr="00115980" w:rsidRDefault="0089553B">
      <w:pPr>
        <w:pStyle w:val="Rubrik2"/>
        <w:shd w:val="clear" w:color="000000" w:fill="auto"/>
      </w:pPr>
      <w:r w:rsidRPr="00115980">
        <w:t>Transportbidrag</w:t>
      </w:r>
    </w:p>
    <w:p w:rsidR="0089553B" w:rsidRPr="00115980" w:rsidRDefault="0089553B">
      <w:pPr>
        <w:shd w:val="clear" w:color="000000" w:fill="auto"/>
      </w:pPr>
      <w:r w:rsidRPr="00115980">
        <w:t>Avsikten med transportbidraget är att ge viss kompensation för de kostnad</w:t>
      </w:r>
      <w:r w:rsidRPr="00115980">
        <w:t>s</w:t>
      </w:r>
      <w:r w:rsidRPr="00115980">
        <w:t>nackdelar som näringslivet i de fyra nordligaste länen har på grund av långa avstånd till marknaden samt att stimulera till höjd förädlingsgrad i området. Transportbidraget får lämnas som bidrag till transportkostnaden för god</w:t>
      </w:r>
      <w:r w:rsidRPr="00115980">
        <w:t>s</w:t>
      </w:r>
      <w:r w:rsidRPr="00115980">
        <w:t>transporter på järnväg, yrkesmässig trafik på väg eller till sjöss. Bidrag kan lämnas för intransporter till bidragsområdet av råvaror och halvfabrikat som ska genomgå en betydande bearbetning inom vissa näringsgrenar i bidrag</w:t>
      </w:r>
      <w:r w:rsidRPr="00115980">
        <w:t>s</w:t>
      </w:r>
      <w:r w:rsidRPr="00115980">
        <w:t>området. Bidrag kan lämnas för uttransporter från bidrags</w:t>
      </w:r>
      <w:r w:rsidRPr="00115980">
        <w:softHyphen/>
        <w:t>området av hel- eller halvfabrikat som genomgått en betydande bearbetning i bidrags</w:t>
      </w:r>
      <w:r w:rsidRPr="00115980">
        <w:softHyphen/>
        <w:t>området.</w:t>
      </w:r>
    </w:p>
    <w:p w:rsidR="0089553B" w:rsidRPr="00115980" w:rsidRDefault="0089553B">
      <w:pPr>
        <w:pStyle w:val="Normaltindrag"/>
        <w:shd w:val="clear" w:color="000000" w:fill="auto"/>
      </w:pPr>
      <w:r w:rsidRPr="00115980">
        <w:t>År 2006 utbetalades totalt 494,6 miljoner kronor i transportbidrag</w:t>
      </w:r>
      <w:r w:rsidRPr="00115980">
        <w:rPr>
          <w:rStyle w:val="Fotnotsreferens"/>
        </w:rPr>
        <w:footnoteReference w:id="10"/>
      </w:r>
      <w:r w:rsidRPr="00115980">
        <w:t xml:space="preserve">. </w:t>
      </w:r>
    </w:p>
    <w:p w:rsidR="0089553B" w:rsidRPr="00115980" w:rsidRDefault="0089553B">
      <w:pPr>
        <w:shd w:val="clear" w:color="000000" w:fill="auto"/>
        <w:rPr>
          <w:b/>
        </w:rPr>
      </w:pPr>
      <w:r w:rsidRPr="00115980">
        <w:rPr>
          <w:b/>
        </w:rPr>
        <w:t>Tabell 3. Utbetalt transportbidrag 2006 fördelat på trafikslag, miljoner kronor</w:t>
      </w:r>
    </w:p>
    <w:tbl>
      <w:tblPr>
        <w:tblW w:w="3735"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433"/>
        <w:gridCol w:w="2302"/>
      </w:tblGrid>
      <w:tr w:rsidR="00000000" w:rsidRPr="00115980">
        <w:trPr>
          <w:trHeight w:val="285"/>
        </w:trPr>
        <w:tc>
          <w:tcPr>
            <w:tcW w:w="1433" w:type="dxa"/>
            <w:tcBorders>
              <w:top w:val="single" w:sz="4" w:space="0" w:color="auto"/>
              <w:bottom w:val="single" w:sz="4" w:space="0" w:color="auto"/>
            </w:tcBorders>
            <w:noWrap/>
            <w:vAlign w:val="bottom"/>
          </w:tcPr>
          <w:p w:rsidR="0089553B" w:rsidRPr="00115980" w:rsidRDefault="0089553B">
            <w:pPr>
              <w:shd w:val="clear" w:color="000000" w:fill="auto"/>
              <w:spacing w:before="60" w:line="200" w:lineRule="exact"/>
              <w:rPr>
                <w:szCs w:val="22"/>
              </w:rPr>
            </w:pPr>
            <w:r w:rsidRPr="00115980">
              <w:rPr>
                <w:szCs w:val="22"/>
              </w:rPr>
              <w:t>Järnväg</w:t>
            </w:r>
          </w:p>
        </w:tc>
        <w:tc>
          <w:tcPr>
            <w:tcW w:w="2302" w:type="dxa"/>
            <w:tcBorders>
              <w:top w:val="single" w:sz="4" w:space="0" w:color="auto"/>
              <w:bottom w:val="single" w:sz="4" w:space="0" w:color="auto"/>
            </w:tcBorders>
            <w:noWrap/>
            <w:vAlign w:val="bottom"/>
          </w:tcPr>
          <w:p w:rsidR="0089553B" w:rsidRPr="00115980" w:rsidRDefault="0089553B">
            <w:pPr>
              <w:shd w:val="clear" w:color="000000" w:fill="auto"/>
              <w:spacing w:before="60" w:line="200" w:lineRule="exact"/>
              <w:ind w:right="915"/>
              <w:jc w:val="right"/>
            </w:pPr>
            <w:r w:rsidRPr="00115980">
              <w:t>88,0</w:t>
            </w:r>
          </w:p>
        </w:tc>
      </w:tr>
      <w:tr w:rsidR="00000000" w:rsidRPr="00115980">
        <w:trPr>
          <w:trHeight w:val="285"/>
        </w:trPr>
        <w:tc>
          <w:tcPr>
            <w:tcW w:w="1433" w:type="dxa"/>
            <w:tcBorders>
              <w:top w:val="single" w:sz="4" w:space="0" w:color="auto"/>
            </w:tcBorders>
            <w:noWrap/>
            <w:vAlign w:val="bottom"/>
          </w:tcPr>
          <w:p w:rsidR="0089553B" w:rsidRPr="00115980" w:rsidRDefault="0089553B">
            <w:pPr>
              <w:shd w:val="clear" w:color="000000" w:fill="auto"/>
              <w:spacing w:before="60" w:line="200" w:lineRule="exact"/>
              <w:rPr>
                <w:szCs w:val="22"/>
              </w:rPr>
            </w:pPr>
            <w:r w:rsidRPr="00115980">
              <w:rPr>
                <w:szCs w:val="22"/>
              </w:rPr>
              <w:t>Bil</w:t>
            </w:r>
          </w:p>
        </w:tc>
        <w:tc>
          <w:tcPr>
            <w:tcW w:w="2302" w:type="dxa"/>
            <w:tcBorders>
              <w:top w:val="single" w:sz="4" w:space="0" w:color="auto"/>
            </w:tcBorders>
            <w:noWrap/>
            <w:vAlign w:val="bottom"/>
          </w:tcPr>
          <w:p w:rsidR="0089553B" w:rsidRPr="00115980" w:rsidRDefault="0089553B">
            <w:pPr>
              <w:shd w:val="clear" w:color="000000" w:fill="auto"/>
              <w:spacing w:before="60" w:line="200" w:lineRule="exact"/>
              <w:ind w:right="915"/>
              <w:jc w:val="right"/>
            </w:pPr>
            <w:r w:rsidRPr="00115980">
              <w:t>348,3</w:t>
            </w:r>
          </w:p>
        </w:tc>
      </w:tr>
      <w:tr w:rsidR="00000000" w:rsidRPr="00115980">
        <w:trPr>
          <w:trHeight w:val="255"/>
        </w:trPr>
        <w:tc>
          <w:tcPr>
            <w:tcW w:w="1433" w:type="dxa"/>
            <w:noWrap/>
            <w:vAlign w:val="bottom"/>
          </w:tcPr>
          <w:p w:rsidR="0089553B" w:rsidRPr="00115980" w:rsidRDefault="0089553B">
            <w:pPr>
              <w:shd w:val="clear" w:color="000000" w:fill="auto"/>
              <w:spacing w:before="60" w:line="200" w:lineRule="exact"/>
            </w:pPr>
            <w:r w:rsidRPr="00115980">
              <w:t>Sjö</w:t>
            </w:r>
          </w:p>
        </w:tc>
        <w:tc>
          <w:tcPr>
            <w:tcW w:w="2302" w:type="dxa"/>
            <w:noWrap/>
            <w:vAlign w:val="bottom"/>
          </w:tcPr>
          <w:p w:rsidR="0089553B" w:rsidRPr="00115980" w:rsidRDefault="0089553B">
            <w:pPr>
              <w:shd w:val="clear" w:color="000000" w:fill="auto"/>
              <w:spacing w:before="60" w:line="200" w:lineRule="exact"/>
              <w:ind w:right="915"/>
              <w:jc w:val="right"/>
            </w:pPr>
            <w:r w:rsidRPr="00115980">
              <w:t>58,3</w:t>
            </w:r>
          </w:p>
        </w:tc>
      </w:tr>
      <w:tr w:rsidR="00000000" w:rsidRPr="00115980">
        <w:trPr>
          <w:trHeight w:val="300"/>
        </w:trPr>
        <w:tc>
          <w:tcPr>
            <w:tcW w:w="1433" w:type="dxa"/>
            <w:noWrap/>
            <w:vAlign w:val="bottom"/>
          </w:tcPr>
          <w:p w:rsidR="0089553B" w:rsidRPr="00115980" w:rsidRDefault="0089553B">
            <w:pPr>
              <w:shd w:val="clear" w:color="000000" w:fill="auto"/>
              <w:spacing w:before="60" w:line="200" w:lineRule="exact"/>
              <w:rPr>
                <w:b/>
                <w:bCs/>
                <w:szCs w:val="22"/>
              </w:rPr>
            </w:pPr>
            <w:r w:rsidRPr="00115980">
              <w:rPr>
                <w:b/>
                <w:bCs/>
                <w:szCs w:val="22"/>
              </w:rPr>
              <w:t>Totalt</w:t>
            </w:r>
          </w:p>
        </w:tc>
        <w:tc>
          <w:tcPr>
            <w:tcW w:w="2302" w:type="dxa"/>
            <w:noWrap/>
            <w:vAlign w:val="bottom"/>
          </w:tcPr>
          <w:p w:rsidR="0089553B" w:rsidRPr="00115980" w:rsidRDefault="0089553B">
            <w:pPr>
              <w:shd w:val="clear" w:color="000000" w:fill="auto"/>
              <w:spacing w:before="60" w:line="200" w:lineRule="exact"/>
              <w:ind w:right="915"/>
              <w:jc w:val="right"/>
              <w:rPr>
                <w:b/>
                <w:bCs/>
              </w:rPr>
            </w:pPr>
            <w:r w:rsidRPr="00115980">
              <w:rPr>
                <w:b/>
                <w:bCs/>
              </w:rPr>
              <w:t>494,6</w:t>
            </w:r>
          </w:p>
        </w:tc>
      </w:tr>
    </w:tbl>
    <w:p w:rsidR="0089553B" w:rsidRPr="00115980" w:rsidRDefault="0089553B">
      <w:pPr>
        <w:shd w:val="clear" w:color="000000" w:fill="auto"/>
        <w:spacing w:before="0"/>
        <w:rPr>
          <w:sz w:val="16"/>
          <w:szCs w:val="16"/>
        </w:rPr>
      </w:pPr>
      <w:r w:rsidRPr="00115980">
        <w:rPr>
          <w:sz w:val="16"/>
          <w:szCs w:val="16"/>
        </w:rPr>
        <w:t>Källa: Nutek.</w:t>
      </w:r>
    </w:p>
    <w:p w:rsidR="0089553B" w:rsidRPr="00115980" w:rsidRDefault="0089553B">
      <w:pPr>
        <w:shd w:val="clear" w:color="000000" w:fill="auto"/>
      </w:pPr>
      <w:r w:rsidRPr="00115980">
        <w:t>Det stödberättigade området är indelat i fyra zoner och bidragssatsen varierar beroende på zon och transportens längd.</w:t>
      </w:r>
    </w:p>
    <w:p w:rsidR="0089553B" w:rsidRPr="00115980" w:rsidRDefault="0089553B">
      <w:pPr>
        <w:shd w:val="clear" w:color="000000" w:fill="auto"/>
        <w:rPr>
          <w:b/>
          <w:szCs w:val="19"/>
        </w:rPr>
      </w:pPr>
      <w:r w:rsidRPr="00115980">
        <w:rPr>
          <w:b/>
          <w:szCs w:val="19"/>
        </w:rPr>
        <w:t xml:space="preserve">Tabell 4. Bidragssatser i procent </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235"/>
        <w:gridCol w:w="992"/>
        <w:gridCol w:w="841"/>
        <w:gridCol w:w="900"/>
        <w:gridCol w:w="900"/>
      </w:tblGrid>
      <w:tr w:rsidR="00000000" w:rsidRPr="00115980">
        <w:trPr>
          <w:trHeight w:val="267"/>
        </w:trPr>
        <w:tc>
          <w:tcPr>
            <w:tcW w:w="2235" w:type="dxa"/>
            <w:tcBorders>
              <w:top w:val="single" w:sz="4" w:space="0" w:color="auto"/>
              <w:bottom w:val="single" w:sz="4" w:space="0" w:color="auto"/>
            </w:tcBorders>
          </w:tcPr>
          <w:p w:rsidR="0089553B" w:rsidRPr="00115980" w:rsidRDefault="0089553B">
            <w:pPr>
              <w:shd w:val="clear" w:color="000000" w:fill="auto"/>
              <w:spacing w:before="60" w:line="200" w:lineRule="exact"/>
              <w:rPr>
                <w:b/>
              </w:rPr>
            </w:pPr>
            <w:r w:rsidRPr="00115980">
              <w:rPr>
                <w:b/>
              </w:rPr>
              <w:t xml:space="preserve">Transportavstånd (km) </w:t>
            </w:r>
          </w:p>
        </w:tc>
        <w:tc>
          <w:tcPr>
            <w:tcW w:w="992" w:type="dxa"/>
            <w:tcBorders>
              <w:top w:val="single" w:sz="4" w:space="0" w:color="auto"/>
              <w:bottom w:val="single" w:sz="4" w:space="0" w:color="auto"/>
            </w:tcBorders>
          </w:tcPr>
          <w:p w:rsidR="0089553B" w:rsidRPr="00115980" w:rsidRDefault="0089553B">
            <w:pPr>
              <w:shd w:val="clear" w:color="000000" w:fill="auto"/>
              <w:spacing w:before="60" w:line="200" w:lineRule="exact"/>
              <w:jc w:val="center"/>
              <w:rPr>
                <w:b/>
              </w:rPr>
            </w:pPr>
            <w:r w:rsidRPr="00115980">
              <w:rPr>
                <w:b/>
                <w:iCs/>
              </w:rPr>
              <w:t>Zon 2</w:t>
            </w:r>
          </w:p>
        </w:tc>
        <w:tc>
          <w:tcPr>
            <w:tcW w:w="841" w:type="dxa"/>
            <w:tcBorders>
              <w:top w:val="single" w:sz="4" w:space="0" w:color="auto"/>
              <w:bottom w:val="single" w:sz="4" w:space="0" w:color="auto"/>
            </w:tcBorders>
          </w:tcPr>
          <w:p w:rsidR="0089553B" w:rsidRPr="00115980" w:rsidRDefault="0089553B">
            <w:pPr>
              <w:shd w:val="clear" w:color="000000" w:fill="auto"/>
              <w:spacing w:before="60" w:line="200" w:lineRule="exact"/>
              <w:jc w:val="center"/>
              <w:rPr>
                <w:b/>
              </w:rPr>
            </w:pPr>
            <w:r w:rsidRPr="00115980">
              <w:rPr>
                <w:b/>
                <w:iCs/>
              </w:rPr>
              <w:t>Zon 3</w:t>
            </w:r>
          </w:p>
        </w:tc>
        <w:tc>
          <w:tcPr>
            <w:tcW w:w="900" w:type="dxa"/>
            <w:tcBorders>
              <w:top w:val="single" w:sz="4" w:space="0" w:color="auto"/>
              <w:bottom w:val="single" w:sz="4" w:space="0" w:color="auto"/>
            </w:tcBorders>
          </w:tcPr>
          <w:p w:rsidR="0089553B" w:rsidRPr="00115980" w:rsidRDefault="0089553B">
            <w:pPr>
              <w:shd w:val="clear" w:color="000000" w:fill="auto"/>
              <w:spacing w:before="60" w:line="200" w:lineRule="exact"/>
              <w:jc w:val="center"/>
              <w:rPr>
                <w:b/>
              </w:rPr>
            </w:pPr>
            <w:r w:rsidRPr="00115980">
              <w:rPr>
                <w:b/>
                <w:iCs/>
              </w:rPr>
              <w:t>Zon 4</w:t>
            </w:r>
          </w:p>
        </w:tc>
        <w:tc>
          <w:tcPr>
            <w:tcW w:w="900" w:type="dxa"/>
            <w:tcBorders>
              <w:top w:val="single" w:sz="4" w:space="0" w:color="auto"/>
              <w:bottom w:val="single" w:sz="4" w:space="0" w:color="auto"/>
            </w:tcBorders>
          </w:tcPr>
          <w:p w:rsidR="0089553B" w:rsidRPr="00115980" w:rsidRDefault="0089553B">
            <w:pPr>
              <w:shd w:val="clear" w:color="000000" w:fill="auto"/>
              <w:spacing w:before="60" w:line="200" w:lineRule="exact"/>
              <w:jc w:val="center"/>
              <w:rPr>
                <w:b/>
              </w:rPr>
            </w:pPr>
            <w:r w:rsidRPr="00115980">
              <w:rPr>
                <w:b/>
                <w:iCs/>
              </w:rPr>
              <w:t>Zon 5</w:t>
            </w:r>
          </w:p>
        </w:tc>
      </w:tr>
      <w:tr w:rsidR="00000000" w:rsidRPr="00115980">
        <w:trPr>
          <w:trHeight w:val="266"/>
        </w:trPr>
        <w:tc>
          <w:tcPr>
            <w:tcW w:w="2235" w:type="dxa"/>
            <w:tcBorders>
              <w:top w:val="single" w:sz="4" w:space="0" w:color="auto"/>
            </w:tcBorders>
          </w:tcPr>
          <w:p w:rsidR="0089553B" w:rsidRPr="00115980" w:rsidRDefault="0089553B">
            <w:pPr>
              <w:shd w:val="clear" w:color="000000" w:fill="auto"/>
              <w:spacing w:before="60" w:line="200" w:lineRule="exact"/>
            </w:pPr>
            <w:r w:rsidRPr="00115980">
              <w:t xml:space="preserve">401–700 </w:t>
            </w:r>
          </w:p>
        </w:tc>
        <w:tc>
          <w:tcPr>
            <w:tcW w:w="992" w:type="dxa"/>
            <w:tcBorders>
              <w:top w:val="single" w:sz="4" w:space="0" w:color="auto"/>
            </w:tcBorders>
          </w:tcPr>
          <w:p w:rsidR="0089553B" w:rsidRPr="00115980" w:rsidRDefault="0089553B">
            <w:pPr>
              <w:shd w:val="clear" w:color="000000" w:fill="auto"/>
              <w:spacing w:before="60" w:line="200" w:lineRule="exact"/>
              <w:jc w:val="center"/>
            </w:pPr>
            <w:r w:rsidRPr="00115980">
              <w:t>15</w:t>
            </w:r>
          </w:p>
        </w:tc>
        <w:tc>
          <w:tcPr>
            <w:tcW w:w="841" w:type="dxa"/>
            <w:tcBorders>
              <w:top w:val="single" w:sz="4" w:space="0" w:color="auto"/>
            </w:tcBorders>
          </w:tcPr>
          <w:p w:rsidR="0089553B" w:rsidRPr="00115980" w:rsidRDefault="0089553B">
            <w:pPr>
              <w:shd w:val="clear" w:color="000000" w:fill="auto"/>
              <w:spacing w:before="60" w:line="200" w:lineRule="exact"/>
              <w:jc w:val="center"/>
            </w:pPr>
            <w:r w:rsidRPr="00115980">
              <w:t>25</w:t>
            </w:r>
          </w:p>
        </w:tc>
        <w:tc>
          <w:tcPr>
            <w:tcW w:w="900" w:type="dxa"/>
            <w:tcBorders>
              <w:top w:val="single" w:sz="4" w:space="0" w:color="auto"/>
            </w:tcBorders>
          </w:tcPr>
          <w:p w:rsidR="0089553B" w:rsidRPr="00115980" w:rsidRDefault="0089553B">
            <w:pPr>
              <w:shd w:val="clear" w:color="000000" w:fill="auto"/>
              <w:spacing w:before="60" w:line="200" w:lineRule="exact"/>
              <w:jc w:val="center"/>
            </w:pPr>
            <w:r w:rsidRPr="00115980">
              <w:t>30</w:t>
            </w:r>
          </w:p>
        </w:tc>
        <w:tc>
          <w:tcPr>
            <w:tcW w:w="900" w:type="dxa"/>
            <w:tcBorders>
              <w:top w:val="single" w:sz="4" w:space="0" w:color="auto"/>
            </w:tcBorders>
          </w:tcPr>
          <w:p w:rsidR="0089553B" w:rsidRPr="00115980" w:rsidRDefault="0089553B">
            <w:pPr>
              <w:shd w:val="clear" w:color="000000" w:fill="auto"/>
              <w:spacing w:before="60" w:line="200" w:lineRule="exact"/>
              <w:jc w:val="center"/>
            </w:pPr>
            <w:r w:rsidRPr="00115980">
              <w:t>30</w:t>
            </w:r>
          </w:p>
        </w:tc>
      </w:tr>
      <w:tr w:rsidR="00000000" w:rsidRPr="00115980">
        <w:trPr>
          <w:trHeight w:val="266"/>
        </w:trPr>
        <w:tc>
          <w:tcPr>
            <w:tcW w:w="2235" w:type="dxa"/>
          </w:tcPr>
          <w:p w:rsidR="0089553B" w:rsidRPr="00115980" w:rsidRDefault="0089553B">
            <w:pPr>
              <w:shd w:val="clear" w:color="000000" w:fill="auto"/>
              <w:spacing w:before="60" w:line="200" w:lineRule="exact"/>
            </w:pPr>
            <w:r w:rsidRPr="00115980">
              <w:t xml:space="preserve">700– </w:t>
            </w:r>
          </w:p>
        </w:tc>
        <w:tc>
          <w:tcPr>
            <w:tcW w:w="992" w:type="dxa"/>
          </w:tcPr>
          <w:p w:rsidR="0089553B" w:rsidRPr="00115980" w:rsidRDefault="0089553B">
            <w:pPr>
              <w:shd w:val="clear" w:color="000000" w:fill="auto"/>
              <w:spacing w:before="60" w:line="200" w:lineRule="exact"/>
              <w:jc w:val="center"/>
            </w:pPr>
            <w:r w:rsidRPr="00115980">
              <w:t>15</w:t>
            </w:r>
          </w:p>
        </w:tc>
        <w:tc>
          <w:tcPr>
            <w:tcW w:w="841" w:type="dxa"/>
          </w:tcPr>
          <w:p w:rsidR="0089553B" w:rsidRPr="00115980" w:rsidRDefault="0089553B">
            <w:pPr>
              <w:shd w:val="clear" w:color="000000" w:fill="auto"/>
              <w:spacing w:before="60" w:line="200" w:lineRule="exact"/>
              <w:jc w:val="center"/>
            </w:pPr>
            <w:r w:rsidRPr="00115980">
              <w:t>25</w:t>
            </w:r>
          </w:p>
        </w:tc>
        <w:tc>
          <w:tcPr>
            <w:tcW w:w="900" w:type="dxa"/>
          </w:tcPr>
          <w:p w:rsidR="0089553B" w:rsidRPr="00115980" w:rsidRDefault="0089553B">
            <w:pPr>
              <w:shd w:val="clear" w:color="000000" w:fill="auto"/>
              <w:spacing w:before="60" w:line="200" w:lineRule="exact"/>
              <w:jc w:val="center"/>
            </w:pPr>
            <w:r w:rsidRPr="00115980">
              <w:t>30</w:t>
            </w:r>
          </w:p>
        </w:tc>
        <w:tc>
          <w:tcPr>
            <w:tcW w:w="900" w:type="dxa"/>
          </w:tcPr>
          <w:p w:rsidR="0089553B" w:rsidRPr="00115980" w:rsidRDefault="0089553B">
            <w:pPr>
              <w:shd w:val="clear" w:color="000000" w:fill="auto"/>
              <w:spacing w:before="60" w:line="200" w:lineRule="exact"/>
              <w:jc w:val="center"/>
            </w:pPr>
            <w:r w:rsidRPr="00115980">
              <w:t>45</w:t>
            </w:r>
          </w:p>
        </w:tc>
      </w:tr>
    </w:tbl>
    <w:p w:rsidR="0089553B" w:rsidRPr="00115980" w:rsidRDefault="0089553B">
      <w:pPr>
        <w:keepNext/>
        <w:keepLines/>
        <w:widowControl w:val="0"/>
        <w:shd w:val="clear" w:color="000000" w:fill="auto"/>
        <w:spacing w:before="0"/>
        <w:rPr>
          <w:sz w:val="16"/>
          <w:szCs w:val="16"/>
        </w:rPr>
      </w:pPr>
      <w:r w:rsidRPr="00115980">
        <w:rPr>
          <w:sz w:val="16"/>
          <w:szCs w:val="16"/>
        </w:rPr>
        <w:t>Källa: Förordning 2001:281 Om regionalt transportbidrag.</w:t>
      </w:r>
    </w:p>
    <w:p w:rsidR="0089553B" w:rsidRPr="00115980" w:rsidRDefault="0089553B">
      <w:pPr>
        <w:shd w:val="clear" w:color="000000" w:fill="auto"/>
      </w:pPr>
      <w:r w:rsidRPr="00115980">
        <w:t>15 procent av bidraget utbetalas till transporter som är mellan 40 och 70 mil och resterande 85 procent till transporter längre än 70 mil.</w:t>
      </w:r>
    </w:p>
    <w:p w:rsidR="0089553B" w:rsidRPr="00115980" w:rsidRDefault="0089553B">
      <w:pPr>
        <w:shd w:val="clear" w:color="000000" w:fill="auto"/>
        <w:rPr>
          <w:b/>
          <w:szCs w:val="19"/>
        </w:rPr>
      </w:pPr>
      <w:r w:rsidRPr="00115980">
        <w:rPr>
          <w:b/>
          <w:szCs w:val="19"/>
        </w:rPr>
        <w:t>Tabell 5. Utbetalt transportbidrag efter avståndsklass</w:t>
      </w:r>
    </w:p>
    <w:tbl>
      <w:tblPr>
        <w:tblW w:w="5920" w:type="dxa"/>
        <w:tblInd w:w="55" w:type="dxa"/>
        <w:tblCellMar>
          <w:left w:w="70" w:type="dxa"/>
          <w:right w:w="70" w:type="dxa"/>
        </w:tblCellMar>
        <w:tblLook w:val="0000" w:firstRow="0" w:lastRow="0" w:firstColumn="0" w:lastColumn="0" w:noHBand="0" w:noVBand="0"/>
      </w:tblPr>
      <w:tblGrid>
        <w:gridCol w:w="1960"/>
        <w:gridCol w:w="1980"/>
        <w:gridCol w:w="1980"/>
      </w:tblGrid>
      <w:tr w:rsidR="00000000" w:rsidRPr="00115980">
        <w:trPr>
          <w:trHeight w:val="285"/>
        </w:trPr>
        <w:tc>
          <w:tcPr>
            <w:tcW w:w="1960" w:type="dxa"/>
            <w:tcBorders>
              <w:top w:val="single" w:sz="4" w:space="0" w:color="auto"/>
              <w:bottom w:val="single" w:sz="4" w:space="0" w:color="auto"/>
            </w:tcBorders>
            <w:noWrap/>
            <w:vAlign w:val="bottom"/>
          </w:tcPr>
          <w:p w:rsidR="0089553B" w:rsidRPr="00115980" w:rsidRDefault="0089553B">
            <w:pPr>
              <w:shd w:val="clear" w:color="000000" w:fill="auto"/>
              <w:spacing w:before="60" w:line="200" w:lineRule="exact"/>
              <w:rPr>
                <w:b/>
              </w:rPr>
            </w:pPr>
            <w:r w:rsidRPr="00115980">
              <w:rPr>
                <w:b/>
              </w:rPr>
              <w:t>Avståndsklass</w:t>
            </w:r>
          </w:p>
        </w:tc>
        <w:tc>
          <w:tcPr>
            <w:tcW w:w="1980" w:type="dxa"/>
            <w:tcBorders>
              <w:top w:val="single" w:sz="4" w:space="0" w:color="auto"/>
              <w:bottom w:val="single" w:sz="4" w:space="0" w:color="auto"/>
            </w:tcBorders>
            <w:noWrap/>
            <w:vAlign w:val="bottom"/>
          </w:tcPr>
          <w:p w:rsidR="0089553B" w:rsidRPr="00115980" w:rsidRDefault="0089553B">
            <w:pPr>
              <w:shd w:val="clear" w:color="000000" w:fill="auto"/>
              <w:spacing w:before="60" w:line="200" w:lineRule="exact"/>
              <w:jc w:val="left"/>
              <w:rPr>
                <w:b/>
              </w:rPr>
            </w:pPr>
            <w:r w:rsidRPr="00115980">
              <w:rPr>
                <w:b/>
              </w:rPr>
              <w:t xml:space="preserve">Utbetalt belopp, </w:t>
            </w:r>
            <w:r w:rsidRPr="00115980">
              <w:rPr>
                <w:b/>
              </w:rPr>
              <w:br/>
              <w:t>miljoner kronor</w:t>
            </w:r>
          </w:p>
        </w:tc>
        <w:tc>
          <w:tcPr>
            <w:tcW w:w="1980" w:type="dxa"/>
            <w:tcBorders>
              <w:top w:val="single" w:sz="4" w:space="0" w:color="auto"/>
              <w:bottom w:val="single" w:sz="4" w:space="0" w:color="auto"/>
            </w:tcBorders>
          </w:tcPr>
          <w:p w:rsidR="0089553B" w:rsidRPr="00115980" w:rsidRDefault="0089553B">
            <w:pPr>
              <w:shd w:val="clear" w:color="000000" w:fill="auto"/>
              <w:spacing w:before="60" w:line="200" w:lineRule="exact"/>
              <w:jc w:val="center"/>
              <w:rPr>
                <w:b/>
              </w:rPr>
            </w:pPr>
            <w:r w:rsidRPr="00115980">
              <w:rPr>
                <w:b/>
              </w:rPr>
              <w:t>Procent</w:t>
            </w:r>
          </w:p>
        </w:tc>
      </w:tr>
      <w:tr w:rsidR="00000000" w:rsidRPr="00115980">
        <w:trPr>
          <w:trHeight w:val="285"/>
        </w:trPr>
        <w:tc>
          <w:tcPr>
            <w:tcW w:w="1960" w:type="dxa"/>
            <w:tcBorders>
              <w:top w:val="single" w:sz="4" w:space="0" w:color="auto"/>
            </w:tcBorders>
            <w:noWrap/>
            <w:vAlign w:val="bottom"/>
          </w:tcPr>
          <w:p w:rsidR="0089553B" w:rsidRPr="00115980" w:rsidRDefault="0089553B">
            <w:pPr>
              <w:shd w:val="clear" w:color="000000" w:fill="auto"/>
              <w:spacing w:before="60" w:line="200" w:lineRule="exact"/>
            </w:pPr>
            <w:r w:rsidRPr="00115980">
              <w:t>401–</w:t>
            </w:r>
            <w:smartTag w:uri="urn:schemas-microsoft-com:office:smarttags" w:element="metricconverter">
              <w:smartTagPr>
                <w:attr w:name="ProductID" w:val="700 km"/>
              </w:smartTagPr>
              <w:r w:rsidRPr="00115980">
                <w:t>700 km</w:t>
              </w:r>
            </w:smartTag>
            <w:r w:rsidRPr="00115980">
              <w:t xml:space="preserve"> </w:t>
            </w:r>
          </w:p>
        </w:tc>
        <w:tc>
          <w:tcPr>
            <w:tcW w:w="1980" w:type="dxa"/>
            <w:tcBorders>
              <w:top w:val="single" w:sz="4" w:space="0" w:color="auto"/>
            </w:tcBorders>
            <w:noWrap/>
            <w:vAlign w:val="bottom"/>
          </w:tcPr>
          <w:p w:rsidR="0089553B" w:rsidRPr="00115980" w:rsidRDefault="0089553B">
            <w:pPr>
              <w:shd w:val="clear" w:color="000000" w:fill="auto"/>
              <w:spacing w:before="60" w:line="200" w:lineRule="exact"/>
              <w:ind w:right="855"/>
              <w:jc w:val="right"/>
            </w:pPr>
            <w:r w:rsidRPr="00115980">
              <w:t>75,0</w:t>
            </w:r>
          </w:p>
        </w:tc>
        <w:tc>
          <w:tcPr>
            <w:tcW w:w="1980" w:type="dxa"/>
            <w:tcBorders>
              <w:top w:val="single" w:sz="4" w:space="0" w:color="auto"/>
            </w:tcBorders>
          </w:tcPr>
          <w:p w:rsidR="0089553B" w:rsidRPr="00115980" w:rsidRDefault="0089553B">
            <w:pPr>
              <w:shd w:val="clear" w:color="000000" w:fill="auto"/>
              <w:spacing w:before="60" w:line="200" w:lineRule="exact"/>
              <w:jc w:val="center"/>
            </w:pPr>
            <w:r w:rsidRPr="00115980">
              <w:t>15</w:t>
            </w:r>
          </w:p>
        </w:tc>
      </w:tr>
      <w:tr w:rsidR="00000000" w:rsidRPr="00115980">
        <w:trPr>
          <w:trHeight w:val="285"/>
        </w:trPr>
        <w:tc>
          <w:tcPr>
            <w:tcW w:w="1960" w:type="dxa"/>
            <w:noWrap/>
            <w:vAlign w:val="bottom"/>
          </w:tcPr>
          <w:p w:rsidR="0089553B" w:rsidRPr="00115980" w:rsidRDefault="0089553B">
            <w:pPr>
              <w:shd w:val="clear" w:color="000000" w:fill="auto"/>
              <w:spacing w:before="60" w:line="200" w:lineRule="exact"/>
            </w:pPr>
            <w:r w:rsidRPr="00115980">
              <w:t>701–km</w:t>
            </w:r>
          </w:p>
        </w:tc>
        <w:tc>
          <w:tcPr>
            <w:tcW w:w="1980" w:type="dxa"/>
            <w:noWrap/>
            <w:vAlign w:val="bottom"/>
          </w:tcPr>
          <w:p w:rsidR="0089553B" w:rsidRPr="00115980" w:rsidRDefault="0089553B">
            <w:pPr>
              <w:shd w:val="clear" w:color="000000" w:fill="auto"/>
              <w:spacing w:before="60" w:line="200" w:lineRule="exact"/>
              <w:ind w:right="855"/>
              <w:jc w:val="right"/>
            </w:pPr>
            <w:r w:rsidRPr="00115980">
              <w:t>419,6</w:t>
            </w:r>
          </w:p>
        </w:tc>
        <w:tc>
          <w:tcPr>
            <w:tcW w:w="1980" w:type="dxa"/>
          </w:tcPr>
          <w:p w:rsidR="0089553B" w:rsidRPr="00115980" w:rsidRDefault="0089553B">
            <w:pPr>
              <w:shd w:val="clear" w:color="000000" w:fill="auto"/>
              <w:spacing w:before="60" w:line="200" w:lineRule="exact"/>
              <w:jc w:val="center"/>
            </w:pPr>
            <w:r w:rsidRPr="00115980">
              <w:t>85</w:t>
            </w:r>
          </w:p>
        </w:tc>
      </w:tr>
      <w:tr w:rsidR="00000000" w:rsidRPr="00115980">
        <w:trPr>
          <w:trHeight w:val="285"/>
        </w:trPr>
        <w:tc>
          <w:tcPr>
            <w:tcW w:w="1960" w:type="dxa"/>
            <w:tcBorders>
              <w:bottom w:val="single" w:sz="4" w:space="0" w:color="auto"/>
            </w:tcBorders>
            <w:noWrap/>
            <w:vAlign w:val="bottom"/>
          </w:tcPr>
          <w:p w:rsidR="0089553B" w:rsidRPr="00115980" w:rsidRDefault="0089553B">
            <w:pPr>
              <w:shd w:val="clear" w:color="000000" w:fill="auto"/>
              <w:spacing w:before="60" w:line="200" w:lineRule="exact"/>
            </w:pPr>
            <w:r w:rsidRPr="00115980">
              <w:t>Totalt</w:t>
            </w:r>
          </w:p>
        </w:tc>
        <w:tc>
          <w:tcPr>
            <w:tcW w:w="1980" w:type="dxa"/>
            <w:tcBorders>
              <w:bottom w:val="single" w:sz="4" w:space="0" w:color="auto"/>
            </w:tcBorders>
            <w:noWrap/>
            <w:vAlign w:val="bottom"/>
          </w:tcPr>
          <w:p w:rsidR="0089553B" w:rsidRPr="00115980" w:rsidRDefault="0089553B">
            <w:pPr>
              <w:shd w:val="clear" w:color="000000" w:fill="auto"/>
              <w:spacing w:before="60" w:line="200" w:lineRule="exact"/>
              <w:ind w:right="855"/>
              <w:jc w:val="right"/>
            </w:pPr>
            <w:r w:rsidRPr="00115980">
              <w:t>494,6</w:t>
            </w:r>
          </w:p>
        </w:tc>
        <w:tc>
          <w:tcPr>
            <w:tcW w:w="1980" w:type="dxa"/>
            <w:tcBorders>
              <w:bottom w:val="single" w:sz="4" w:space="0" w:color="auto"/>
            </w:tcBorders>
          </w:tcPr>
          <w:p w:rsidR="0089553B" w:rsidRPr="00115980" w:rsidRDefault="0089553B">
            <w:pPr>
              <w:shd w:val="clear" w:color="000000" w:fill="auto"/>
              <w:spacing w:before="60" w:line="200" w:lineRule="exact"/>
              <w:jc w:val="center"/>
            </w:pPr>
            <w:r w:rsidRPr="00115980">
              <w:t>100</w:t>
            </w:r>
          </w:p>
        </w:tc>
      </w:tr>
    </w:tbl>
    <w:p w:rsidR="0089553B" w:rsidRPr="00115980" w:rsidRDefault="0089553B">
      <w:pPr>
        <w:shd w:val="clear" w:color="000000" w:fill="auto"/>
        <w:spacing w:before="0"/>
        <w:rPr>
          <w:sz w:val="16"/>
          <w:szCs w:val="16"/>
        </w:rPr>
      </w:pPr>
      <w:r w:rsidRPr="00115980">
        <w:rPr>
          <w:sz w:val="16"/>
          <w:szCs w:val="16"/>
        </w:rPr>
        <w:t>Källa: Nutek.</w:t>
      </w:r>
    </w:p>
    <w:p w:rsidR="0089553B" w:rsidRPr="00115980" w:rsidRDefault="0089553B">
      <w:pPr>
        <w:shd w:val="clear" w:color="000000" w:fill="auto"/>
      </w:pPr>
      <w:r w:rsidRPr="00115980">
        <w:t>Transportbidrag betalades under år 2006 ut till 386 000 sändningar. 91 procent av sändningarna var till vägtrafik som svarade för 57 procent av den totala vikten.</w:t>
      </w:r>
    </w:p>
    <w:p w:rsidR="0089553B" w:rsidRPr="00115980" w:rsidRDefault="0089553B">
      <w:pPr>
        <w:shd w:val="clear" w:color="000000" w:fill="auto"/>
        <w:rPr>
          <w:b/>
          <w:szCs w:val="19"/>
        </w:rPr>
      </w:pPr>
      <w:r w:rsidRPr="00115980">
        <w:rPr>
          <w:b/>
          <w:szCs w:val="19"/>
        </w:rPr>
        <w:t>Tabell 6. Utbetalt transportbidrag efter avståndsklass</w:t>
      </w:r>
    </w:p>
    <w:tbl>
      <w:tblPr>
        <w:tblW w:w="5535" w:type="dxa"/>
        <w:tblInd w:w="55" w:type="dxa"/>
        <w:tblCellMar>
          <w:left w:w="70" w:type="dxa"/>
          <w:right w:w="70" w:type="dxa"/>
        </w:tblCellMar>
        <w:tblLook w:val="0000" w:firstRow="0" w:lastRow="0" w:firstColumn="0" w:lastColumn="0" w:noHBand="0" w:noVBand="0"/>
      </w:tblPr>
      <w:tblGrid>
        <w:gridCol w:w="1174"/>
        <w:gridCol w:w="1121"/>
        <w:gridCol w:w="960"/>
        <w:gridCol w:w="1320"/>
        <w:gridCol w:w="960"/>
      </w:tblGrid>
      <w:tr w:rsidR="00000000" w:rsidRPr="00115980">
        <w:trPr>
          <w:trHeight w:val="285"/>
        </w:trPr>
        <w:tc>
          <w:tcPr>
            <w:tcW w:w="1174" w:type="dxa"/>
            <w:tcBorders>
              <w:top w:val="single" w:sz="4" w:space="0" w:color="auto"/>
            </w:tcBorders>
            <w:noWrap/>
            <w:vAlign w:val="bottom"/>
          </w:tcPr>
          <w:p w:rsidR="0089553B" w:rsidRPr="00115980" w:rsidRDefault="0089553B">
            <w:pPr>
              <w:shd w:val="clear" w:color="000000" w:fill="auto"/>
              <w:spacing w:before="60" w:line="200" w:lineRule="exact"/>
              <w:rPr>
                <w:b/>
              </w:rPr>
            </w:pPr>
          </w:p>
        </w:tc>
        <w:tc>
          <w:tcPr>
            <w:tcW w:w="2081" w:type="dxa"/>
            <w:gridSpan w:val="2"/>
            <w:tcBorders>
              <w:top w:val="single" w:sz="4" w:space="0" w:color="auto"/>
            </w:tcBorders>
            <w:noWrap/>
            <w:vAlign w:val="bottom"/>
          </w:tcPr>
          <w:p w:rsidR="0089553B" w:rsidRPr="00115980" w:rsidRDefault="0089553B">
            <w:pPr>
              <w:shd w:val="clear" w:color="000000" w:fill="auto"/>
              <w:spacing w:before="60" w:line="200" w:lineRule="exact"/>
              <w:jc w:val="center"/>
              <w:rPr>
                <w:b/>
              </w:rPr>
            </w:pPr>
            <w:r w:rsidRPr="00115980">
              <w:rPr>
                <w:b/>
              </w:rPr>
              <w:t>Vikt</w:t>
            </w:r>
          </w:p>
        </w:tc>
        <w:tc>
          <w:tcPr>
            <w:tcW w:w="2280" w:type="dxa"/>
            <w:gridSpan w:val="2"/>
            <w:tcBorders>
              <w:top w:val="single" w:sz="4" w:space="0" w:color="auto"/>
            </w:tcBorders>
            <w:noWrap/>
            <w:vAlign w:val="bottom"/>
          </w:tcPr>
          <w:p w:rsidR="0089553B" w:rsidRPr="00115980" w:rsidRDefault="0089553B">
            <w:pPr>
              <w:shd w:val="clear" w:color="000000" w:fill="auto"/>
              <w:spacing w:before="60" w:line="200" w:lineRule="exact"/>
              <w:jc w:val="center"/>
              <w:rPr>
                <w:b/>
              </w:rPr>
            </w:pPr>
            <w:r w:rsidRPr="00115980">
              <w:rPr>
                <w:b/>
              </w:rPr>
              <w:t>Sändningar</w:t>
            </w:r>
          </w:p>
        </w:tc>
      </w:tr>
      <w:tr w:rsidR="00000000" w:rsidRPr="00115980">
        <w:trPr>
          <w:trHeight w:val="285"/>
        </w:trPr>
        <w:tc>
          <w:tcPr>
            <w:tcW w:w="1174" w:type="dxa"/>
            <w:tcBorders>
              <w:bottom w:val="single" w:sz="4" w:space="0" w:color="auto"/>
            </w:tcBorders>
            <w:noWrap/>
            <w:vAlign w:val="bottom"/>
          </w:tcPr>
          <w:p w:rsidR="0089553B" w:rsidRPr="00115980" w:rsidRDefault="0089553B">
            <w:pPr>
              <w:shd w:val="clear" w:color="000000" w:fill="auto"/>
              <w:spacing w:before="60" w:line="200" w:lineRule="exact"/>
              <w:rPr>
                <w:b/>
              </w:rPr>
            </w:pPr>
            <w:r w:rsidRPr="00115980">
              <w:rPr>
                <w:b/>
              </w:rPr>
              <w:t xml:space="preserve">Trafikslag </w:t>
            </w:r>
          </w:p>
        </w:tc>
        <w:tc>
          <w:tcPr>
            <w:tcW w:w="1121" w:type="dxa"/>
            <w:tcBorders>
              <w:bottom w:val="single" w:sz="4" w:space="0" w:color="auto"/>
            </w:tcBorders>
            <w:noWrap/>
            <w:vAlign w:val="bottom"/>
          </w:tcPr>
          <w:p w:rsidR="0089553B" w:rsidRPr="00115980" w:rsidRDefault="0089553B">
            <w:pPr>
              <w:shd w:val="clear" w:color="000000" w:fill="auto"/>
              <w:spacing w:before="60" w:line="200" w:lineRule="exact"/>
              <w:jc w:val="center"/>
              <w:rPr>
                <w:b/>
              </w:rPr>
            </w:pPr>
            <w:r w:rsidRPr="00115980">
              <w:rPr>
                <w:b/>
              </w:rPr>
              <w:t>Ton</w:t>
            </w:r>
          </w:p>
        </w:tc>
        <w:tc>
          <w:tcPr>
            <w:tcW w:w="960" w:type="dxa"/>
            <w:tcBorders>
              <w:bottom w:val="single" w:sz="4" w:space="0" w:color="auto"/>
            </w:tcBorders>
          </w:tcPr>
          <w:p w:rsidR="0089553B" w:rsidRPr="00115980" w:rsidRDefault="0089553B">
            <w:pPr>
              <w:shd w:val="clear" w:color="000000" w:fill="auto"/>
              <w:spacing w:before="60" w:line="200" w:lineRule="exact"/>
              <w:jc w:val="center"/>
              <w:rPr>
                <w:b/>
              </w:rPr>
            </w:pPr>
            <w:r w:rsidRPr="00115980">
              <w:rPr>
                <w:b/>
              </w:rPr>
              <w:t>procent</w:t>
            </w:r>
          </w:p>
        </w:tc>
        <w:tc>
          <w:tcPr>
            <w:tcW w:w="1320" w:type="dxa"/>
            <w:tcBorders>
              <w:bottom w:val="single" w:sz="4" w:space="0" w:color="auto"/>
            </w:tcBorders>
            <w:noWrap/>
            <w:vAlign w:val="bottom"/>
          </w:tcPr>
          <w:p w:rsidR="0089553B" w:rsidRPr="00115980" w:rsidRDefault="0089553B">
            <w:pPr>
              <w:shd w:val="clear" w:color="000000" w:fill="auto"/>
              <w:spacing w:before="60" w:line="200" w:lineRule="exact"/>
              <w:jc w:val="center"/>
              <w:rPr>
                <w:b/>
              </w:rPr>
            </w:pPr>
            <w:r w:rsidRPr="00115980">
              <w:rPr>
                <w:b/>
              </w:rPr>
              <w:t>Antal</w:t>
            </w:r>
          </w:p>
        </w:tc>
        <w:tc>
          <w:tcPr>
            <w:tcW w:w="960" w:type="dxa"/>
            <w:tcBorders>
              <w:bottom w:val="single" w:sz="4" w:space="0" w:color="auto"/>
            </w:tcBorders>
          </w:tcPr>
          <w:p w:rsidR="0089553B" w:rsidRPr="00115980" w:rsidRDefault="0089553B">
            <w:pPr>
              <w:shd w:val="clear" w:color="000000" w:fill="auto"/>
              <w:spacing w:before="60" w:line="200" w:lineRule="exact"/>
              <w:jc w:val="center"/>
              <w:rPr>
                <w:b/>
              </w:rPr>
            </w:pPr>
            <w:r w:rsidRPr="00115980">
              <w:rPr>
                <w:b/>
              </w:rPr>
              <w:t>Procent</w:t>
            </w:r>
          </w:p>
        </w:tc>
      </w:tr>
      <w:tr w:rsidR="00000000" w:rsidRPr="00115980">
        <w:trPr>
          <w:trHeight w:val="285"/>
        </w:trPr>
        <w:tc>
          <w:tcPr>
            <w:tcW w:w="1174" w:type="dxa"/>
            <w:tcBorders>
              <w:top w:val="single" w:sz="4" w:space="0" w:color="auto"/>
            </w:tcBorders>
            <w:noWrap/>
            <w:vAlign w:val="bottom"/>
          </w:tcPr>
          <w:p w:rsidR="0089553B" w:rsidRPr="00115980" w:rsidRDefault="0089553B">
            <w:pPr>
              <w:shd w:val="clear" w:color="000000" w:fill="auto"/>
              <w:spacing w:before="60" w:line="200" w:lineRule="exact"/>
            </w:pPr>
            <w:r w:rsidRPr="00115980">
              <w:t xml:space="preserve">Järnväg </w:t>
            </w:r>
          </w:p>
        </w:tc>
        <w:tc>
          <w:tcPr>
            <w:tcW w:w="1121" w:type="dxa"/>
            <w:tcBorders>
              <w:top w:val="single" w:sz="4" w:space="0" w:color="auto"/>
            </w:tcBorders>
            <w:noWrap/>
            <w:vAlign w:val="bottom"/>
          </w:tcPr>
          <w:p w:rsidR="0089553B" w:rsidRPr="00115980" w:rsidRDefault="0089553B">
            <w:pPr>
              <w:shd w:val="clear" w:color="000000" w:fill="auto"/>
              <w:spacing w:before="60" w:line="200" w:lineRule="exact"/>
              <w:ind w:right="161"/>
              <w:jc w:val="right"/>
            </w:pPr>
            <w:r w:rsidRPr="00115980">
              <w:t>719 017</w:t>
            </w:r>
          </w:p>
        </w:tc>
        <w:tc>
          <w:tcPr>
            <w:tcW w:w="960" w:type="dxa"/>
            <w:tcBorders>
              <w:top w:val="single" w:sz="4" w:space="0" w:color="auto"/>
            </w:tcBorders>
            <w:vAlign w:val="bottom"/>
          </w:tcPr>
          <w:p w:rsidR="0089553B" w:rsidRPr="00115980" w:rsidRDefault="0089553B">
            <w:pPr>
              <w:shd w:val="clear" w:color="000000" w:fill="auto"/>
              <w:spacing w:before="60" w:line="200" w:lineRule="exact"/>
              <w:ind w:right="227"/>
              <w:jc w:val="right"/>
            </w:pPr>
            <w:r w:rsidRPr="00115980">
              <w:t>16 %</w:t>
            </w:r>
          </w:p>
        </w:tc>
        <w:tc>
          <w:tcPr>
            <w:tcW w:w="1320" w:type="dxa"/>
            <w:tcBorders>
              <w:top w:val="single" w:sz="4" w:space="0" w:color="auto"/>
            </w:tcBorders>
            <w:noWrap/>
            <w:vAlign w:val="bottom"/>
          </w:tcPr>
          <w:p w:rsidR="0089553B" w:rsidRPr="00115980" w:rsidRDefault="0089553B">
            <w:pPr>
              <w:shd w:val="clear" w:color="000000" w:fill="auto"/>
              <w:spacing w:before="60" w:line="200" w:lineRule="exact"/>
              <w:ind w:right="290"/>
              <w:jc w:val="right"/>
            </w:pPr>
            <w:r w:rsidRPr="00115980">
              <w:t>20 777</w:t>
            </w:r>
          </w:p>
        </w:tc>
        <w:tc>
          <w:tcPr>
            <w:tcW w:w="960" w:type="dxa"/>
            <w:tcBorders>
              <w:top w:val="single" w:sz="4" w:space="0" w:color="auto"/>
            </w:tcBorders>
            <w:vAlign w:val="bottom"/>
          </w:tcPr>
          <w:p w:rsidR="0089553B" w:rsidRPr="00115980" w:rsidRDefault="0089553B">
            <w:pPr>
              <w:shd w:val="clear" w:color="000000" w:fill="auto"/>
              <w:spacing w:before="60" w:line="200" w:lineRule="exact"/>
              <w:ind w:right="170"/>
              <w:jc w:val="right"/>
            </w:pPr>
            <w:r w:rsidRPr="00115980">
              <w:t>5 %</w:t>
            </w:r>
          </w:p>
        </w:tc>
      </w:tr>
      <w:tr w:rsidR="00000000" w:rsidRPr="00115980">
        <w:trPr>
          <w:trHeight w:val="285"/>
        </w:trPr>
        <w:tc>
          <w:tcPr>
            <w:tcW w:w="1174" w:type="dxa"/>
            <w:noWrap/>
            <w:vAlign w:val="bottom"/>
          </w:tcPr>
          <w:p w:rsidR="0089553B" w:rsidRPr="00115980" w:rsidRDefault="0089553B">
            <w:pPr>
              <w:shd w:val="clear" w:color="000000" w:fill="auto"/>
              <w:spacing w:before="60" w:line="200" w:lineRule="exact"/>
            </w:pPr>
            <w:r w:rsidRPr="00115980">
              <w:t xml:space="preserve">Bil </w:t>
            </w:r>
          </w:p>
        </w:tc>
        <w:tc>
          <w:tcPr>
            <w:tcW w:w="1121" w:type="dxa"/>
            <w:noWrap/>
            <w:vAlign w:val="bottom"/>
          </w:tcPr>
          <w:p w:rsidR="0089553B" w:rsidRPr="00115980" w:rsidRDefault="0089553B">
            <w:pPr>
              <w:shd w:val="clear" w:color="000000" w:fill="auto"/>
              <w:spacing w:before="60" w:line="200" w:lineRule="exact"/>
              <w:ind w:right="161"/>
              <w:jc w:val="right"/>
            </w:pPr>
            <w:r w:rsidRPr="00115980">
              <w:t>2 516 750</w:t>
            </w:r>
          </w:p>
        </w:tc>
        <w:tc>
          <w:tcPr>
            <w:tcW w:w="960" w:type="dxa"/>
            <w:vAlign w:val="bottom"/>
          </w:tcPr>
          <w:p w:rsidR="0089553B" w:rsidRPr="00115980" w:rsidRDefault="0089553B">
            <w:pPr>
              <w:shd w:val="clear" w:color="000000" w:fill="auto"/>
              <w:spacing w:before="60" w:line="200" w:lineRule="exact"/>
              <w:ind w:right="227"/>
              <w:jc w:val="right"/>
            </w:pPr>
            <w:r w:rsidRPr="00115980">
              <w:t>57 %</w:t>
            </w:r>
          </w:p>
        </w:tc>
        <w:tc>
          <w:tcPr>
            <w:tcW w:w="1320" w:type="dxa"/>
            <w:noWrap/>
            <w:vAlign w:val="bottom"/>
          </w:tcPr>
          <w:p w:rsidR="0089553B" w:rsidRPr="00115980" w:rsidRDefault="0089553B">
            <w:pPr>
              <w:shd w:val="clear" w:color="000000" w:fill="auto"/>
              <w:spacing w:before="60" w:line="200" w:lineRule="exact"/>
              <w:ind w:right="290"/>
              <w:jc w:val="right"/>
            </w:pPr>
            <w:r w:rsidRPr="00115980">
              <w:t>353 024</w:t>
            </w:r>
          </w:p>
        </w:tc>
        <w:tc>
          <w:tcPr>
            <w:tcW w:w="960" w:type="dxa"/>
            <w:vAlign w:val="bottom"/>
          </w:tcPr>
          <w:p w:rsidR="0089553B" w:rsidRPr="00115980" w:rsidRDefault="0089553B">
            <w:pPr>
              <w:shd w:val="clear" w:color="000000" w:fill="auto"/>
              <w:spacing w:before="60" w:line="200" w:lineRule="exact"/>
              <w:ind w:right="170"/>
              <w:jc w:val="right"/>
            </w:pPr>
            <w:r w:rsidRPr="00115980">
              <w:t>91 %</w:t>
            </w:r>
          </w:p>
        </w:tc>
      </w:tr>
      <w:tr w:rsidR="00000000" w:rsidRPr="00115980">
        <w:trPr>
          <w:trHeight w:val="300"/>
        </w:trPr>
        <w:tc>
          <w:tcPr>
            <w:tcW w:w="1174" w:type="dxa"/>
            <w:noWrap/>
            <w:vAlign w:val="bottom"/>
          </w:tcPr>
          <w:p w:rsidR="0089553B" w:rsidRPr="00115980" w:rsidRDefault="0089553B">
            <w:pPr>
              <w:shd w:val="clear" w:color="000000" w:fill="auto"/>
              <w:spacing w:before="60" w:line="200" w:lineRule="exact"/>
            </w:pPr>
            <w:r w:rsidRPr="00115980">
              <w:t xml:space="preserve">Sjö </w:t>
            </w:r>
          </w:p>
        </w:tc>
        <w:tc>
          <w:tcPr>
            <w:tcW w:w="1121" w:type="dxa"/>
            <w:noWrap/>
            <w:vAlign w:val="bottom"/>
          </w:tcPr>
          <w:p w:rsidR="0089553B" w:rsidRPr="00115980" w:rsidRDefault="0089553B">
            <w:pPr>
              <w:shd w:val="clear" w:color="000000" w:fill="auto"/>
              <w:spacing w:before="60" w:line="200" w:lineRule="exact"/>
              <w:ind w:right="161"/>
              <w:jc w:val="right"/>
            </w:pPr>
            <w:r w:rsidRPr="00115980">
              <w:t>1 191 903</w:t>
            </w:r>
          </w:p>
        </w:tc>
        <w:tc>
          <w:tcPr>
            <w:tcW w:w="960" w:type="dxa"/>
            <w:vAlign w:val="bottom"/>
          </w:tcPr>
          <w:p w:rsidR="0089553B" w:rsidRPr="00115980" w:rsidRDefault="0089553B">
            <w:pPr>
              <w:shd w:val="clear" w:color="000000" w:fill="auto"/>
              <w:spacing w:before="60" w:line="200" w:lineRule="exact"/>
              <w:ind w:right="227"/>
              <w:jc w:val="right"/>
            </w:pPr>
            <w:r w:rsidRPr="00115980">
              <w:t>27 %</w:t>
            </w:r>
          </w:p>
        </w:tc>
        <w:tc>
          <w:tcPr>
            <w:tcW w:w="1320" w:type="dxa"/>
            <w:noWrap/>
            <w:vAlign w:val="bottom"/>
          </w:tcPr>
          <w:p w:rsidR="0089553B" w:rsidRPr="00115980" w:rsidRDefault="0089553B">
            <w:pPr>
              <w:shd w:val="clear" w:color="000000" w:fill="auto"/>
              <w:spacing w:before="60" w:line="200" w:lineRule="exact"/>
              <w:ind w:right="290"/>
              <w:jc w:val="right"/>
            </w:pPr>
            <w:r w:rsidRPr="00115980">
              <w:t>12 059</w:t>
            </w:r>
          </w:p>
        </w:tc>
        <w:tc>
          <w:tcPr>
            <w:tcW w:w="960" w:type="dxa"/>
            <w:vAlign w:val="bottom"/>
          </w:tcPr>
          <w:p w:rsidR="0089553B" w:rsidRPr="00115980" w:rsidRDefault="0089553B">
            <w:pPr>
              <w:shd w:val="clear" w:color="000000" w:fill="auto"/>
              <w:spacing w:before="60" w:line="200" w:lineRule="exact"/>
              <w:ind w:right="170"/>
              <w:jc w:val="right"/>
            </w:pPr>
            <w:r w:rsidRPr="00115980">
              <w:t>3 %</w:t>
            </w:r>
          </w:p>
        </w:tc>
      </w:tr>
      <w:tr w:rsidR="00000000" w:rsidRPr="00115980">
        <w:trPr>
          <w:trHeight w:val="255"/>
        </w:trPr>
        <w:tc>
          <w:tcPr>
            <w:tcW w:w="1174" w:type="dxa"/>
            <w:tcBorders>
              <w:bottom w:val="single" w:sz="4" w:space="0" w:color="auto"/>
            </w:tcBorders>
            <w:noWrap/>
            <w:vAlign w:val="bottom"/>
          </w:tcPr>
          <w:p w:rsidR="0089553B" w:rsidRPr="00115980" w:rsidRDefault="0089553B">
            <w:pPr>
              <w:shd w:val="clear" w:color="000000" w:fill="auto"/>
              <w:spacing w:before="60" w:line="200" w:lineRule="exact"/>
            </w:pPr>
            <w:r w:rsidRPr="00115980">
              <w:t xml:space="preserve">Totalt </w:t>
            </w:r>
          </w:p>
        </w:tc>
        <w:tc>
          <w:tcPr>
            <w:tcW w:w="1121" w:type="dxa"/>
            <w:tcBorders>
              <w:bottom w:val="single" w:sz="4" w:space="0" w:color="auto"/>
            </w:tcBorders>
            <w:noWrap/>
            <w:vAlign w:val="bottom"/>
          </w:tcPr>
          <w:p w:rsidR="0089553B" w:rsidRPr="00115980" w:rsidRDefault="0089553B">
            <w:pPr>
              <w:shd w:val="clear" w:color="000000" w:fill="auto"/>
              <w:spacing w:before="60" w:line="200" w:lineRule="exact"/>
              <w:ind w:right="161"/>
              <w:jc w:val="right"/>
            </w:pPr>
            <w:r w:rsidRPr="00115980">
              <w:t>4 427 670</w:t>
            </w:r>
          </w:p>
        </w:tc>
        <w:tc>
          <w:tcPr>
            <w:tcW w:w="960" w:type="dxa"/>
            <w:tcBorders>
              <w:bottom w:val="single" w:sz="4" w:space="0" w:color="auto"/>
            </w:tcBorders>
            <w:vAlign w:val="bottom"/>
          </w:tcPr>
          <w:p w:rsidR="0089553B" w:rsidRPr="00115980" w:rsidRDefault="0089553B">
            <w:pPr>
              <w:shd w:val="clear" w:color="000000" w:fill="auto"/>
              <w:spacing w:before="60" w:line="200" w:lineRule="exact"/>
              <w:ind w:right="227"/>
              <w:jc w:val="right"/>
            </w:pPr>
            <w:r w:rsidRPr="00115980">
              <w:t>100 %</w:t>
            </w:r>
          </w:p>
        </w:tc>
        <w:tc>
          <w:tcPr>
            <w:tcW w:w="1320" w:type="dxa"/>
            <w:tcBorders>
              <w:bottom w:val="single" w:sz="4" w:space="0" w:color="auto"/>
            </w:tcBorders>
            <w:noWrap/>
            <w:vAlign w:val="bottom"/>
          </w:tcPr>
          <w:p w:rsidR="0089553B" w:rsidRPr="00115980" w:rsidRDefault="0089553B">
            <w:pPr>
              <w:shd w:val="clear" w:color="000000" w:fill="auto"/>
              <w:spacing w:before="60" w:line="200" w:lineRule="exact"/>
              <w:ind w:right="290"/>
              <w:jc w:val="right"/>
            </w:pPr>
            <w:r w:rsidRPr="00115980">
              <w:t>385 860</w:t>
            </w:r>
          </w:p>
        </w:tc>
        <w:tc>
          <w:tcPr>
            <w:tcW w:w="960" w:type="dxa"/>
            <w:tcBorders>
              <w:bottom w:val="single" w:sz="4" w:space="0" w:color="auto"/>
            </w:tcBorders>
            <w:vAlign w:val="bottom"/>
          </w:tcPr>
          <w:p w:rsidR="0089553B" w:rsidRPr="00115980" w:rsidRDefault="0089553B">
            <w:pPr>
              <w:shd w:val="clear" w:color="000000" w:fill="auto"/>
              <w:spacing w:before="60" w:line="200" w:lineRule="exact"/>
              <w:ind w:right="170"/>
              <w:jc w:val="right"/>
            </w:pPr>
            <w:r w:rsidRPr="00115980">
              <w:t>100 %</w:t>
            </w:r>
          </w:p>
        </w:tc>
      </w:tr>
    </w:tbl>
    <w:p w:rsidR="0089553B" w:rsidRPr="00115980" w:rsidRDefault="0089553B">
      <w:pPr>
        <w:shd w:val="clear" w:color="000000" w:fill="auto"/>
        <w:spacing w:before="0"/>
        <w:rPr>
          <w:sz w:val="16"/>
          <w:szCs w:val="16"/>
        </w:rPr>
      </w:pPr>
      <w:r w:rsidRPr="00115980">
        <w:rPr>
          <w:sz w:val="16"/>
          <w:szCs w:val="16"/>
        </w:rPr>
        <w:t>Källa: Nutek.</w:t>
      </w:r>
    </w:p>
    <w:p w:rsidR="0089553B" w:rsidRPr="00115980" w:rsidRDefault="0089553B">
      <w:pPr>
        <w:shd w:val="clear" w:color="000000" w:fill="auto"/>
      </w:pPr>
      <w:r w:rsidRPr="00115980">
        <w:t>Om man antar att de 353 000 lastbilssändningarna har samma avståndsförde</w:t>
      </w:r>
      <w:r w:rsidRPr="00115980">
        <w:t>l</w:t>
      </w:r>
      <w:r w:rsidRPr="00115980">
        <w:t>ning som de totala sändningarna och använder det kortaste avståndet för de två avståndsklasserna kan den lägsta nivån på utsläppen skattas. Det ger en total körsträcka för lastbilarna på 23 miljoner mil.</w:t>
      </w:r>
    </w:p>
    <w:p w:rsidR="0089553B" w:rsidRPr="00115980" w:rsidRDefault="0089553B">
      <w:pPr>
        <w:pStyle w:val="Normaltindrag"/>
        <w:shd w:val="clear" w:color="000000" w:fill="auto"/>
      </w:pPr>
      <w:r w:rsidRPr="00115980">
        <w:t xml:space="preserve">VTI uppskattade år 2000 bränsleförbrukningen för tunga lastbilar till cirka </w:t>
      </w:r>
      <w:smartTag w:uri="urn:schemas-microsoft-com:office:smarttags" w:element="metricconverter">
        <w:smartTagPr>
          <w:attr w:name="ProductID" w:val="4,3 liter"/>
        </w:smartTagPr>
        <w:r w:rsidRPr="00115980">
          <w:t>4,3 liter</w:t>
        </w:r>
      </w:smartTag>
      <w:r w:rsidRPr="00115980">
        <w:t xml:space="preserve"> diesel per </w:t>
      </w:r>
      <w:smartTag w:uri="urn:schemas-microsoft-com:office:smarttags" w:element="metricconverter">
        <w:smartTagPr>
          <w:attr w:name="ProductID" w:val="100 km"/>
        </w:smartTagPr>
        <w:r w:rsidRPr="00115980">
          <w:t>100 km</w:t>
        </w:r>
      </w:smartTag>
      <w:r w:rsidRPr="00115980">
        <w:rPr>
          <w:rStyle w:val="Fotnotsreferens"/>
        </w:rPr>
        <w:footnoteReference w:id="11"/>
      </w:r>
      <w:r w:rsidRPr="00115980">
        <w:t>. Givet den ovan antagna körsträckan innebär det en total förbrukning på 99 miljoner liter. Emissionsfaktorn för koldioxid är för diesel MK1 2,54, vilket gör att de totala utsläppen av koldioxid uppgår till minst 252 000 ton.</w:t>
      </w:r>
    </w:p>
    <w:p w:rsidR="0089553B" w:rsidRPr="00115980" w:rsidRDefault="0089553B">
      <w:pPr>
        <w:pStyle w:val="Normaltindrag"/>
        <w:shd w:val="clear" w:color="000000" w:fill="auto"/>
      </w:pPr>
      <w:r w:rsidRPr="00115980">
        <w:t>Utsläppen av koldioxid från den tunga lastbilstrafiken uppgår till cirka 4 miljoner ton</w:t>
      </w:r>
      <w:r w:rsidRPr="00115980">
        <w:rPr>
          <w:rStyle w:val="Fotnotsreferens"/>
        </w:rPr>
        <w:footnoteReference w:id="12"/>
      </w:r>
      <w:r w:rsidRPr="00115980">
        <w:t>. Det innebär att de utsläpp som genereras av lastbilstranspo</w:t>
      </w:r>
      <w:r w:rsidRPr="00115980">
        <w:t>r</w:t>
      </w:r>
      <w:r w:rsidRPr="00115980">
        <w:t>ter för vilket det utgår transportbidrag uppgår till 6 procent av de samlade utsläppen från den tunga lastbilstrafiken.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980">
        <w:trPr>
          <w:cantSplit/>
        </w:trPr>
        <w:tc>
          <w:tcPr>
            <w:tcW w:w="3046" w:type="dxa"/>
          </w:tcPr>
          <w:p w:rsidR="0089553B" w:rsidRPr="00115980" w:rsidRDefault="0089553B">
            <w:pPr>
              <w:pStyle w:val="UnderskriftDatum"/>
              <w:shd w:val="clear" w:color="000000" w:fill="auto"/>
              <w:spacing w:before="240"/>
            </w:pPr>
            <w:r w:rsidRPr="00115980">
              <w:t>Stockholm den 5 oktober 2007</w:t>
            </w:r>
          </w:p>
        </w:tc>
        <w:tc>
          <w:tcPr>
            <w:tcW w:w="3047" w:type="dxa"/>
          </w:tcPr>
          <w:p w:rsidR="0089553B" w:rsidRPr="00115980" w:rsidRDefault="0089553B">
            <w:pPr>
              <w:pStyle w:val="Underskrifter"/>
              <w:shd w:val="clear" w:color="000000" w:fill="auto"/>
              <w:spacing w:before="240"/>
            </w:pPr>
          </w:p>
        </w:tc>
      </w:tr>
      <w:tr w:rsidR="00000000" w:rsidRPr="00115980">
        <w:trPr>
          <w:cantSplit/>
        </w:trPr>
        <w:tc>
          <w:tcPr>
            <w:tcW w:w="3046" w:type="dxa"/>
          </w:tcPr>
          <w:p w:rsidR="0089553B" w:rsidRPr="00115980" w:rsidRDefault="0089553B">
            <w:pPr>
              <w:pStyle w:val="Underskrifter"/>
              <w:shd w:val="clear" w:color="000000" w:fill="auto"/>
            </w:pPr>
            <w:r w:rsidRPr="00115980">
              <w:t>Karin Svensson Smith (mp)</w:t>
            </w:r>
          </w:p>
        </w:tc>
        <w:tc>
          <w:tcPr>
            <w:tcW w:w="3046" w:type="dxa"/>
          </w:tcPr>
          <w:p w:rsidR="0089553B" w:rsidRPr="00115980" w:rsidRDefault="0089553B">
            <w:pPr>
              <w:pStyle w:val="Underskrifter"/>
              <w:shd w:val="clear" w:color="000000" w:fill="auto"/>
            </w:pPr>
          </w:p>
        </w:tc>
      </w:tr>
      <w:tr w:rsidR="00000000" w:rsidRPr="00115980">
        <w:trPr>
          <w:cantSplit/>
        </w:trPr>
        <w:tc>
          <w:tcPr>
            <w:tcW w:w="3046" w:type="dxa"/>
          </w:tcPr>
          <w:p w:rsidR="0089553B" w:rsidRPr="00115980" w:rsidRDefault="0089553B">
            <w:pPr>
              <w:pStyle w:val="Underskrifter"/>
              <w:shd w:val="clear" w:color="000000" w:fill="auto"/>
            </w:pPr>
            <w:r w:rsidRPr="00115980">
              <w:t>Per Bolund (mp)</w:t>
            </w:r>
          </w:p>
        </w:tc>
        <w:tc>
          <w:tcPr>
            <w:tcW w:w="3046" w:type="dxa"/>
          </w:tcPr>
          <w:p w:rsidR="0089553B" w:rsidRPr="00115980" w:rsidRDefault="0089553B">
            <w:pPr>
              <w:pStyle w:val="Underskrifter"/>
              <w:shd w:val="clear" w:color="000000" w:fill="auto"/>
            </w:pPr>
            <w:r w:rsidRPr="00115980">
              <w:t>Tina Ehn (mp)</w:t>
            </w:r>
          </w:p>
        </w:tc>
      </w:tr>
    </w:tbl>
    <w:p w:rsidR="0089553B" w:rsidRPr="00115980" w:rsidRDefault="0089553B">
      <w:pPr>
        <w:pStyle w:val="Normaltindrag"/>
        <w:shd w:val="clear" w:color="000000" w:fill="auto"/>
      </w:pPr>
    </w:p>
    <w:sectPr w:rsidR="0089553B" w:rsidRPr="001159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53B" w:rsidRPr="00115980" w:rsidRDefault="0089553B">
      <w:r w:rsidRPr="00115980">
        <w:separator/>
      </w:r>
    </w:p>
  </w:endnote>
  <w:endnote w:type="continuationSeparator" w:id="0">
    <w:p w:rsidR="0089553B" w:rsidRPr="00115980" w:rsidRDefault="0089553B">
      <w:r w:rsidRPr="001159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3B" w:rsidRPr="00115980" w:rsidRDefault="00115980">
    <w:pPr>
      <w:pStyle w:val="Sidfot"/>
    </w:pPr>
    <w:r w:rsidRPr="001159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53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53B" w:rsidRDefault="008955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53B" w:rsidRDefault="008955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3B" w:rsidRPr="00115980" w:rsidRDefault="00115980">
    <w:pPr>
      <w:pStyle w:val="Sidfot"/>
    </w:pPr>
    <w:r w:rsidRPr="001159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099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53B" w:rsidRDefault="0089553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53B" w:rsidRDefault="0089553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3B" w:rsidRPr="00115980" w:rsidRDefault="00115980">
    <w:pPr>
      <w:pStyle w:val="Sidfot"/>
    </w:pPr>
    <w:r w:rsidRPr="001159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922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53B" w:rsidRDefault="008955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53B" w:rsidRDefault="008955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53B" w:rsidRPr="00115980" w:rsidRDefault="0089553B">
      <w:pPr>
        <w:pStyle w:val="Sidfot"/>
      </w:pPr>
    </w:p>
  </w:footnote>
  <w:footnote w:type="continuationSeparator" w:id="0">
    <w:p w:rsidR="0089553B" w:rsidRPr="00115980" w:rsidRDefault="0089553B">
      <w:pPr>
        <w:pStyle w:val="Sidfot"/>
      </w:pPr>
    </w:p>
  </w:footnote>
  <w:footnote w:id="1">
    <w:p w:rsidR="0089553B" w:rsidRPr="00115980" w:rsidRDefault="0089553B">
      <w:pPr>
        <w:pStyle w:val="Fotnotstext"/>
        <w:spacing w:before="0" w:line="200" w:lineRule="atLeast"/>
        <w:rPr>
          <w:rFonts w:ascii="Times New Roman" w:hAnsi="Times New Roman"/>
          <w:sz w:val="16"/>
          <w:szCs w:val="16"/>
        </w:rPr>
      </w:pPr>
      <w:r w:rsidRPr="00115980">
        <w:rPr>
          <w:rStyle w:val="Fotnotsreferens"/>
          <w:rFonts w:ascii="Times New Roman" w:hAnsi="Times New Roman"/>
          <w:sz w:val="19"/>
          <w:szCs w:val="19"/>
        </w:rPr>
        <w:footnoteRef/>
      </w:r>
      <w:r w:rsidRPr="00115980">
        <w:rPr>
          <w:rFonts w:ascii="Times New Roman" w:hAnsi="Times New Roman"/>
          <w:sz w:val="19"/>
          <w:szCs w:val="19"/>
        </w:rPr>
        <w:t xml:space="preserve"> </w:t>
      </w:r>
      <w:r w:rsidRPr="00115980">
        <w:rPr>
          <w:rFonts w:ascii="Times New Roman" w:hAnsi="Times New Roman"/>
          <w:sz w:val="16"/>
          <w:szCs w:val="16"/>
        </w:rPr>
        <w:t>Muntliga uppgifter från Pär-Erik Westin, Rikstrafiken.</w:t>
      </w:r>
    </w:p>
  </w:footnote>
  <w:footnote w:id="2">
    <w:p w:rsidR="0089553B" w:rsidRPr="00115980" w:rsidRDefault="0089553B">
      <w:pPr>
        <w:pStyle w:val="Fotnotstext"/>
        <w:spacing w:before="0" w:line="200" w:lineRule="atLeast"/>
        <w:rPr>
          <w:rFonts w:ascii="Times New Roman" w:hAnsi="Times New Roman"/>
          <w:sz w:val="16"/>
          <w:szCs w:val="16"/>
        </w:rPr>
      </w:pPr>
      <w:r w:rsidRPr="00115980">
        <w:rPr>
          <w:rStyle w:val="Fotnotsreferens"/>
          <w:rFonts w:ascii="Times New Roman" w:hAnsi="Times New Roman"/>
          <w:sz w:val="19"/>
          <w:szCs w:val="19"/>
        </w:rPr>
        <w:footnoteRef/>
      </w:r>
      <w:r w:rsidRPr="00115980">
        <w:rPr>
          <w:sz w:val="16"/>
          <w:szCs w:val="16"/>
        </w:rPr>
        <w:t xml:space="preserve"> </w:t>
      </w:r>
      <w:r w:rsidRPr="00115980">
        <w:rPr>
          <w:rFonts w:ascii="Times New Roman" w:hAnsi="Times New Roman"/>
          <w:sz w:val="16"/>
          <w:szCs w:val="16"/>
        </w:rPr>
        <w:t>Muntlig uppgift från Elin Lövedahl, Luftfartsstyrelsen.</w:t>
      </w:r>
    </w:p>
  </w:footnote>
  <w:footnote w:id="3">
    <w:p w:rsidR="0089553B" w:rsidRPr="00115980" w:rsidRDefault="0089553B">
      <w:pPr>
        <w:pStyle w:val="Fotnotstext"/>
        <w:spacing w:before="0" w:line="200" w:lineRule="exact"/>
        <w:rPr>
          <w:rFonts w:ascii="Times New Roman" w:hAnsi="Times New Roman"/>
          <w:sz w:val="16"/>
          <w:szCs w:val="16"/>
        </w:rPr>
      </w:pPr>
      <w:r w:rsidRPr="00115980">
        <w:rPr>
          <w:rStyle w:val="Fotnotsreferens"/>
          <w:rFonts w:ascii="Times New Roman" w:hAnsi="Times New Roman"/>
          <w:sz w:val="19"/>
          <w:szCs w:val="19"/>
        </w:rPr>
        <w:footnoteRef/>
      </w:r>
      <w:r w:rsidRPr="00115980">
        <w:t xml:space="preserve"> </w:t>
      </w:r>
      <w:r w:rsidRPr="00115980">
        <w:rPr>
          <w:rFonts w:ascii="Times New Roman" w:hAnsi="Times New Roman"/>
          <w:sz w:val="16"/>
          <w:szCs w:val="16"/>
        </w:rPr>
        <w:t>SCB, Hushållens ekonomi.</w:t>
      </w:r>
    </w:p>
  </w:footnote>
  <w:footnote w:id="4">
    <w:p w:rsidR="0089553B" w:rsidRPr="00115980" w:rsidRDefault="0089553B">
      <w:pPr>
        <w:pStyle w:val="Fotnotstext"/>
        <w:spacing w:before="0" w:line="200" w:lineRule="exact"/>
        <w:rPr>
          <w:rFonts w:ascii="Times New Roman" w:hAnsi="Times New Roman"/>
          <w:sz w:val="16"/>
          <w:szCs w:val="16"/>
        </w:rPr>
      </w:pPr>
      <w:r w:rsidRPr="00115980">
        <w:rPr>
          <w:rStyle w:val="Fotnotsreferens"/>
          <w:rFonts w:ascii="Times New Roman" w:hAnsi="Times New Roman"/>
          <w:sz w:val="19"/>
          <w:szCs w:val="19"/>
        </w:rPr>
        <w:footnoteRef/>
      </w:r>
      <w:r w:rsidRPr="00115980">
        <w:t xml:space="preserve"> </w:t>
      </w:r>
      <w:r w:rsidRPr="00115980">
        <w:rPr>
          <w:rFonts w:ascii="Times New Roman" w:hAnsi="Times New Roman"/>
          <w:sz w:val="16"/>
          <w:szCs w:val="16"/>
        </w:rPr>
        <w:t>http://www.vv.se/filer/210/underlagsdok%20_bilarna_blir_snalare3.pdf.</w:t>
      </w:r>
    </w:p>
  </w:footnote>
  <w:footnote w:id="5">
    <w:p w:rsidR="0089553B" w:rsidRPr="00115980" w:rsidRDefault="0089553B">
      <w:pPr>
        <w:pStyle w:val="Fotnotstext"/>
        <w:spacing w:before="0" w:line="200" w:lineRule="exact"/>
        <w:rPr>
          <w:rFonts w:ascii="Times New Roman" w:hAnsi="Times New Roman"/>
          <w:sz w:val="16"/>
          <w:szCs w:val="16"/>
        </w:rPr>
      </w:pPr>
      <w:r w:rsidRPr="00115980">
        <w:rPr>
          <w:rStyle w:val="Fotnotsreferens"/>
          <w:rFonts w:ascii="Times New Roman" w:hAnsi="Times New Roman"/>
          <w:sz w:val="19"/>
          <w:szCs w:val="19"/>
        </w:rPr>
        <w:footnoteRef/>
      </w:r>
      <w:r w:rsidRPr="00115980">
        <w:t xml:space="preserve"> </w:t>
      </w:r>
      <w:r w:rsidRPr="00115980">
        <w:rPr>
          <w:rFonts w:ascii="Times New Roman" w:hAnsi="Times New Roman"/>
          <w:sz w:val="16"/>
          <w:szCs w:val="16"/>
        </w:rPr>
        <w:t>http://www.spi.se/omraknfakt.asp.</w:t>
      </w:r>
    </w:p>
  </w:footnote>
  <w:footnote w:id="6">
    <w:p w:rsidR="0089553B" w:rsidRPr="00115980" w:rsidRDefault="0089553B">
      <w:pPr>
        <w:pStyle w:val="Fotnotstext"/>
        <w:spacing w:before="0" w:line="200" w:lineRule="exact"/>
        <w:rPr>
          <w:rFonts w:ascii="Times New Roman" w:hAnsi="Times New Roman"/>
          <w:sz w:val="16"/>
          <w:szCs w:val="16"/>
        </w:rPr>
      </w:pPr>
      <w:r w:rsidRPr="00115980">
        <w:rPr>
          <w:rStyle w:val="Fotnotsreferens"/>
          <w:rFonts w:ascii="Times New Roman" w:hAnsi="Times New Roman"/>
          <w:sz w:val="19"/>
          <w:szCs w:val="19"/>
        </w:rPr>
        <w:footnoteRef/>
      </w:r>
      <w:r w:rsidRPr="00115980">
        <w:rPr>
          <w:rStyle w:val="Fotnotsreferens"/>
          <w:rFonts w:ascii="Times New Roman" w:hAnsi="Times New Roman"/>
          <w:sz w:val="19"/>
          <w:szCs w:val="19"/>
        </w:rPr>
        <w:t xml:space="preserve"> </w:t>
      </w:r>
      <w:r w:rsidRPr="00115980">
        <w:rPr>
          <w:rFonts w:ascii="Times New Roman" w:hAnsi="Times New Roman"/>
          <w:sz w:val="16"/>
          <w:szCs w:val="16"/>
        </w:rPr>
        <w:t>http://publikationswebbutik.vv.se/upload/812/2006_23_fickfakta_2006.pdf.</w:t>
      </w:r>
    </w:p>
  </w:footnote>
  <w:footnote w:id="7">
    <w:p w:rsidR="0089553B" w:rsidRPr="00115980" w:rsidRDefault="0089553B">
      <w:pPr>
        <w:pStyle w:val="Fotnotstext"/>
        <w:spacing w:before="0" w:line="200" w:lineRule="exact"/>
        <w:rPr>
          <w:rFonts w:ascii="Times New Roman" w:hAnsi="Times New Roman"/>
          <w:sz w:val="16"/>
          <w:szCs w:val="16"/>
        </w:rPr>
      </w:pPr>
      <w:r w:rsidRPr="00115980">
        <w:rPr>
          <w:rStyle w:val="Fotnotsreferens"/>
          <w:rFonts w:ascii="Times New Roman" w:hAnsi="Times New Roman"/>
          <w:sz w:val="19"/>
          <w:szCs w:val="19"/>
        </w:rPr>
        <w:footnoteRef/>
      </w:r>
      <w:r w:rsidRPr="00115980">
        <w:t xml:space="preserve"> </w:t>
      </w:r>
      <w:r w:rsidRPr="00115980">
        <w:rPr>
          <w:rFonts w:ascii="Times New Roman" w:hAnsi="Times New Roman"/>
          <w:sz w:val="16"/>
          <w:szCs w:val="16"/>
        </w:rPr>
        <w:t>http://www.scb.se/statistik/HE/HE0107/2007A01/Reseavdrag%201991–2005.xls.</w:t>
      </w:r>
    </w:p>
  </w:footnote>
  <w:footnote w:id="8">
    <w:p w:rsidR="0089553B" w:rsidRPr="00115980" w:rsidRDefault="0089553B">
      <w:pPr>
        <w:pStyle w:val="Fotnotstext"/>
        <w:spacing w:before="0" w:line="200" w:lineRule="exact"/>
        <w:rPr>
          <w:rFonts w:ascii="Times New Roman" w:hAnsi="Times New Roman"/>
          <w:sz w:val="16"/>
          <w:szCs w:val="16"/>
        </w:rPr>
      </w:pPr>
      <w:r w:rsidRPr="00115980">
        <w:rPr>
          <w:rStyle w:val="Fotnotsreferens"/>
          <w:rFonts w:ascii="Times New Roman" w:hAnsi="Times New Roman"/>
          <w:sz w:val="19"/>
          <w:szCs w:val="19"/>
        </w:rPr>
        <w:footnoteRef/>
      </w:r>
      <w:r w:rsidRPr="00115980">
        <w:t xml:space="preserve"> </w:t>
      </w:r>
      <w:hyperlink r:id="rId1" w:history="1">
        <w:r w:rsidRPr="00115980">
          <w:rPr>
            <w:rFonts w:ascii="Times New Roman" w:hAnsi="Times New Roman"/>
            <w:sz w:val="16"/>
            <w:szCs w:val="16"/>
          </w:rPr>
          <w:t>http://www.skatteverket.se/download/18.7459477810df5bccdd4800033613/15209.pdf</w:t>
        </w:r>
      </w:hyperlink>
      <w:r w:rsidRPr="00115980">
        <w:rPr>
          <w:rFonts w:ascii="Times New Roman" w:hAnsi="Times New Roman"/>
          <w:sz w:val="16"/>
          <w:szCs w:val="16"/>
        </w:rPr>
        <w:t>.</w:t>
      </w:r>
    </w:p>
  </w:footnote>
  <w:footnote w:id="9">
    <w:p w:rsidR="0089553B" w:rsidRPr="00115980" w:rsidRDefault="0089553B">
      <w:pPr>
        <w:pStyle w:val="Fotnotstext"/>
        <w:spacing w:before="0" w:line="200" w:lineRule="exact"/>
        <w:jc w:val="left"/>
        <w:rPr>
          <w:rFonts w:ascii="Times New Roman" w:hAnsi="Times New Roman"/>
          <w:sz w:val="16"/>
          <w:szCs w:val="16"/>
        </w:rPr>
      </w:pPr>
      <w:r w:rsidRPr="00115980">
        <w:rPr>
          <w:rStyle w:val="Fotnotsreferens"/>
          <w:rFonts w:ascii="Times New Roman" w:hAnsi="Times New Roman"/>
          <w:sz w:val="19"/>
          <w:szCs w:val="19"/>
        </w:rPr>
        <w:footnoteRef/>
      </w:r>
      <w:r w:rsidRPr="00115980">
        <w:rPr>
          <w:rFonts w:ascii="Times New Roman" w:hAnsi="Times New Roman"/>
          <w:sz w:val="16"/>
          <w:szCs w:val="16"/>
        </w:rPr>
        <w:t xml:space="preserve"> http://www.sika-institute.se/upload/Statistik/Körsträckor/Trafikarbetet%20i%</w:t>
      </w:r>
      <w:r w:rsidRPr="00115980">
        <w:rPr>
          <w:rFonts w:ascii="Times New Roman" w:hAnsi="Times New Roman"/>
          <w:sz w:val="16"/>
          <w:szCs w:val="16"/>
        </w:rPr>
        <w:br/>
        <w:t>20Sverige.xls.</w:t>
      </w:r>
    </w:p>
  </w:footnote>
  <w:footnote w:id="10">
    <w:p w:rsidR="0089553B" w:rsidRPr="00115980" w:rsidRDefault="0089553B">
      <w:pPr>
        <w:autoSpaceDE w:val="0"/>
        <w:autoSpaceDN w:val="0"/>
        <w:adjustRightInd w:val="0"/>
        <w:spacing w:line="240" w:lineRule="auto"/>
        <w:rPr>
          <w:sz w:val="16"/>
          <w:szCs w:val="16"/>
        </w:rPr>
      </w:pPr>
      <w:r w:rsidRPr="00115980">
        <w:rPr>
          <w:rStyle w:val="Fotnotsreferens"/>
          <w:szCs w:val="19"/>
        </w:rPr>
        <w:footnoteRef/>
      </w:r>
      <w:r w:rsidRPr="00115980">
        <w:t xml:space="preserve"> </w:t>
      </w:r>
      <w:r w:rsidRPr="00115980">
        <w:rPr>
          <w:sz w:val="16"/>
          <w:szCs w:val="16"/>
        </w:rPr>
        <w:t>Uppgifterna om transportbidraget har lämnats av Anders Mathiasson, Nutek.</w:t>
      </w:r>
    </w:p>
    <w:p w:rsidR="0089553B" w:rsidRPr="00115980" w:rsidRDefault="0089553B">
      <w:pPr>
        <w:pStyle w:val="Fotnotstext"/>
      </w:pPr>
    </w:p>
  </w:footnote>
  <w:footnote w:id="11">
    <w:p w:rsidR="0089553B" w:rsidRPr="00115980" w:rsidRDefault="0089553B">
      <w:pPr>
        <w:pStyle w:val="Fotnotstext"/>
        <w:spacing w:before="0" w:line="200" w:lineRule="exact"/>
        <w:rPr>
          <w:rFonts w:ascii="Times New Roman" w:hAnsi="Times New Roman"/>
          <w:sz w:val="16"/>
          <w:szCs w:val="16"/>
        </w:rPr>
      </w:pPr>
      <w:r w:rsidRPr="00115980">
        <w:rPr>
          <w:rStyle w:val="Fotnotsreferens"/>
          <w:rFonts w:ascii="Times New Roman" w:hAnsi="Times New Roman"/>
          <w:sz w:val="19"/>
          <w:szCs w:val="19"/>
        </w:rPr>
        <w:footnoteRef/>
      </w:r>
      <w:r w:rsidRPr="00115980">
        <w:t xml:space="preserve"> </w:t>
      </w:r>
      <w:r w:rsidRPr="00115980">
        <w:rPr>
          <w:rFonts w:ascii="Times New Roman" w:hAnsi="Times New Roman"/>
          <w:sz w:val="16"/>
          <w:szCs w:val="16"/>
        </w:rPr>
        <w:t>http://www.vti.se/EPiBrowser/Publikationer/R445.pdf.</w:t>
      </w:r>
    </w:p>
  </w:footnote>
  <w:footnote w:id="12">
    <w:p w:rsidR="0089553B" w:rsidRPr="00115980" w:rsidRDefault="0089553B">
      <w:pPr>
        <w:pStyle w:val="Fotnotstext"/>
        <w:spacing w:before="0" w:line="200" w:lineRule="exact"/>
        <w:rPr>
          <w:rFonts w:ascii="Times New Roman" w:hAnsi="Times New Roman"/>
          <w:sz w:val="16"/>
          <w:szCs w:val="16"/>
        </w:rPr>
      </w:pPr>
      <w:r w:rsidRPr="00115980">
        <w:rPr>
          <w:rStyle w:val="Fotnotsreferens"/>
          <w:rFonts w:ascii="Times New Roman" w:hAnsi="Times New Roman"/>
          <w:sz w:val="19"/>
          <w:szCs w:val="19"/>
        </w:rPr>
        <w:footnoteRef/>
      </w:r>
      <w:r w:rsidRPr="00115980">
        <w:t xml:space="preserve"> </w:t>
      </w:r>
      <w:hyperlink r:id="rId2" w:history="1">
        <w:r w:rsidRPr="00115980">
          <w:rPr>
            <w:rFonts w:ascii="Times New Roman" w:hAnsi="Times New Roman"/>
            <w:sz w:val="16"/>
            <w:szCs w:val="16"/>
          </w:rPr>
          <w:t>http://www.naturvardsverket.se/Documents/publikationer/620-5726-X.pdf</w:t>
        </w:r>
      </w:hyperlink>
      <w:r w:rsidRPr="00115980">
        <w:rPr>
          <w:rFonts w:ascii="Times New Roman" w:hAnsi="Times New Roman"/>
          <w:sz w:val="16"/>
          <w:szCs w:val="16"/>
        </w:rPr>
        <w:t>.</w:t>
      </w:r>
    </w:p>
    <w:p w:rsidR="0089553B" w:rsidRPr="00115980" w:rsidRDefault="0089553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3B" w:rsidRPr="00115980" w:rsidRDefault="00115980">
    <w:pPr>
      <w:pStyle w:val="Sidhuvud"/>
    </w:pPr>
    <w:r w:rsidRPr="001159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143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53B" w:rsidRDefault="008955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53B" w:rsidRDefault="008955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3B" w:rsidRPr="00115980" w:rsidRDefault="00115980">
    <w:pPr>
      <w:pStyle w:val="Sidhuvud"/>
    </w:pPr>
    <w:r w:rsidRPr="001159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54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53B" w:rsidRDefault="008955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53B" w:rsidRDefault="008955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3B" w:rsidRPr="00115980" w:rsidRDefault="0089553B">
    <w:pPr>
      <w:pStyle w:val="FSHNormal"/>
      <w:tabs>
        <w:tab w:val="right" w:pos="5840"/>
      </w:tabs>
    </w:pPr>
    <w:r w:rsidRPr="00115980">
      <w:br/>
    </w:r>
    <w:r w:rsidRPr="00115980">
      <w:fldChar w:fldCharType="begin" w:fldLock="1"/>
    </w:r>
    <w:r w:rsidRPr="00115980">
      <w:instrText xml:space="preserve"> DOCPROPERTY</w:instrText>
    </w:r>
    <w:r w:rsidRPr="00115980">
      <w:rPr>
        <w:sz w:val="18"/>
      </w:rPr>
      <w:instrText xml:space="preserve"> "YearUser" *\charformat </w:instrText>
    </w:r>
    <w:r w:rsidRPr="00115980">
      <w:fldChar w:fldCharType="separate"/>
    </w:r>
    <w:r w:rsidRPr="00115980">
      <w:t>2007/08</w:t>
    </w:r>
    <w:r w:rsidRPr="00115980">
      <w:fldChar w:fldCharType="end"/>
    </w:r>
    <w:r w:rsidRPr="00115980">
      <w:t xml:space="preserve"> </w:t>
    </w:r>
    <w:r w:rsidRPr="00115980">
      <w:tab/>
      <w:t xml:space="preserve">mnr: </w:t>
    </w:r>
    <w:r w:rsidRPr="00115980">
      <w:fldChar w:fldCharType="begin" w:fldLock="1"/>
    </w:r>
    <w:r w:rsidRPr="00115980">
      <w:instrText xml:space="preserve"> DOCPROPERTY</w:instrText>
    </w:r>
    <w:r w:rsidRPr="00115980">
      <w:rPr>
        <w:sz w:val="18"/>
      </w:rPr>
      <w:instrText xml:space="preserve"> "Motionsnummer" *\charformat </w:instrText>
    </w:r>
    <w:r w:rsidRPr="00115980">
      <w:fldChar w:fldCharType="separate"/>
    </w:r>
    <w:r w:rsidRPr="00115980">
      <w:t>T547</w:t>
    </w:r>
    <w:r w:rsidRPr="00115980">
      <w:fldChar w:fldCharType="end"/>
    </w:r>
    <w:r w:rsidRPr="00115980">
      <w:br/>
    </w:r>
    <w:r w:rsidRPr="00115980">
      <w:fldChar w:fldCharType="begin" w:fldLock="1"/>
    </w:r>
    <w:r w:rsidRPr="00115980">
      <w:instrText xml:space="preserve"> DOCPROPERTY</w:instrText>
    </w:r>
    <w:r w:rsidRPr="00115980">
      <w:rPr>
        <w:sz w:val="18"/>
      </w:rPr>
      <w:instrText xml:space="preserve"> "Samling" *\charformat </w:instrText>
    </w:r>
    <w:r w:rsidRPr="00115980">
      <w:fldChar w:fldCharType="end"/>
    </w:r>
    <w:r w:rsidRPr="00115980">
      <w:tab/>
      <w:t xml:space="preserve">pnr: </w:t>
    </w:r>
    <w:r w:rsidRPr="00115980">
      <w:fldChar w:fldCharType="begin" w:fldLock="1"/>
    </w:r>
    <w:r w:rsidRPr="00115980">
      <w:instrText xml:space="preserve"> DOCPROPERTY</w:instrText>
    </w:r>
    <w:r w:rsidRPr="00115980">
      <w:rPr>
        <w:sz w:val="18"/>
      </w:rPr>
      <w:instrText xml:space="preserve"> "Partinummer" *\charformat </w:instrText>
    </w:r>
    <w:r w:rsidRPr="00115980">
      <w:fldChar w:fldCharType="separate"/>
    </w:r>
    <w:r w:rsidRPr="00115980">
      <w:t>mp853</w:t>
    </w:r>
    <w:r w:rsidRPr="00115980">
      <w:fldChar w:fldCharType="end"/>
    </w:r>
  </w:p>
  <w:p w:rsidR="0089553B" w:rsidRPr="00115980" w:rsidRDefault="0089553B">
    <w:pPr>
      <w:pStyle w:val="FSHRub1"/>
    </w:pPr>
    <w:r w:rsidRPr="00115980">
      <w:t>Motion till riksdagen</w:t>
    </w:r>
    <w:r w:rsidRPr="00115980">
      <w:br/>
    </w:r>
    <w:r w:rsidRPr="00115980">
      <w:fldChar w:fldCharType="begin" w:fldLock="1"/>
    </w:r>
    <w:r w:rsidRPr="00115980">
      <w:instrText xml:space="preserve"> DOCPROPERTY "YearUser" *\charformat </w:instrText>
    </w:r>
    <w:r w:rsidRPr="00115980">
      <w:fldChar w:fldCharType="separate"/>
    </w:r>
    <w:r w:rsidRPr="00115980">
      <w:t>2007/08</w:t>
    </w:r>
    <w:r w:rsidRPr="00115980">
      <w:fldChar w:fldCharType="end"/>
    </w:r>
    <w:r w:rsidRPr="00115980">
      <w:t>:</w:t>
    </w:r>
    <w:r w:rsidRPr="00115980">
      <w:fldChar w:fldCharType="begin" w:fldLock="1"/>
    </w:r>
    <w:r w:rsidRPr="00115980">
      <w:instrText xml:space="preserve"> DOCPROPERTY "Motionsnummer" *\charformat </w:instrText>
    </w:r>
    <w:r w:rsidRPr="00115980">
      <w:fldChar w:fldCharType="separate"/>
    </w:r>
    <w:r w:rsidRPr="00115980">
      <w:t>T547</w:t>
    </w:r>
    <w:r w:rsidRPr="00115980">
      <w:fldChar w:fldCharType="end"/>
    </w:r>
  </w:p>
  <w:p w:rsidR="0089553B" w:rsidRPr="00115980" w:rsidRDefault="0089553B">
    <w:pPr>
      <w:pStyle w:val="FSHNormalS5"/>
    </w:pPr>
    <w:r w:rsidRPr="00115980">
      <w:fldChar w:fldCharType="begin" w:fldLock="1"/>
    </w:r>
    <w:r w:rsidRPr="00115980">
      <w:instrText xml:space="preserve"> DOCPROPERTY "MotionarText" *\charformat </w:instrText>
    </w:r>
    <w:r w:rsidRPr="00115980">
      <w:fldChar w:fldCharType="separate"/>
    </w:r>
    <w:r w:rsidRPr="00115980">
      <w:t>av Karin Svensson Smith m.fl. (mp)</w:t>
    </w:r>
    <w:r w:rsidRPr="00115980">
      <w:fldChar w:fldCharType="end"/>
    </w:r>
    <w:r w:rsidRPr="00115980">
      <w:br/>
    </w:r>
    <w:r w:rsidRPr="00115980">
      <w:fldChar w:fldCharType="begin" w:fldLock="1"/>
    </w:r>
    <w:r w:rsidRPr="00115980">
      <w:instrText xml:space="preserve"> DOCPROPERTY "SvarFrasKort" *\charformat </w:instrText>
    </w:r>
    <w:r w:rsidRPr="00115980">
      <w:fldChar w:fldCharType="end"/>
    </w:r>
  </w:p>
  <w:p w:rsidR="0089553B" w:rsidRPr="00115980" w:rsidRDefault="0089553B">
    <w:pPr>
      <w:pStyle w:val="FSHTitel"/>
    </w:pPr>
    <w:r w:rsidRPr="00115980">
      <w:fldChar w:fldCharType="begin" w:fldLock="1"/>
    </w:r>
    <w:r w:rsidRPr="00115980">
      <w:instrText xml:space="preserve"> DOCPROPERTY</w:instrText>
    </w:r>
    <w:r w:rsidRPr="00115980">
      <w:rPr>
        <w:sz w:val="18"/>
      </w:rPr>
      <w:instrText xml:space="preserve"> "RubrikSvar" *\charformat </w:instrText>
    </w:r>
    <w:r w:rsidRPr="00115980">
      <w:fldChar w:fldCharType="separate"/>
    </w:r>
    <w:r w:rsidRPr="00115980">
      <w:t>Utfasning av subventioner som upprätthåller fossilbränsleanvändningen inom transportsektorn</w:t>
    </w:r>
    <w:r w:rsidRPr="00115980">
      <w:fldChar w:fldCharType="end"/>
    </w:r>
  </w:p>
  <w:p w:rsidR="0089553B" w:rsidRPr="00115980" w:rsidRDefault="0089553B">
    <w:pPr>
      <w:pStyle w:val="Normal00"/>
    </w:pPr>
  </w:p>
  <w:p w:rsidR="0089553B" w:rsidRPr="00115980" w:rsidRDefault="008955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6452722">
    <w:abstractNumId w:val="8"/>
  </w:num>
  <w:num w:numId="2" w16cid:durableId="894854696">
    <w:abstractNumId w:val="9"/>
  </w:num>
  <w:num w:numId="3" w16cid:durableId="1539200620">
    <w:abstractNumId w:val="8"/>
  </w:num>
  <w:num w:numId="4" w16cid:durableId="597297534">
    <w:abstractNumId w:val="9"/>
  </w:num>
  <w:num w:numId="5" w16cid:durableId="1429693703">
    <w:abstractNumId w:val="13"/>
  </w:num>
  <w:num w:numId="6" w16cid:durableId="2105833709">
    <w:abstractNumId w:val="10"/>
  </w:num>
  <w:num w:numId="7" w16cid:durableId="1799760430">
    <w:abstractNumId w:val="11"/>
  </w:num>
  <w:num w:numId="8" w16cid:durableId="1843734804">
    <w:abstractNumId w:val="12"/>
  </w:num>
  <w:num w:numId="9" w16cid:durableId="764299801">
    <w:abstractNumId w:val="8"/>
  </w:num>
  <w:num w:numId="10" w16cid:durableId="1881238915">
    <w:abstractNumId w:val="3"/>
  </w:num>
  <w:num w:numId="11" w16cid:durableId="227809446">
    <w:abstractNumId w:val="2"/>
  </w:num>
  <w:num w:numId="12" w16cid:durableId="1397624446">
    <w:abstractNumId w:val="1"/>
  </w:num>
  <w:num w:numId="13" w16cid:durableId="996420810">
    <w:abstractNumId w:val="0"/>
  </w:num>
  <w:num w:numId="14" w16cid:durableId="2064517730">
    <w:abstractNumId w:val="9"/>
  </w:num>
  <w:num w:numId="15" w16cid:durableId="251277626">
    <w:abstractNumId w:val="7"/>
  </w:num>
  <w:num w:numId="16" w16cid:durableId="821122302">
    <w:abstractNumId w:val="6"/>
  </w:num>
  <w:num w:numId="17" w16cid:durableId="1435050703">
    <w:abstractNumId w:val="5"/>
  </w:num>
  <w:num w:numId="18" w16cid:durableId="407076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56D06B6F-3AC6-4A0C-8BA9-48CDB569EBA6},{7CC9A58C-3141-48A3-86B8-8EA19B911E01},{18C74A2A-AE65-4127-9CEA-CFF157E3C4FA}"/>
  </w:docVars>
  <w:rsids>
    <w:rsidRoot w:val="00855B75"/>
    <w:rsid w:val="00115980"/>
    <w:rsid w:val="00855B75"/>
    <w:rsid w:val="008955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388B317-EFB8-4FF6-A815-BA1D1F28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80" w:lineRule="atLeast"/>
    </w:pPr>
    <w:rPr>
      <w:rFonts w:ascii="Bembo" w:hAnsi="Bembo"/>
      <w:sz w:val="20"/>
    </w:rPr>
  </w:style>
  <w:style w:type="paragraph" w:customStyle="1" w:styleId="Normal1">
    <w:name w:val="Normal+1"/>
    <w:basedOn w:val="Normal"/>
    <w:next w:val="Normal"/>
    <w:pPr>
      <w:autoSpaceDE w:val="0"/>
      <w:autoSpaceDN w:val="0"/>
      <w:adjustRightInd w:val="0"/>
      <w:spacing w:line="240" w:lineRule="auto"/>
    </w:pPr>
    <w:rPr>
      <w:rFonts w:ascii="Arial" w:hAnsi="Arial"/>
      <w:szCs w:val="24"/>
    </w:rPr>
  </w:style>
  <w:style w:type="character" w:styleId="Fotnotsreferens">
    <w:name w:val="footnote reference"/>
    <w:basedOn w:val="Standardstycketeckensnitt"/>
    <w:semiHidden/>
    <w:rPr>
      <w:vertAlign w:val="superscript"/>
    </w:rPr>
  </w:style>
  <w:style w:type="table" w:styleId="Tabellrutnt">
    <w:name w:val="Table Grid"/>
    <w:basedOn w:val="Normaltabell"/>
    <w:locke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aturvardsverket.se/Documents/publikationer/620-5726-X.pdf" TargetMode="External"/><Relationship Id="rId1" Type="http://schemas.openxmlformats.org/officeDocument/2006/relationships/hyperlink" Target="http://www.skatteverket.se/download/18.7459477810df5bccdd4800033613/15209.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1637</Words>
  <Characters>9316</Characters>
  <Application>Microsoft Office Word</Application>
  <DocSecurity>4</DocSecurity>
  <Lines>266</Lines>
  <Paragraphs>173</Paragraphs>
  <ScaleCrop>false</ScaleCrop>
  <HeadingPairs>
    <vt:vector size="2" baseType="variant">
      <vt:variant>
        <vt:lpstr>Rubrik</vt:lpstr>
      </vt:variant>
      <vt:variant>
        <vt:i4>1</vt:i4>
      </vt:variant>
    </vt:vector>
  </HeadingPairs>
  <TitlesOfParts>
    <vt:vector size="1" baseType="lpstr">
      <vt:lpstr>mp853</vt:lpstr>
    </vt:vector>
  </TitlesOfParts>
  <Company>Riksdagen</Company>
  <LinksUpToDate>false</LinksUpToDate>
  <CharactersWithSpaces>10780</CharactersWithSpaces>
  <SharedDoc>false</SharedDoc>
  <HLinks>
    <vt:vector size="12" baseType="variant">
      <vt:variant>
        <vt:i4>1179652</vt:i4>
      </vt:variant>
      <vt:variant>
        <vt:i4>3</vt:i4>
      </vt:variant>
      <vt:variant>
        <vt:i4>0</vt:i4>
      </vt:variant>
      <vt:variant>
        <vt:i4>5</vt:i4>
      </vt:variant>
      <vt:variant>
        <vt:lpwstr>http://www.naturvardsverket.se/Documents/publikationer/620-5726-X.pdf</vt:lpwstr>
      </vt:variant>
      <vt:variant>
        <vt:lpwstr/>
      </vt:variant>
      <vt:variant>
        <vt:i4>6160476</vt:i4>
      </vt:variant>
      <vt:variant>
        <vt:i4>0</vt:i4>
      </vt:variant>
      <vt:variant>
        <vt:i4>0</vt:i4>
      </vt:variant>
      <vt:variant>
        <vt:i4>5</vt:i4>
      </vt:variant>
      <vt:variant>
        <vt:lpwstr>http://www.skatteverket.se/download/18.7459477810df5bccdd4800033613/15209.pdf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mp853</dc:title>
  <dc:subject>mp853</dc:subject>
  <dc:creator>Riksdagen</dc:creator>
  <cp:keywords>Riksdagen</cp:keywords>
  <dc:description>TKG-ktrl, MSMQ4mb, PersReg-Distribution mm</dc:description>
  <cp:lastModifiedBy>Lars Brink</cp:lastModifiedBy>
  <cp:revision>2</cp:revision>
  <cp:lastPrinted>2007-12-02T13:29:00Z</cp:lastPrinted>
  <dcterms:created xsi:type="dcterms:W3CDTF">2025-12-17T10:07:00Z</dcterms:created>
  <dcterms:modified xsi:type="dcterms:W3CDTF">2025-12-17T10:07:00Z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Utfasning av subventioner som upprätthåller fossilbränsleanvändningen inom transportsektorn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Utfasning av subventioner som upprätthåller fossilbränsleanvändningen inom transportsektorn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(mp)\Bolund, Per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20072008000001090112000008530075</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20072008000001090112000008530075</vt:lpwstr>
  </property>
  <property fmtid="{D5CDD505-2E9C-101B-9397-08002B2CF9AE}" pid="50" name="nummer">
    <vt:lpwstr>547</vt:lpwstr>
  </property>
  <property fmtid="{D5CDD505-2E9C-101B-9397-08002B2CF9AE}" pid="51" name="utskottsbeteckning">
    <vt:lpwstr>T</vt:lpwstr>
  </property>
  <property fmtid="{D5CDD505-2E9C-101B-9397-08002B2CF9AE}" pid="52" name="GlobalUID">
    <vt:lpwstr>{C503C1E4-9C15-436D-AF52-03C7E8EC54EF}</vt:lpwstr>
  </property>
  <property fmtid="{D5CDD505-2E9C-101B-9397-08002B2CF9AE}" pid="53" name="Överföringar">
    <vt:i4>0</vt:i4>
  </property>
  <property fmtid="{D5CDD505-2E9C-101B-9397-08002B2CF9AE}" pid="54" name="Checksum">
    <vt:lpwstr>*0016253954861*</vt:lpwstr>
  </property>
  <property fmtid="{D5CDD505-2E9C-101B-9397-08002B2CF9AE}" pid="55" name="skuggnummer">
    <vt:lpwstr>3279</vt:lpwstr>
  </property>
  <property fmtid="{D5CDD505-2E9C-101B-9397-08002B2CF9AE}" pid="56" name="urixVersion">
    <vt:lpwstr>3.2.0.8</vt:lpwstr>
  </property>
  <property fmtid="{D5CDD505-2E9C-101B-9397-08002B2CF9AE}" pid="57" name="urixOrigin">
    <vt:lpwstr>080827 13:34:34.584</vt:lpwstr>
  </property>
  <property fmtid="{D5CDD505-2E9C-101B-9397-08002B2CF9AE}" pid="58" name="urixGuid">
    <vt:lpwstr>{AC000470-57B1-4A0C-A060-0074A0482BF5}</vt:lpwstr>
  </property>
</Properties>
</file>