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213"/>
      </w:tblGrid>
      <w:tr w:rsidR="00810148" w:rsidRPr="00A100E4">
        <w:tblPrEx>
          <w:tblCellMar>
            <w:top w:w="0" w:type="dxa"/>
            <w:bottom w:w="0" w:type="dxa"/>
          </w:tblCellMar>
        </w:tblPrEx>
        <w:tc>
          <w:tcPr>
            <w:tcW w:w="2268" w:type="dxa"/>
          </w:tcPr>
          <w:p w:rsidR="00810148" w:rsidRPr="00A100E4" w:rsidRDefault="00810148">
            <w:pPr>
              <w:framePr w:w="4400" w:h="1644" w:wrap="notBeside" w:vAnchor="page" w:hAnchor="page" w:x="6573" w:y="721"/>
              <w:rPr>
                <w:i/>
                <w:sz w:val="18"/>
              </w:rPr>
            </w:pPr>
          </w:p>
        </w:tc>
        <w:tc>
          <w:tcPr>
            <w:tcW w:w="2347" w:type="dxa"/>
            <w:gridSpan w:val="2"/>
          </w:tcPr>
          <w:p w:rsidR="00810148" w:rsidRPr="00A100E4" w:rsidRDefault="00810148">
            <w:pPr>
              <w:framePr w:w="4400" w:h="1644" w:wrap="notBeside" w:vAnchor="page" w:hAnchor="page" w:x="6573" w:y="721"/>
              <w:rPr>
                <w:i/>
                <w:sz w:val="18"/>
              </w:rPr>
            </w:pPr>
          </w:p>
        </w:tc>
      </w:tr>
      <w:tr w:rsidR="00810148" w:rsidRPr="00A100E4">
        <w:tblPrEx>
          <w:tblCellMar>
            <w:top w:w="0" w:type="dxa"/>
            <w:bottom w:w="0" w:type="dxa"/>
          </w:tblCellMar>
        </w:tblPrEx>
        <w:tc>
          <w:tcPr>
            <w:tcW w:w="2268" w:type="dxa"/>
          </w:tcPr>
          <w:p w:rsidR="00810148" w:rsidRPr="00A100E4" w:rsidRDefault="00810148">
            <w:pPr>
              <w:framePr w:w="4400" w:h="1644" w:wrap="notBeside" w:vAnchor="page" w:hAnchor="page" w:x="6573" w:y="721"/>
              <w:rPr>
                <w:rFonts w:ascii="TradeGothic" w:hAnsi="TradeGothic"/>
                <w:b/>
                <w:sz w:val="22"/>
              </w:rPr>
            </w:pPr>
            <w:r w:rsidRPr="00A100E4">
              <w:rPr>
                <w:rFonts w:ascii="TradeGothic" w:hAnsi="TradeGothic"/>
                <w:b/>
                <w:sz w:val="22"/>
              </w:rPr>
              <w:t xml:space="preserve">Kommenterad dagordning </w:t>
            </w:r>
          </w:p>
        </w:tc>
        <w:tc>
          <w:tcPr>
            <w:tcW w:w="2347" w:type="dxa"/>
            <w:gridSpan w:val="2"/>
          </w:tcPr>
          <w:p w:rsidR="00810148" w:rsidRPr="00A100E4" w:rsidRDefault="00810148">
            <w:pPr>
              <w:framePr w:w="4400" w:h="1644" w:wrap="notBeside" w:vAnchor="page" w:hAnchor="page" w:x="6573" w:y="721"/>
              <w:rPr>
                <w:b/>
                <w:sz w:val="22"/>
              </w:rPr>
            </w:pPr>
          </w:p>
        </w:tc>
      </w:tr>
      <w:tr w:rsidR="00810148" w:rsidRPr="00A100E4">
        <w:tblPrEx>
          <w:tblCellMar>
            <w:top w:w="0" w:type="dxa"/>
            <w:bottom w:w="0" w:type="dxa"/>
          </w:tblCellMar>
        </w:tblPrEx>
        <w:tc>
          <w:tcPr>
            <w:tcW w:w="3402" w:type="dxa"/>
            <w:gridSpan w:val="2"/>
          </w:tcPr>
          <w:p w:rsidR="00810148" w:rsidRPr="00A100E4" w:rsidRDefault="00810148">
            <w:pPr>
              <w:framePr w:w="4400" w:h="1644" w:wrap="notBeside" w:vAnchor="page" w:hAnchor="page" w:x="6573" w:y="721"/>
              <w:rPr>
                <w:rFonts w:ascii="TradeGothic" w:hAnsi="TradeGothic"/>
              </w:rPr>
            </w:pPr>
          </w:p>
        </w:tc>
        <w:tc>
          <w:tcPr>
            <w:tcW w:w="1213" w:type="dxa"/>
          </w:tcPr>
          <w:p w:rsidR="00810148" w:rsidRPr="00A100E4" w:rsidRDefault="00810148">
            <w:pPr>
              <w:framePr w:w="4400" w:h="1644" w:wrap="notBeside" w:vAnchor="page" w:hAnchor="page" w:x="6573" w:y="721"/>
            </w:pPr>
          </w:p>
        </w:tc>
      </w:tr>
      <w:tr w:rsidR="00810148" w:rsidRPr="00A100E4">
        <w:tblPrEx>
          <w:tblCellMar>
            <w:top w:w="0" w:type="dxa"/>
            <w:bottom w:w="0" w:type="dxa"/>
          </w:tblCellMar>
        </w:tblPrEx>
        <w:tc>
          <w:tcPr>
            <w:tcW w:w="2268" w:type="dxa"/>
          </w:tcPr>
          <w:p w:rsidR="00810148" w:rsidRPr="00A100E4" w:rsidRDefault="00E81EB7">
            <w:pPr>
              <w:framePr w:w="4400" w:h="1644" w:wrap="notBeside" w:vAnchor="page" w:hAnchor="page" w:x="6573" w:y="721"/>
            </w:pPr>
            <w:r w:rsidRPr="00A100E4">
              <w:t>2007- 09-17</w:t>
            </w:r>
          </w:p>
        </w:tc>
        <w:tc>
          <w:tcPr>
            <w:tcW w:w="2347" w:type="dxa"/>
            <w:gridSpan w:val="2"/>
          </w:tcPr>
          <w:p w:rsidR="00810148" w:rsidRPr="00A100E4" w:rsidRDefault="00810148">
            <w:pPr>
              <w:framePr w:w="4400" w:h="1644" w:wrap="notBeside" w:vAnchor="page" w:hAnchor="page" w:x="6573" w:y="721"/>
            </w:pPr>
          </w:p>
        </w:tc>
      </w:tr>
      <w:tr w:rsidR="00810148" w:rsidRPr="00A100E4">
        <w:tblPrEx>
          <w:tblCellMar>
            <w:top w:w="0" w:type="dxa"/>
            <w:bottom w:w="0" w:type="dxa"/>
          </w:tblCellMar>
        </w:tblPrEx>
        <w:tc>
          <w:tcPr>
            <w:tcW w:w="2268" w:type="dxa"/>
          </w:tcPr>
          <w:p w:rsidR="00810148" w:rsidRPr="00A100E4" w:rsidRDefault="00810148">
            <w:pPr>
              <w:framePr w:w="4400" w:h="1644" w:wrap="notBeside" w:vAnchor="page" w:hAnchor="page" w:x="6573" w:y="721"/>
            </w:pPr>
          </w:p>
        </w:tc>
        <w:tc>
          <w:tcPr>
            <w:tcW w:w="2347" w:type="dxa"/>
            <w:gridSpan w:val="2"/>
          </w:tcPr>
          <w:p w:rsidR="00810148" w:rsidRPr="00A100E4" w:rsidRDefault="00810148">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810148" w:rsidRPr="00A100E4">
        <w:tblPrEx>
          <w:tblCellMar>
            <w:top w:w="0" w:type="dxa"/>
            <w:bottom w:w="0" w:type="dxa"/>
          </w:tblCellMar>
        </w:tblPrEx>
        <w:trPr>
          <w:trHeight w:val="284"/>
        </w:trPr>
        <w:tc>
          <w:tcPr>
            <w:tcW w:w="4911" w:type="dxa"/>
          </w:tcPr>
          <w:p w:rsidR="00810148" w:rsidRPr="00A100E4" w:rsidRDefault="00810148">
            <w:pPr>
              <w:pStyle w:val="Avsndare"/>
              <w:framePr w:h="2483" w:wrap="notBeside" w:x="1504"/>
              <w:rPr>
                <w:b/>
                <w:i w:val="0"/>
                <w:sz w:val="22"/>
              </w:rPr>
            </w:pPr>
            <w:r w:rsidRPr="00A100E4">
              <w:rPr>
                <w:b/>
                <w:i w:val="0"/>
                <w:sz w:val="22"/>
              </w:rPr>
              <w:t>Näringsdepartementet</w:t>
            </w:r>
          </w:p>
        </w:tc>
      </w:tr>
      <w:tr w:rsidR="00810148" w:rsidRPr="00A100E4" w:rsidTr="00F26310">
        <w:tblPrEx>
          <w:tblCellMar>
            <w:top w:w="0" w:type="dxa"/>
            <w:bottom w:w="0" w:type="dxa"/>
          </w:tblCellMar>
        </w:tblPrEx>
        <w:trPr>
          <w:trHeight w:val="428"/>
        </w:trPr>
        <w:tc>
          <w:tcPr>
            <w:tcW w:w="4911" w:type="dxa"/>
          </w:tcPr>
          <w:p w:rsidR="00810148" w:rsidRPr="00A100E4" w:rsidRDefault="00810148">
            <w:pPr>
              <w:pStyle w:val="Avsndare"/>
              <w:framePr w:h="2483" w:wrap="notBeside" w:x="1504"/>
              <w:rPr>
                <w:rFonts w:ascii="OrigGarmnd BT" w:hAnsi="OrigGarmnd BT"/>
                <w:bCs/>
                <w:iCs/>
              </w:rPr>
            </w:pPr>
          </w:p>
        </w:tc>
      </w:tr>
      <w:tr w:rsidR="00810148" w:rsidRPr="00A100E4">
        <w:tblPrEx>
          <w:tblCellMar>
            <w:top w:w="0" w:type="dxa"/>
            <w:bottom w:w="0" w:type="dxa"/>
          </w:tblCellMar>
        </w:tblPrEx>
        <w:trPr>
          <w:trHeight w:val="284"/>
        </w:trPr>
        <w:tc>
          <w:tcPr>
            <w:tcW w:w="4911" w:type="dxa"/>
          </w:tcPr>
          <w:p w:rsidR="00810148" w:rsidRPr="00A100E4" w:rsidRDefault="00810148">
            <w:pPr>
              <w:pStyle w:val="Avsndare"/>
              <w:framePr w:h="2483" w:wrap="notBeside" w:x="1504"/>
              <w:rPr>
                <w:rFonts w:ascii="OrigGarmnd BT" w:hAnsi="OrigGarmnd BT"/>
                <w:bCs/>
                <w:iCs/>
                <w:sz w:val="20"/>
              </w:rPr>
            </w:pPr>
          </w:p>
        </w:tc>
      </w:tr>
      <w:tr w:rsidR="00810148" w:rsidRPr="00A100E4">
        <w:tblPrEx>
          <w:tblCellMar>
            <w:top w:w="0" w:type="dxa"/>
            <w:bottom w:w="0" w:type="dxa"/>
          </w:tblCellMar>
        </w:tblPrEx>
        <w:trPr>
          <w:trHeight w:val="284"/>
        </w:trPr>
        <w:tc>
          <w:tcPr>
            <w:tcW w:w="4911" w:type="dxa"/>
          </w:tcPr>
          <w:p w:rsidR="00810148" w:rsidRPr="00A100E4" w:rsidRDefault="00810148">
            <w:pPr>
              <w:pStyle w:val="Avsndare"/>
              <w:framePr w:h="2483" w:wrap="notBeside" w:x="1504"/>
              <w:rPr>
                <w:rFonts w:ascii="OrigGarmnd BT" w:hAnsi="OrigGarmnd BT"/>
                <w:bCs/>
                <w:iCs/>
                <w:sz w:val="20"/>
              </w:rPr>
            </w:pPr>
          </w:p>
        </w:tc>
      </w:tr>
      <w:tr w:rsidR="00810148" w:rsidRPr="00A100E4">
        <w:tblPrEx>
          <w:tblCellMar>
            <w:top w:w="0" w:type="dxa"/>
            <w:bottom w:w="0" w:type="dxa"/>
          </w:tblCellMar>
        </w:tblPrEx>
        <w:trPr>
          <w:trHeight w:val="284"/>
        </w:trPr>
        <w:tc>
          <w:tcPr>
            <w:tcW w:w="4911" w:type="dxa"/>
          </w:tcPr>
          <w:p w:rsidR="00810148" w:rsidRPr="00A100E4" w:rsidRDefault="00810148">
            <w:pPr>
              <w:pStyle w:val="Avsndare"/>
              <w:framePr w:h="2483" w:wrap="notBeside" w:x="1504"/>
              <w:rPr>
                <w:rFonts w:ascii="OrigGarmnd BT" w:hAnsi="OrigGarmnd BT"/>
                <w:bCs/>
                <w:iCs/>
                <w:sz w:val="20"/>
              </w:rPr>
            </w:pPr>
          </w:p>
        </w:tc>
      </w:tr>
      <w:tr w:rsidR="00810148" w:rsidRPr="00A100E4">
        <w:tblPrEx>
          <w:tblCellMar>
            <w:top w:w="0" w:type="dxa"/>
            <w:bottom w:w="0" w:type="dxa"/>
          </w:tblCellMar>
        </w:tblPrEx>
        <w:trPr>
          <w:trHeight w:val="284"/>
        </w:trPr>
        <w:tc>
          <w:tcPr>
            <w:tcW w:w="4911" w:type="dxa"/>
          </w:tcPr>
          <w:p w:rsidR="00810148" w:rsidRPr="00A100E4" w:rsidRDefault="00810148">
            <w:pPr>
              <w:pStyle w:val="Avsndare"/>
              <w:framePr w:h="2483" w:wrap="notBeside" w:x="1504"/>
              <w:rPr>
                <w:rFonts w:ascii="OrigGarmnd BT" w:hAnsi="OrigGarmnd BT"/>
                <w:bCs/>
                <w:iCs/>
                <w:sz w:val="20"/>
              </w:rPr>
            </w:pPr>
          </w:p>
        </w:tc>
      </w:tr>
      <w:tr w:rsidR="00810148" w:rsidRPr="00A100E4">
        <w:tblPrEx>
          <w:tblCellMar>
            <w:top w:w="0" w:type="dxa"/>
            <w:bottom w:w="0" w:type="dxa"/>
          </w:tblCellMar>
        </w:tblPrEx>
        <w:trPr>
          <w:trHeight w:val="284"/>
        </w:trPr>
        <w:tc>
          <w:tcPr>
            <w:tcW w:w="4911" w:type="dxa"/>
          </w:tcPr>
          <w:p w:rsidR="00810148" w:rsidRPr="00A100E4" w:rsidRDefault="00810148">
            <w:pPr>
              <w:pStyle w:val="Avsndare"/>
              <w:framePr w:h="2483" w:wrap="notBeside" w:x="1504"/>
              <w:rPr>
                <w:rFonts w:ascii="OrigGarmnd BT" w:hAnsi="OrigGarmnd BT"/>
                <w:bCs/>
                <w:iCs/>
                <w:sz w:val="20"/>
              </w:rPr>
            </w:pPr>
          </w:p>
        </w:tc>
      </w:tr>
      <w:tr w:rsidR="00810148" w:rsidRPr="00A100E4">
        <w:tblPrEx>
          <w:tblCellMar>
            <w:top w:w="0" w:type="dxa"/>
            <w:bottom w:w="0" w:type="dxa"/>
          </w:tblCellMar>
        </w:tblPrEx>
        <w:trPr>
          <w:trHeight w:val="284"/>
        </w:trPr>
        <w:tc>
          <w:tcPr>
            <w:tcW w:w="4911" w:type="dxa"/>
          </w:tcPr>
          <w:p w:rsidR="00810148" w:rsidRPr="00A100E4" w:rsidRDefault="00810148">
            <w:pPr>
              <w:pStyle w:val="Avsndare"/>
              <w:framePr w:h="2483" w:wrap="notBeside" w:x="1504"/>
              <w:rPr>
                <w:rFonts w:ascii="OrigGarmnd BT" w:hAnsi="OrigGarmnd BT"/>
                <w:bCs/>
                <w:iCs/>
              </w:rPr>
            </w:pPr>
          </w:p>
        </w:tc>
      </w:tr>
    </w:tbl>
    <w:p w:rsidR="00810148" w:rsidRPr="00A100E4" w:rsidRDefault="00810148">
      <w:pPr>
        <w:framePr w:w="4400" w:h="2523" w:wrap="notBeside" w:vAnchor="page" w:hAnchor="page" w:x="6453" w:y="2445"/>
        <w:ind w:left="142"/>
      </w:pPr>
    </w:p>
    <w:p w:rsidR="00810148" w:rsidRPr="00A100E4" w:rsidRDefault="00810148">
      <w:pPr>
        <w:pStyle w:val="RKrubrik"/>
        <w:spacing w:before="0" w:after="0"/>
        <w:rPr>
          <w:rFonts w:ascii="OrigGarmnd BT" w:hAnsi="OrigGarmnd BT"/>
          <w:u w:val="single"/>
        </w:rPr>
      </w:pPr>
      <w:r w:rsidRPr="00A100E4">
        <w:rPr>
          <w:u w:val="single"/>
        </w:rPr>
        <w:t>Kommenterad dagordning in</w:t>
      </w:r>
      <w:r w:rsidR="00E81EB7" w:rsidRPr="00A100E4">
        <w:rPr>
          <w:u w:val="single"/>
        </w:rPr>
        <w:t>för samråd med EU nämnden den 21 september</w:t>
      </w:r>
      <w:r w:rsidRPr="00A100E4">
        <w:rPr>
          <w:u w:val="single"/>
        </w:rPr>
        <w:t xml:space="preserve"> inför</w:t>
      </w:r>
      <w:r w:rsidR="00E81EB7" w:rsidRPr="00A100E4">
        <w:rPr>
          <w:u w:val="single"/>
        </w:rPr>
        <w:t xml:space="preserve"> möte i konkurrenskraftsrådet 27-28 september</w:t>
      </w:r>
      <w:r w:rsidRPr="00A100E4">
        <w:rPr>
          <w:u w:val="single"/>
        </w:rPr>
        <w:t xml:space="preserve"> 200</w:t>
      </w:r>
      <w:r w:rsidR="00F26310" w:rsidRPr="00A100E4">
        <w:rPr>
          <w:u w:val="single"/>
        </w:rPr>
        <w:t>7</w:t>
      </w:r>
    </w:p>
    <w:p w:rsidR="00810148" w:rsidRPr="00A100E4" w:rsidRDefault="00810148">
      <w:pPr>
        <w:pStyle w:val="RKnormal"/>
      </w:pPr>
    </w:p>
    <w:p w:rsidR="00810148" w:rsidRPr="00A100E4" w:rsidRDefault="00810148">
      <w:pPr>
        <w:pStyle w:val="RKnormal"/>
      </w:pPr>
    </w:p>
    <w:p w:rsidR="00810148" w:rsidRPr="00A100E4" w:rsidRDefault="00810148">
      <w:pPr>
        <w:pStyle w:val="RKnormal"/>
        <w:rPr>
          <w:b/>
          <w:bCs/>
        </w:rPr>
      </w:pPr>
      <w:r w:rsidRPr="00A100E4">
        <w:rPr>
          <w:b/>
          <w:bCs/>
        </w:rPr>
        <w:t>1. Godkännande av dagordningen</w:t>
      </w:r>
    </w:p>
    <w:p w:rsidR="00810148" w:rsidRPr="00A100E4" w:rsidRDefault="00810148">
      <w:pPr>
        <w:pStyle w:val="RKnormal"/>
        <w:rPr>
          <w:b/>
          <w:bCs/>
        </w:rPr>
      </w:pPr>
    </w:p>
    <w:p w:rsidR="00810148" w:rsidRPr="00A100E4" w:rsidRDefault="00810148">
      <w:pPr>
        <w:pStyle w:val="RKnormal"/>
        <w:rPr>
          <w:b/>
          <w:bCs/>
        </w:rPr>
      </w:pPr>
      <w:r w:rsidRPr="00A100E4">
        <w:rPr>
          <w:b/>
          <w:bCs/>
        </w:rPr>
        <w:t xml:space="preserve">2.  Antagande av a-punktslistan </w:t>
      </w:r>
    </w:p>
    <w:p w:rsidR="003E13CB" w:rsidRPr="00A100E4" w:rsidRDefault="003E13CB">
      <w:pPr>
        <w:pStyle w:val="RKnormal"/>
        <w:rPr>
          <w:b/>
          <w:bCs/>
        </w:rPr>
      </w:pPr>
    </w:p>
    <w:p w:rsidR="003E13CB" w:rsidRPr="00A100E4" w:rsidRDefault="003E13CB">
      <w:pPr>
        <w:pStyle w:val="RKnormal"/>
        <w:rPr>
          <w:b/>
          <w:bCs/>
        </w:rPr>
      </w:pPr>
      <w:r w:rsidRPr="00A100E4">
        <w:rPr>
          <w:b/>
          <w:bCs/>
        </w:rPr>
        <w:t>3. Konkurrenskraft</w:t>
      </w:r>
    </w:p>
    <w:p w:rsidR="003E13CB" w:rsidRPr="00A100E4" w:rsidRDefault="003E13CB">
      <w:pPr>
        <w:pStyle w:val="RKnormal"/>
        <w:rPr>
          <w:b/>
          <w:bCs/>
        </w:rPr>
      </w:pPr>
    </w:p>
    <w:p w:rsidR="00C70AE3" w:rsidRPr="00A100E4" w:rsidRDefault="00E81EB7">
      <w:pPr>
        <w:pStyle w:val="RKnormal"/>
        <w:rPr>
          <w:b/>
          <w:bCs/>
        </w:rPr>
      </w:pPr>
      <w:r w:rsidRPr="00A100E4">
        <w:rPr>
          <w:b/>
          <w:bCs/>
        </w:rPr>
        <w:t>a) Meddelande om h</w:t>
      </w:r>
      <w:r w:rsidR="003E13CB" w:rsidRPr="00A100E4">
        <w:rPr>
          <w:b/>
          <w:bCs/>
        </w:rPr>
        <w:t>alvtidsöversyn</w:t>
      </w:r>
      <w:r w:rsidR="00C70AE3" w:rsidRPr="00A100E4">
        <w:rPr>
          <w:b/>
          <w:bCs/>
        </w:rPr>
        <w:t>en av industripolitiken</w:t>
      </w:r>
    </w:p>
    <w:p w:rsidR="00C70AE3" w:rsidRPr="00A100E4" w:rsidRDefault="00C70AE3">
      <w:pPr>
        <w:pStyle w:val="RKnormal"/>
        <w:rPr>
          <w:bCs/>
          <w:i/>
        </w:rPr>
      </w:pPr>
      <w:r w:rsidRPr="00A100E4">
        <w:rPr>
          <w:b/>
          <w:bCs/>
        </w:rPr>
        <w:t xml:space="preserve">    - </w:t>
      </w:r>
      <w:r w:rsidRPr="00A100E4">
        <w:rPr>
          <w:bCs/>
          <w:i/>
        </w:rPr>
        <w:t>Presentation av kommissionen</w:t>
      </w:r>
    </w:p>
    <w:p w:rsidR="00C70AE3" w:rsidRPr="00A100E4" w:rsidRDefault="00C70AE3" w:rsidP="00C70AE3">
      <w:pPr>
        <w:pStyle w:val="RKnormal"/>
      </w:pPr>
    </w:p>
    <w:p w:rsidR="00C70AE3" w:rsidRPr="00A100E4" w:rsidRDefault="00C70AE3" w:rsidP="00C70AE3">
      <w:pPr>
        <w:pStyle w:val="Brdtext1"/>
        <w:spacing w:line="240" w:lineRule="auto"/>
        <w:rPr>
          <w:rFonts w:ascii="OrigGarmnd BT" w:hAnsi="OrigGarmnd BT"/>
          <w:bCs/>
        </w:rPr>
      </w:pPr>
      <w:r w:rsidRPr="00A100E4">
        <w:t>Ramen för KOM:s arbete avseende industripolitik fastställdes i KOM:s  industripolitiska meddelande från oktober 2005</w:t>
      </w:r>
      <w:r w:rsidRPr="00A100E4">
        <w:rPr>
          <w:rStyle w:val="FootnoteCharacters"/>
        </w:rPr>
        <w:footnoteReference w:id="1"/>
      </w:r>
      <w:r w:rsidRPr="00A100E4">
        <w:t xml:space="preserve">. I enlighet med rådsslutsatser som antogs vid KKR i maj 2007 har KOM nu presenterat en halvtidsöversyn av industrimeddelandet. </w:t>
      </w:r>
      <w:r w:rsidRPr="00A100E4">
        <w:rPr>
          <w:rFonts w:ascii="OrigGarmnd BT" w:hAnsi="OrigGarmnd BT"/>
          <w:bCs/>
        </w:rPr>
        <w:t>KOM beskriver i meddelandet utvecklingen inom en rad områden inom ramen för industrimeddelandet. Även om den makroekonomiska situationen är gynnsam och KOM betonar EU:s industripolitik som en ram för främst nationella insatser så vill KOM konkretisera initiativ inom en del nya horisontella och sektorsspecifika områden. Det som lyfts fram som nytt i halvtidsöversynen när det gäller branschöverskridande initiativ är bl.a. fokus på pionjärmarknader, standardisering och kluster samt en hållbar industripolitik. När det gäller branschspecifika initiativ så lyfts bl.a livsmedelsbranschen och säkerhetsområdet fram.</w:t>
      </w:r>
    </w:p>
    <w:p w:rsidR="00C70AE3" w:rsidRPr="00A100E4" w:rsidRDefault="00C70AE3" w:rsidP="00C70AE3">
      <w:pPr>
        <w:pStyle w:val="RKnormal"/>
      </w:pPr>
    </w:p>
    <w:p w:rsidR="00C70AE3" w:rsidRPr="00A100E4" w:rsidRDefault="00C70AE3" w:rsidP="00C70AE3">
      <w:pPr>
        <w:pStyle w:val="RKnormal"/>
      </w:pPr>
      <w:r w:rsidRPr="00A100E4">
        <w:rPr>
          <w:u w:val="single"/>
        </w:rPr>
        <w:t xml:space="preserve">Förslag till svensk ståndpunkt: </w:t>
      </w:r>
      <w:r w:rsidRPr="00A100E4">
        <w:t>Sverige stöder de föreslagna nya initiativen inom horisontella branschöverskridande områden. Vi stöder i synnerhet initiativet om en hållbar industripolitik och föreslår tydligare kopplingar i texterna till slutsatserna från Europeiska rådet våren 2007. Sverige är fortsatt skeptisk till branschspecifika insatser.</w:t>
      </w:r>
    </w:p>
    <w:p w:rsidR="00C70AE3" w:rsidRPr="00A100E4" w:rsidRDefault="00C70AE3">
      <w:pPr>
        <w:pStyle w:val="RKnormal"/>
        <w:rPr>
          <w:bCs/>
          <w:i/>
        </w:rPr>
      </w:pPr>
    </w:p>
    <w:p w:rsidR="00810148" w:rsidRPr="00A100E4" w:rsidRDefault="00810148">
      <w:pPr>
        <w:spacing w:line="240" w:lineRule="auto"/>
      </w:pPr>
      <w:r w:rsidRPr="00A100E4">
        <w:rPr>
          <w:i/>
          <w:iCs/>
        </w:rPr>
        <w:t>Se vidare PM till riksdagen</w:t>
      </w:r>
    </w:p>
    <w:p w:rsidR="00E81EB7" w:rsidRPr="00A100E4" w:rsidRDefault="00E81EB7" w:rsidP="00E81EB7">
      <w:pPr>
        <w:pStyle w:val="Rubrik3"/>
        <w:rPr>
          <w:rFonts w:ascii="OrigGarmnd BT" w:hAnsi="OrigGarmnd BT"/>
          <w:b/>
          <w:sz w:val="24"/>
          <w:szCs w:val="24"/>
        </w:rPr>
      </w:pPr>
      <w:r w:rsidRPr="00A100E4">
        <w:rPr>
          <w:rFonts w:ascii="OrigGarmnd BT" w:hAnsi="OrigGarmnd BT"/>
          <w:b/>
          <w:sz w:val="24"/>
          <w:szCs w:val="24"/>
        </w:rPr>
        <w:lastRenderedPageBreak/>
        <w:t>b) Meddelande från kommissionen om ”E-skills for the 21st Century, fostering Competitiveness, Growth and Jobs” (E-skills strategy)</w:t>
      </w:r>
    </w:p>
    <w:p w:rsidR="00E81EB7" w:rsidRPr="00A100E4" w:rsidRDefault="00E32AA5" w:rsidP="00E81EB7">
      <w:pPr>
        <w:pStyle w:val="RKnormal"/>
        <w:rPr>
          <w:i/>
        </w:rPr>
      </w:pPr>
      <w:r w:rsidRPr="00A100E4">
        <w:rPr>
          <w:i/>
        </w:rPr>
        <w:t>- Presentation av kommissionen</w:t>
      </w:r>
    </w:p>
    <w:p w:rsidR="00E32AA5" w:rsidRPr="00A100E4" w:rsidRDefault="00E32AA5" w:rsidP="00E81EB7">
      <w:pPr>
        <w:pStyle w:val="RKnormal"/>
        <w:rPr>
          <w:i/>
        </w:rPr>
      </w:pPr>
    </w:p>
    <w:p w:rsidR="00E81EB7" w:rsidRPr="00A100E4" w:rsidRDefault="00E81EB7" w:rsidP="00E81EB7">
      <w:pPr>
        <w:pStyle w:val="RKnormal"/>
      </w:pPr>
      <w:r w:rsidRPr="00A100E4">
        <w:t>Frågan har inte behandlats av nämnden tidigare. Meddelandet från kommissionen om E-kompetens för 2000-talet: Ökad konkurrenskraft, större tillväxt och fler jobb (IT-kompetensstrategin) kom den 7 september och bereds för närvarande av regeringskansliet. I meddelandet anges att Europa riskerar att möta stor brist på  e-kompetens inom en snar framtid. Samtidigt konstateras att e-kompetens kommit att spela en alltmer central roll för att öka innovation, produktivitet och anställbarhet samt att möta globala utmaningar. Kommissionen föreslår därför en långsiktig e-kompetensagenda och åtgärder på EU-nivå.</w:t>
      </w:r>
    </w:p>
    <w:p w:rsidR="003F446B" w:rsidRPr="00A100E4" w:rsidRDefault="00E81EB7" w:rsidP="00E81EB7">
      <w:pPr>
        <w:pStyle w:val="RKnormal"/>
      </w:pPr>
      <w:r w:rsidRPr="00A100E4">
        <w:rPr>
          <w:u w:val="single"/>
        </w:rPr>
        <w:t>Förslag till svensk ståndpunkt:</w:t>
      </w:r>
      <w:r w:rsidRPr="00A100E4">
        <w:t xml:space="preserve"> Sverige välkomnar i stort kommissionens meddelande, då ökad e-kompetens är en avgörande faktor för att förverkliga informationssamhället</w:t>
      </w:r>
    </w:p>
    <w:p w:rsidR="00E81EB7" w:rsidRPr="00A100E4" w:rsidRDefault="00E81EB7" w:rsidP="00E81EB7">
      <w:pPr>
        <w:pStyle w:val="RKnormal"/>
      </w:pPr>
    </w:p>
    <w:p w:rsidR="00E81EB7" w:rsidRPr="00A100E4" w:rsidRDefault="00E81EB7" w:rsidP="00E81EB7">
      <w:pPr>
        <w:pStyle w:val="RKnormal"/>
        <w:rPr>
          <w:i/>
        </w:rPr>
      </w:pPr>
      <w:r w:rsidRPr="00A100E4">
        <w:rPr>
          <w:i/>
        </w:rPr>
        <w:t>Se vidare PM till riksdagen</w:t>
      </w:r>
    </w:p>
    <w:p w:rsidR="006D3507" w:rsidRPr="00A100E4" w:rsidRDefault="006D3507" w:rsidP="00E81EB7">
      <w:pPr>
        <w:pStyle w:val="RKnormal"/>
        <w:rPr>
          <w:i/>
        </w:rPr>
      </w:pPr>
    </w:p>
    <w:p w:rsidR="006D3507" w:rsidRPr="00A100E4" w:rsidRDefault="00E32AA5" w:rsidP="006D3507">
      <w:pPr>
        <w:rPr>
          <w:b/>
        </w:rPr>
      </w:pPr>
      <w:r w:rsidRPr="00A100E4">
        <w:rPr>
          <w:b/>
        </w:rPr>
        <w:t xml:space="preserve">c) </w:t>
      </w:r>
      <w:r w:rsidR="006D3507" w:rsidRPr="00A100E4">
        <w:rPr>
          <w:b/>
        </w:rPr>
        <w:t>Halvtidsöversyn av SME-politiken</w:t>
      </w:r>
    </w:p>
    <w:p w:rsidR="006D3507" w:rsidRPr="00A100E4" w:rsidRDefault="00E32AA5" w:rsidP="006D3507">
      <w:pPr>
        <w:rPr>
          <w:i/>
        </w:rPr>
      </w:pPr>
      <w:r w:rsidRPr="00A100E4">
        <w:rPr>
          <w:i/>
        </w:rPr>
        <w:t>- L</w:t>
      </w:r>
      <w:r w:rsidR="006D3507" w:rsidRPr="00A100E4">
        <w:rPr>
          <w:i/>
        </w:rPr>
        <w:t>ägesrapport av kommissionen</w:t>
      </w:r>
    </w:p>
    <w:p w:rsidR="00E32AA5" w:rsidRPr="00A100E4" w:rsidRDefault="00E32AA5" w:rsidP="006D3507">
      <w:pPr>
        <w:pStyle w:val="RKnormal"/>
        <w:rPr>
          <w:b/>
        </w:rPr>
      </w:pPr>
    </w:p>
    <w:p w:rsidR="006D3507" w:rsidRPr="00A100E4" w:rsidRDefault="006D3507" w:rsidP="006D3507">
      <w:pPr>
        <w:pStyle w:val="RKnormal"/>
      </w:pPr>
      <w:r w:rsidRPr="00A100E4">
        <w:t>Kommissionen presenterade i november 2005 ett meddelande om SME-politik. Meddelandet innehöll en redogörelse för pågående och kommande initiativ med fokus på SME. I meddelandet identifierades fem specifika handlingsområden: främjande av företagsamhet och färdigheter; förbättrat marknadstillträde för små och medelstora företag; regelförenkling; bättre tillväxtpotential för små och medelstora företag samt förstärkt dialog och samråd med de små och medelstora företagens organisationer.</w:t>
      </w:r>
    </w:p>
    <w:p w:rsidR="006D3507" w:rsidRPr="00A100E4" w:rsidRDefault="006D3507" w:rsidP="006D3507">
      <w:pPr>
        <w:pStyle w:val="RKnormal"/>
      </w:pPr>
      <w:r w:rsidRPr="00A100E4">
        <w:t>Kommissionen gör nu en uppföljning av meddelandet och vad som skett i medlemsstaterna och ska presentera ett meddelande om detta i oktober. Vid rådsmötet avser kommissionen att rapportera om arbetet med uppföljningen. Ärendet har inte diskuterats i EU-nämnden tidigare.</w:t>
      </w:r>
    </w:p>
    <w:p w:rsidR="006D3507" w:rsidRPr="00A100E4" w:rsidRDefault="006D3507" w:rsidP="006D3507">
      <w:pPr>
        <w:pStyle w:val="RKnormal"/>
      </w:pPr>
      <w:r w:rsidRPr="00A100E4">
        <w:rPr>
          <w:u w:val="single"/>
        </w:rPr>
        <w:t>Förslag till svensk ståndpunkt</w:t>
      </w:r>
      <w:r w:rsidRPr="00A100E4">
        <w:t>: SE välkomnar att kommissionen gör en halvtidsöversyn av SME-politiken och avvaktar ytterligare information.</w:t>
      </w:r>
    </w:p>
    <w:p w:rsidR="006D3507" w:rsidRPr="00A100E4" w:rsidRDefault="006D3507" w:rsidP="006D3507">
      <w:pPr>
        <w:pStyle w:val="RKnormal"/>
      </w:pPr>
    </w:p>
    <w:p w:rsidR="006D3507" w:rsidRPr="00A100E4" w:rsidRDefault="006D3507" w:rsidP="006D3507">
      <w:pPr>
        <w:pStyle w:val="RKnormal"/>
      </w:pPr>
      <w:r w:rsidRPr="00A100E4">
        <w:rPr>
          <w:i/>
        </w:rPr>
        <w:t>Se vidare PM till riksdagen</w:t>
      </w:r>
      <w:r w:rsidRPr="00A100E4">
        <w:t xml:space="preserve"> </w:t>
      </w:r>
    </w:p>
    <w:p w:rsidR="00E32AA5" w:rsidRPr="00A100E4" w:rsidRDefault="00E32AA5" w:rsidP="006D3507">
      <w:pPr>
        <w:pStyle w:val="RKnormal"/>
      </w:pPr>
    </w:p>
    <w:p w:rsidR="00E32AA5" w:rsidRPr="00A100E4" w:rsidRDefault="00E32AA5" w:rsidP="00E32AA5">
      <w:pPr>
        <w:rPr>
          <w:b/>
        </w:rPr>
      </w:pPr>
      <w:r w:rsidRPr="00A100E4">
        <w:rPr>
          <w:b/>
        </w:rPr>
        <w:t>Dp 4. Förslag till rådets beslut om samarbetsprojektet Innovative Medicine Initiative  (IMI)</w:t>
      </w:r>
    </w:p>
    <w:p w:rsidR="00E32AA5" w:rsidRPr="00A100E4" w:rsidRDefault="00E32AA5" w:rsidP="00E32AA5">
      <w:pPr>
        <w:ind w:left="708" w:hanging="708"/>
        <w:rPr>
          <w:b/>
          <w:color w:val="FF0000"/>
        </w:rPr>
      </w:pPr>
    </w:p>
    <w:p w:rsidR="00E32AA5" w:rsidRPr="00A100E4" w:rsidRDefault="00E32AA5" w:rsidP="00E32AA5">
      <w:pPr>
        <w:ind w:left="708" w:hanging="708"/>
        <w:rPr>
          <w:i/>
        </w:rPr>
      </w:pPr>
      <w:r w:rsidRPr="00A100E4">
        <w:rPr>
          <w:b/>
        </w:rPr>
        <w:tab/>
      </w:r>
      <w:r w:rsidRPr="00A100E4">
        <w:rPr>
          <w:i/>
        </w:rPr>
        <w:t>- Lägesrapport</w:t>
      </w:r>
    </w:p>
    <w:p w:rsidR="00E32AA5" w:rsidRPr="00A100E4" w:rsidRDefault="00E32AA5" w:rsidP="00E32AA5">
      <w:pPr>
        <w:ind w:left="708" w:hanging="708"/>
        <w:rPr>
          <w:i/>
        </w:rPr>
      </w:pPr>
      <w:r w:rsidRPr="00A100E4">
        <w:rPr>
          <w:i/>
        </w:rPr>
        <w:tab/>
        <w:t>- Diskussion</w:t>
      </w:r>
    </w:p>
    <w:p w:rsidR="00E32AA5" w:rsidRPr="00A100E4" w:rsidRDefault="00E32AA5" w:rsidP="00E32AA5">
      <w:pPr>
        <w:pStyle w:val="RKnormal"/>
        <w:rPr>
          <w:u w:val="single"/>
        </w:rPr>
      </w:pPr>
    </w:p>
    <w:p w:rsidR="00E32AA5" w:rsidRPr="00A100E4" w:rsidRDefault="00E32AA5" w:rsidP="00E32AA5">
      <w:pPr>
        <w:pStyle w:val="RKnormal"/>
      </w:pPr>
      <w:r w:rsidRPr="00A100E4">
        <w:t>Innovative Medicines Initiative (IMI) syftar till att identifiera och på sikt undanröja flaskhalsar i europeisk läkemedels</w:t>
      </w:r>
      <w:r w:rsidRPr="00A100E4">
        <w:softHyphen/>
        <w:t>utveckling. Målet är att få Europas läkemedelsindustri att bli världsledande och att snabbare få fram nya, säkra och innovativa läkemedel till Europas medborgare. IMI ska stödja FoU och inrättas i form av ett gemensamt företag som omfattar EG, företrätt av kommissionen, och den europeiska läkemedels</w:t>
      </w:r>
      <w:r w:rsidRPr="00A100E4">
        <w:softHyphen/>
        <w:t xml:space="preserve">branschorganisationen EFPIA. Den totala budgeten är 2 miljarder euro, varav hälften finansieras från sjunde ramprogrammet och den andra hälften kommer från EFPIA och dess medlemmar. Organisationen består av en styrelse, ett verkställande kontoret och en vetenskapliga kommitté. IMI ska verka t o m den 31 december 2017 och föreslås ha sitt säte i Bryssel. </w:t>
      </w:r>
      <w:r w:rsidR="001842C5" w:rsidRPr="00A100E4">
        <w:t xml:space="preserve"> </w:t>
      </w:r>
      <w:r w:rsidRPr="00A100E4">
        <w:t xml:space="preserve">På rådsmötet ska ordförandeskapet presentera en lägesrapport om arbetet med att inrätta IMI. Medlemsländerna ges också möjlighet att diskutera initiativet. Inget formellt beslut ska fattas. IMI har behandlats av EU-nämnden 16 maj 2007. </w:t>
      </w:r>
    </w:p>
    <w:p w:rsidR="00E32AA5" w:rsidRPr="00A100E4" w:rsidRDefault="00E32AA5" w:rsidP="00E32AA5">
      <w:pPr>
        <w:pStyle w:val="RKnormal"/>
      </w:pPr>
      <w:r w:rsidRPr="00A100E4">
        <w:rPr>
          <w:u w:val="single"/>
        </w:rPr>
        <w:t>Förslag till svensk ståndpunkt:</w:t>
      </w:r>
      <w:r w:rsidRPr="00A100E4">
        <w:t xml:space="preserve"> Läkemedelsutveckling är ett viktigt område för Sverige och svenska aktörer har bidragit i utformningen av IMI. </w:t>
      </w:r>
      <w:r w:rsidRPr="00A100E4">
        <w:rPr>
          <w:rFonts w:ascii="Times New Roman" w:hAnsi="Times New Roman"/>
        </w:rPr>
        <w:t xml:space="preserve">SE är </w:t>
      </w:r>
      <w:r w:rsidRPr="00A100E4">
        <w:t>positivt inställd till IMI.</w:t>
      </w:r>
    </w:p>
    <w:p w:rsidR="00C44516" w:rsidRPr="00A100E4" w:rsidRDefault="00C44516" w:rsidP="00E32AA5">
      <w:pPr>
        <w:pStyle w:val="RKnormal"/>
      </w:pPr>
    </w:p>
    <w:p w:rsidR="00C44516" w:rsidRPr="00A100E4" w:rsidRDefault="00C44516" w:rsidP="00E32AA5">
      <w:pPr>
        <w:pStyle w:val="RKnormal"/>
        <w:rPr>
          <w:i/>
        </w:rPr>
      </w:pPr>
      <w:r w:rsidRPr="00A100E4">
        <w:rPr>
          <w:i/>
        </w:rPr>
        <w:t>Se vidare PM till riksdagen</w:t>
      </w:r>
    </w:p>
    <w:p w:rsidR="00E32AA5" w:rsidRPr="00A100E4" w:rsidRDefault="00E32AA5" w:rsidP="00E32AA5">
      <w:pPr>
        <w:pStyle w:val="RKnormal"/>
      </w:pPr>
    </w:p>
    <w:p w:rsidR="00C44516" w:rsidRPr="00A100E4" w:rsidRDefault="00C44516" w:rsidP="00C44516">
      <w:pPr>
        <w:rPr>
          <w:b/>
        </w:rPr>
      </w:pPr>
      <w:r w:rsidRPr="00A100E4">
        <w:rPr>
          <w:b/>
        </w:rPr>
        <w:t>5. Förslag till rådets förordning om att inrätta samarbetsprojektet Artemis</w:t>
      </w:r>
    </w:p>
    <w:p w:rsidR="00C44516" w:rsidRPr="00A100E4" w:rsidRDefault="00C44516" w:rsidP="00C44516">
      <w:pPr>
        <w:ind w:left="708" w:hanging="708"/>
        <w:rPr>
          <w:i/>
        </w:rPr>
      </w:pPr>
      <w:r w:rsidRPr="00A100E4">
        <w:rPr>
          <w:i/>
        </w:rPr>
        <w:t>- Lägesrapport</w:t>
      </w:r>
    </w:p>
    <w:p w:rsidR="00C44516" w:rsidRPr="00A100E4" w:rsidRDefault="00C44516" w:rsidP="00C44516">
      <w:pPr>
        <w:ind w:left="708" w:hanging="708"/>
        <w:rPr>
          <w:i/>
        </w:rPr>
      </w:pPr>
      <w:r w:rsidRPr="00A100E4">
        <w:rPr>
          <w:i/>
        </w:rPr>
        <w:t>- Diskussion</w:t>
      </w:r>
    </w:p>
    <w:p w:rsidR="00C44516" w:rsidRPr="00A100E4" w:rsidRDefault="00C44516" w:rsidP="00C44516">
      <w:pPr>
        <w:ind w:left="708" w:hanging="708"/>
        <w:rPr>
          <w:b/>
          <w:color w:val="FF0000"/>
        </w:rPr>
      </w:pPr>
    </w:p>
    <w:p w:rsidR="00C44516" w:rsidRPr="00A100E4" w:rsidRDefault="00C44516" w:rsidP="00C44516">
      <w:pPr>
        <w:pStyle w:val="RKnormal"/>
      </w:pPr>
      <w:r w:rsidRPr="00A100E4">
        <w:t>Förslaget om Artemis presenterades av KOM vid konkurrenskraftsrådets möte den 25 juni 2007.</w:t>
      </w:r>
      <w:r w:rsidR="000C07D3" w:rsidRPr="00A100E4">
        <w:t xml:space="preserve"> Behandlades av EU nämnden 16 maj.</w:t>
      </w:r>
      <w:r w:rsidRPr="00A100E4">
        <w:t xml:space="preserve">Artemis är ett av sex så kallade Joint Technology Inititaives (JTI:s) och är tänkt att löpa fram till år 2018. Joint Technology Initiatives (JTI) är en ny form av långsiktiga offentliga-privata partnerskap inom industriellt inriktad forskning och utveckling. De är en del av EU:s sjunde ramprogram för forskning, teknisk utveckling och demonstration. </w:t>
      </w:r>
      <w:r w:rsidRPr="00A100E4">
        <w:rPr>
          <w:lang w:eastAsia="sv-SE"/>
        </w:rPr>
        <w:t xml:space="preserve">Artemis ska samla den europeiska forskningen om inbyggda datorsystem (embedded computing systems), som får allt större betydelse för många nyckelbranscher. </w:t>
      </w:r>
      <w:r w:rsidRPr="00A100E4">
        <w:t>På rådet diskuteras förslaget om att inrätta Artemis. Punkten är inte föremål för beslut.</w:t>
      </w:r>
      <w:r w:rsidR="000C07D3" w:rsidRPr="00A100E4">
        <w:t xml:space="preserve"> </w:t>
      </w:r>
    </w:p>
    <w:p w:rsidR="00C44516" w:rsidRPr="00A100E4" w:rsidRDefault="00C44516" w:rsidP="00C44516">
      <w:pPr>
        <w:pStyle w:val="RKnormal"/>
      </w:pPr>
      <w:r w:rsidRPr="00A100E4">
        <w:rPr>
          <w:u w:val="single"/>
        </w:rPr>
        <w:t>Förslag till svensk ståndpunkt:</w:t>
      </w:r>
      <w:r w:rsidRPr="00A100E4">
        <w:t xml:space="preserve"> Sverige är generellt positivt inställd till Joint Technology Initiatives. </w:t>
      </w:r>
      <w:r w:rsidRPr="00A100E4">
        <w:rPr>
          <w:lang w:eastAsia="sv-SE"/>
        </w:rPr>
        <w:t xml:space="preserve">Forskning om inbyggda datorsystem </w:t>
      </w:r>
      <w:r w:rsidRPr="00A100E4">
        <w:t>är ett viktigt område för Sverige. Sverige välkomnar därför förslaget om Artemis.</w:t>
      </w:r>
    </w:p>
    <w:p w:rsidR="001842C5" w:rsidRPr="00A100E4" w:rsidRDefault="001842C5" w:rsidP="00C44516">
      <w:pPr>
        <w:pStyle w:val="RKnormal"/>
      </w:pPr>
    </w:p>
    <w:p w:rsidR="00C44516" w:rsidRPr="00A100E4" w:rsidRDefault="00C44516" w:rsidP="00C44516">
      <w:pPr>
        <w:pStyle w:val="RKnormal"/>
        <w:rPr>
          <w:i/>
        </w:rPr>
      </w:pPr>
      <w:r w:rsidRPr="00A100E4">
        <w:rPr>
          <w:i/>
        </w:rPr>
        <w:t>Se vidare PM till riksdagen</w:t>
      </w:r>
    </w:p>
    <w:p w:rsidR="001842C5" w:rsidRPr="00A100E4" w:rsidRDefault="001842C5" w:rsidP="00C44516">
      <w:pPr>
        <w:pStyle w:val="RKnormal"/>
        <w:rPr>
          <w:i/>
        </w:rPr>
      </w:pPr>
    </w:p>
    <w:p w:rsidR="00786C57" w:rsidRPr="00A100E4" w:rsidRDefault="008A2883" w:rsidP="008A2883">
      <w:pPr>
        <w:pStyle w:val="Par-number1"/>
        <w:numPr>
          <w:ilvl w:val="0"/>
          <w:numId w:val="0"/>
        </w:numPr>
        <w:spacing w:line="240" w:lineRule="auto"/>
        <w:ind w:left="119"/>
        <w:rPr>
          <w:b/>
          <w:lang w:val="sv-SE"/>
        </w:rPr>
      </w:pPr>
      <w:r w:rsidRPr="00A100E4">
        <w:rPr>
          <w:b/>
          <w:lang w:val="sv-SE"/>
        </w:rPr>
        <w:t>6. Förslag till rådets beslut ang. “</w:t>
      </w:r>
      <w:r w:rsidR="00786C57" w:rsidRPr="00A100E4">
        <w:rPr>
          <w:b/>
          <w:lang w:val="sv-SE"/>
        </w:rPr>
        <w:t>Joint Technology Initiative: Aeronautics and Air Transport</w:t>
      </w:r>
      <w:r w:rsidRPr="00A100E4">
        <w:rPr>
          <w:b/>
          <w:lang w:val="sv-SE"/>
        </w:rPr>
        <w:t>”</w:t>
      </w:r>
      <w:r w:rsidR="00786C57" w:rsidRPr="00A100E4">
        <w:rPr>
          <w:b/>
          <w:lang w:val="sv-SE"/>
        </w:rPr>
        <w:t xml:space="preserve"> (Clean Sky) </w:t>
      </w:r>
    </w:p>
    <w:p w:rsidR="00786C57" w:rsidRPr="00A100E4" w:rsidRDefault="008A2883" w:rsidP="00786C57">
      <w:pPr>
        <w:pStyle w:val="Par-dash"/>
        <w:rPr>
          <w:lang w:val="sv-SE"/>
        </w:rPr>
      </w:pPr>
      <w:r w:rsidRPr="00A100E4">
        <w:rPr>
          <w:lang w:val="sv-SE"/>
        </w:rPr>
        <w:t>Lägesrapport</w:t>
      </w:r>
    </w:p>
    <w:p w:rsidR="00786C57" w:rsidRPr="00A100E4" w:rsidRDefault="0023427B" w:rsidP="00786C57">
      <w:pPr>
        <w:pStyle w:val="Par-dash"/>
        <w:rPr>
          <w:lang w:val="sv-SE"/>
        </w:rPr>
      </w:pPr>
      <w:r w:rsidRPr="00A100E4">
        <w:rPr>
          <w:lang w:val="sv-SE"/>
        </w:rPr>
        <w:t>Diskussion</w:t>
      </w:r>
    </w:p>
    <w:p w:rsidR="00786C57" w:rsidRPr="00A100E4" w:rsidRDefault="00786C57" w:rsidP="00786C57">
      <w:pPr>
        <w:rPr>
          <w:lang w:eastAsia="fr-BE"/>
        </w:rPr>
      </w:pPr>
    </w:p>
    <w:p w:rsidR="004D0E3F" w:rsidRPr="00A100E4" w:rsidRDefault="00786C57" w:rsidP="004D0E3F">
      <w:pPr>
        <w:pStyle w:val="RKnormal"/>
      </w:pPr>
      <w:r w:rsidRPr="00A100E4">
        <w:t xml:space="preserve">Det gemensamma teknologiinitiativet “Clean Sky” inom EU:s 7:e ramprogram för forskning och utveckling syftar till att demonstrera de teknologiska genombrott som är nödvändiga för att klara flygtrafikens miljöutmaningar. Programmet uppgår till ca 800 miljoner Euro från kommissionen och lika mycket från industrin. Svensk flygindustri är väl positionerad inför arbetet. Konkurrenskraftsrådet förväntas i november 2007 att ta beslut om att bilda ett “The Clean Sky Joint Undertaking”. </w:t>
      </w:r>
      <w:r w:rsidR="004D0E3F" w:rsidRPr="00A100E4">
        <w:t>Förslaget presenterades av KOM vid konkurrenskraftsrådets möte den 25 juni 2007. Behandlades av EU nämnden 16 maj.</w:t>
      </w:r>
    </w:p>
    <w:p w:rsidR="00786C57" w:rsidRPr="00A100E4" w:rsidRDefault="00786C57" w:rsidP="00786C57"/>
    <w:p w:rsidR="00786C57" w:rsidRPr="00A100E4" w:rsidRDefault="00786C57" w:rsidP="00786C57">
      <w:r w:rsidRPr="00A100E4">
        <w:rPr>
          <w:u w:val="single"/>
        </w:rPr>
        <w:t>Förslag till svensk ståndpunkt</w:t>
      </w:r>
      <w:r w:rsidRPr="00A100E4">
        <w:t>: Regeringen är positivt inställd till detta teknologiinitiativ och välkomnar förslaget.</w:t>
      </w:r>
    </w:p>
    <w:p w:rsidR="00786C57" w:rsidRPr="00A100E4" w:rsidRDefault="00786C57" w:rsidP="00786C57"/>
    <w:p w:rsidR="00786C57" w:rsidRPr="00A100E4" w:rsidRDefault="00786C57" w:rsidP="00786C57">
      <w:pPr>
        <w:rPr>
          <w:i/>
        </w:rPr>
      </w:pPr>
      <w:r w:rsidRPr="00A100E4">
        <w:rPr>
          <w:i/>
        </w:rPr>
        <w:t>Se vidare PM till riksdagen</w:t>
      </w:r>
    </w:p>
    <w:p w:rsidR="00786C57" w:rsidRPr="00A100E4" w:rsidRDefault="00786C57" w:rsidP="00786C57">
      <w:pPr>
        <w:rPr>
          <w:lang w:eastAsia="fr-BE"/>
        </w:rPr>
      </w:pPr>
    </w:p>
    <w:p w:rsidR="000C07D3" w:rsidRPr="00A100E4" w:rsidRDefault="000C07D3" w:rsidP="000C07D3">
      <w:pPr>
        <w:rPr>
          <w:b/>
        </w:rPr>
      </w:pPr>
      <w:r w:rsidRPr="00A100E4">
        <w:rPr>
          <w:b/>
        </w:rPr>
        <w:t>7. Förslag till rådets förordning om att inrätta samarbetsprojektet ENIAC</w:t>
      </w:r>
    </w:p>
    <w:p w:rsidR="000C07D3" w:rsidRPr="00A100E4" w:rsidRDefault="000C07D3" w:rsidP="000C07D3">
      <w:pPr>
        <w:ind w:left="708" w:hanging="708"/>
        <w:rPr>
          <w:i/>
        </w:rPr>
      </w:pPr>
      <w:r w:rsidRPr="00A100E4">
        <w:rPr>
          <w:i/>
        </w:rPr>
        <w:tab/>
        <w:t>- Lägesrapport</w:t>
      </w:r>
    </w:p>
    <w:p w:rsidR="000C07D3" w:rsidRPr="00A100E4" w:rsidRDefault="000C07D3" w:rsidP="000C07D3">
      <w:pPr>
        <w:ind w:left="708" w:hanging="708"/>
        <w:rPr>
          <w:i/>
        </w:rPr>
      </w:pPr>
      <w:r w:rsidRPr="00A100E4">
        <w:rPr>
          <w:i/>
        </w:rPr>
        <w:tab/>
        <w:t>- Diskussion</w:t>
      </w:r>
    </w:p>
    <w:p w:rsidR="000C07D3" w:rsidRPr="00A100E4" w:rsidRDefault="000C07D3" w:rsidP="000C07D3">
      <w:pPr>
        <w:pStyle w:val="RKnormal"/>
      </w:pPr>
    </w:p>
    <w:p w:rsidR="000C07D3" w:rsidRPr="00A100E4" w:rsidRDefault="000C07D3" w:rsidP="000C07D3">
      <w:pPr>
        <w:pStyle w:val="RKnormal"/>
      </w:pPr>
      <w:r w:rsidRPr="00A100E4">
        <w:t xml:space="preserve">ENIAC togs upp för första gången som en presentationspunkt på Konkurrenskraftsrådets möte den 25 juni 2007. Behandlades av EU nämnden 16 maj.ENIAC är ett av sex så kallade Joint Technology Inititaives (JTI:s). Joint Technology Initiatives (JTI) är en ny form av långsiktiga offentliga-privata partnerskap inom industriellt inriktad forskning och utveckling. De är en del av EU:s sjunde ramprogram för forskning, teknisk utveckling och demonstration. </w:t>
      </w:r>
      <w:r w:rsidRPr="00A100E4">
        <w:rPr>
          <w:lang w:eastAsia="sv-SE"/>
        </w:rPr>
        <w:t xml:space="preserve">ENIAC </w:t>
      </w:r>
      <w:r w:rsidRPr="00A100E4">
        <w:t>syftar till att utveckla nyckelteknologi inom elektronik, som bas för innovation inom en rad olika sektorer. På rådet förväntas kommissionen presentera ett förslag till mål, organisation och resurser för ENIAC. Punkten är inte föremål för beslut på rådsmötet utan är endast en informationspunkt.</w:t>
      </w:r>
    </w:p>
    <w:p w:rsidR="000C07D3" w:rsidRPr="00A100E4" w:rsidRDefault="000C07D3" w:rsidP="000C07D3">
      <w:pPr>
        <w:pStyle w:val="RKnormal"/>
        <w:rPr>
          <w:u w:val="single"/>
        </w:rPr>
      </w:pPr>
    </w:p>
    <w:p w:rsidR="000C07D3" w:rsidRPr="00A100E4" w:rsidRDefault="000C07D3" w:rsidP="000C07D3">
      <w:pPr>
        <w:pStyle w:val="RKnormal"/>
      </w:pPr>
      <w:r w:rsidRPr="00A100E4">
        <w:rPr>
          <w:u w:val="single"/>
        </w:rPr>
        <w:t>Förslag till svensk ståndpunkt:</w:t>
      </w:r>
      <w:r w:rsidRPr="00A100E4">
        <w:t xml:space="preserve"> Sverige är generellt positivt inställd till Joint Technology Initiatives och europeisk f</w:t>
      </w:r>
      <w:r w:rsidRPr="00A100E4">
        <w:rPr>
          <w:lang w:eastAsia="sv-SE"/>
        </w:rPr>
        <w:t xml:space="preserve">orskning inom nanoelektronik </w:t>
      </w:r>
      <w:r w:rsidRPr="00A100E4">
        <w:t>är ett viktigt område för Sverige. Sverige välkomnar att kommissionen lägger fram förslaget om ENIAC och ser fram emot fortsatta diskussioner om förslaget.</w:t>
      </w:r>
    </w:p>
    <w:p w:rsidR="000C07D3" w:rsidRPr="00A100E4" w:rsidRDefault="000C07D3" w:rsidP="000C07D3">
      <w:pPr>
        <w:pStyle w:val="RKnormal"/>
      </w:pPr>
    </w:p>
    <w:p w:rsidR="000C07D3" w:rsidRPr="00A100E4" w:rsidRDefault="000C07D3" w:rsidP="000C07D3">
      <w:pPr>
        <w:pStyle w:val="RKnormal"/>
        <w:rPr>
          <w:i/>
        </w:rPr>
      </w:pPr>
      <w:r w:rsidRPr="00A100E4">
        <w:rPr>
          <w:i/>
        </w:rPr>
        <w:t>Se vidare PM till riksdagen</w:t>
      </w:r>
    </w:p>
    <w:p w:rsidR="000C07D3" w:rsidRPr="00A100E4" w:rsidRDefault="000C07D3" w:rsidP="000C07D3">
      <w:pPr>
        <w:pStyle w:val="RKnormal"/>
      </w:pPr>
    </w:p>
    <w:p w:rsidR="00CA42DD" w:rsidRPr="00A100E4" w:rsidRDefault="00CA42DD" w:rsidP="00CA42DD">
      <w:pPr>
        <w:ind w:left="708" w:hanging="708"/>
        <w:rPr>
          <w:b/>
        </w:rPr>
      </w:pPr>
      <w:r w:rsidRPr="00A100E4">
        <w:rPr>
          <w:b/>
        </w:rPr>
        <w:t>8.</w:t>
      </w:r>
      <w:r w:rsidRPr="00A100E4">
        <w:rPr>
          <w:b/>
        </w:rPr>
        <w:tab/>
        <w:t>Förslag till Europaparlamentets och rådets beslut om ett initiativ enligt art. 169 i EG-fördraget (Ambient Assisted Living)</w:t>
      </w:r>
    </w:p>
    <w:p w:rsidR="00CA42DD" w:rsidRPr="00A100E4" w:rsidRDefault="00CA42DD" w:rsidP="00CA42DD">
      <w:pPr>
        <w:ind w:firstLine="567"/>
        <w:rPr>
          <w:i/>
        </w:rPr>
      </w:pPr>
      <w:r w:rsidRPr="00A100E4">
        <w:rPr>
          <w:i/>
        </w:rPr>
        <w:t xml:space="preserve"> -  Lägesrapport  </w:t>
      </w:r>
    </w:p>
    <w:p w:rsidR="00CA42DD" w:rsidRPr="00A100E4" w:rsidRDefault="00CA42DD" w:rsidP="00CA42DD">
      <w:pPr>
        <w:ind w:firstLine="567"/>
        <w:rPr>
          <w:b/>
          <w:i/>
          <w:color w:val="FF0000"/>
        </w:rPr>
      </w:pPr>
      <w:r w:rsidRPr="00A100E4">
        <w:rPr>
          <w:i/>
        </w:rPr>
        <w:t xml:space="preserve"> - Diskussion</w:t>
      </w:r>
    </w:p>
    <w:p w:rsidR="00CA42DD" w:rsidRPr="00A100E4" w:rsidRDefault="00CA42DD" w:rsidP="00CA42DD"/>
    <w:p w:rsidR="00CA42DD" w:rsidRPr="00A100E4" w:rsidRDefault="00CA42DD" w:rsidP="00CA42DD">
      <w:pPr>
        <w:pStyle w:val="RKnormal"/>
      </w:pPr>
      <w:r w:rsidRPr="00A100E4">
        <w:t>Artikel 169 i fördraget säger att kommissionen genom ramprogrammet för forskning och utveckling (FP7) kan medfinansiera program som flera medlemsländer driver. Tanken är att intresserade medlemsländer förbinder sig att avsätta vissa budgetmedel inom ett särskilt område och att kommissionen då gör detsamma. Kommissionen planerar att gå fram med fyra sådana förslag, varav Ambient Assistent Living (AAL) for the Ageing Society är ett av dessa.</w:t>
      </w:r>
    </w:p>
    <w:p w:rsidR="00CA42DD" w:rsidRPr="00A100E4" w:rsidRDefault="00CA42DD" w:rsidP="00CA42DD">
      <w:pPr>
        <w:pStyle w:val="RKnormal"/>
      </w:pPr>
    </w:p>
    <w:p w:rsidR="00CA42DD" w:rsidRPr="00A100E4" w:rsidRDefault="00CA42DD" w:rsidP="00CA42DD">
      <w:pPr>
        <w:pStyle w:val="RKnormal"/>
        <w:rPr>
          <w:rFonts w:ascii="Garamond" w:hAnsi="Garamond" w:cs="Garamond"/>
          <w:sz w:val="20"/>
        </w:rPr>
      </w:pPr>
      <w:r w:rsidRPr="00A100E4">
        <w:t xml:space="preserve">AAL syftar till att höja äldre och funktionshindrade personers livskvalitet i deras hem- och arbetsmiljö. Detta ökar deras självständighet och  deltagande i samhället i arbetslivet, samtidigt som det reducerar kostnader för hälso- och sjukvården. Programmet riktar sig främst till att möta behoven hos äldre och funktionshindrade liksom behoven hos deras familjer och vårdgivare. </w:t>
      </w:r>
      <w:r w:rsidRPr="00A100E4">
        <w:rPr>
          <w:szCs w:val="24"/>
        </w:rPr>
        <w:t>Sverige kommer att delta i initiativet genom Vinnova, som kontinuerligt har deltagit i planeringen av AAL.</w:t>
      </w:r>
    </w:p>
    <w:p w:rsidR="00CA42DD" w:rsidRPr="00A100E4" w:rsidRDefault="00CA42DD" w:rsidP="00CA42DD">
      <w:pPr>
        <w:pStyle w:val="RKnormal"/>
      </w:pPr>
      <w:r w:rsidRPr="00A100E4">
        <w:t>Frågan har tidigare behandlats i EU-nämnden den 16 maj 2007 och 16 juni 2007.</w:t>
      </w:r>
    </w:p>
    <w:p w:rsidR="00CA42DD" w:rsidRPr="00A100E4" w:rsidRDefault="00CA42DD" w:rsidP="00CA42DD">
      <w:pPr>
        <w:pStyle w:val="RKnormal"/>
      </w:pPr>
      <w:r w:rsidRPr="00A100E4">
        <w:rPr>
          <w:u w:val="single"/>
        </w:rPr>
        <w:t>Förslag till svensk ståndpunkt:</w:t>
      </w:r>
      <w:r w:rsidRPr="00A100E4">
        <w:t xml:space="preserve"> Sverige välkomnar förslaget.</w:t>
      </w:r>
    </w:p>
    <w:p w:rsidR="00CA42DD" w:rsidRPr="00A100E4" w:rsidRDefault="00CA42DD" w:rsidP="00CA42DD">
      <w:pPr>
        <w:pStyle w:val="RKnormal"/>
      </w:pPr>
    </w:p>
    <w:p w:rsidR="00CA42DD" w:rsidRPr="00A100E4" w:rsidRDefault="00CA42DD" w:rsidP="00CA42DD">
      <w:pPr>
        <w:pStyle w:val="RKnormal"/>
        <w:rPr>
          <w:i/>
        </w:rPr>
      </w:pPr>
      <w:r w:rsidRPr="00A100E4">
        <w:rPr>
          <w:i/>
        </w:rPr>
        <w:t>Se vidare PM till riksdagen</w:t>
      </w:r>
    </w:p>
    <w:p w:rsidR="006D3507" w:rsidRPr="00A100E4" w:rsidRDefault="006D3507" w:rsidP="00E81EB7">
      <w:pPr>
        <w:pStyle w:val="RKnormal"/>
        <w:rPr>
          <w:b/>
          <w:bCs/>
          <w:i/>
          <w:color w:val="FF0000"/>
        </w:rPr>
      </w:pPr>
    </w:p>
    <w:p w:rsidR="0039231F" w:rsidRPr="00A100E4" w:rsidRDefault="0039231F" w:rsidP="00E81EB7">
      <w:pPr>
        <w:pStyle w:val="RKnormal"/>
        <w:rPr>
          <w:b/>
          <w:bCs/>
        </w:rPr>
      </w:pPr>
      <w:r w:rsidRPr="00A100E4">
        <w:rPr>
          <w:b/>
          <w:bCs/>
        </w:rPr>
        <w:t xml:space="preserve">9. Övrigt </w:t>
      </w:r>
    </w:p>
    <w:p w:rsidR="0039231F" w:rsidRPr="00A100E4" w:rsidRDefault="0039231F" w:rsidP="00E81EB7">
      <w:pPr>
        <w:pStyle w:val="RKnormal"/>
        <w:rPr>
          <w:b/>
          <w:bCs/>
        </w:rPr>
      </w:pPr>
    </w:p>
    <w:p w:rsidR="00387B0C" w:rsidRPr="00A100E4" w:rsidRDefault="0039231F" w:rsidP="0039231F">
      <w:pPr>
        <w:ind w:left="708" w:hanging="708"/>
        <w:rPr>
          <w:b/>
          <w:i/>
        </w:rPr>
      </w:pPr>
      <w:r w:rsidRPr="00A100E4">
        <w:rPr>
          <w:b/>
          <w:bCs/>
        </w:rPr>
        <w:t xml:space="preserve">a) </w:t>
      </w:r>
      <w:r w:rsidR="00387B0C" w:rsidRPr="00A100E4">
        <w:rPr>
          <w:b/>
          <w:bCs/>
        </w:rPr>
        <w:t xml:space="preserve">Förslag till förordning av Europaparlamentet och rådet </w:t>
      </w:r>
      <w:r w:rsidR="006B4872" w:rsidRPr="00A100E4">
        <w:rPr>
          <w:b/>
        </w:rPr>
        <w:t xml:space="preserve">att etablera </w:t>
      </w:r>
      <w:r w:rsidR="00387B0C" w:rsidRPr="00A100E4">
        <w:rPr>
          <w:b/>
        </w:rPr>
        <w:t xml:space="preserve">det Europeiska Teknologiinstitutet </w:t>
      </w:r>
      <w:r w:rsidRPr="00A100E4">
        <w:rPr>
          <w:b/>
        </w:rPr>
        <w:tab/>
      </w:r>
      <w:r w:rsidRPr="00A100E4">
        <w:rPr>
          <w:b/>
        </w:rPr>
        <w:tab/>
      </w:r>
      <w:r w:rsidRPr="00A100E4">
        <w:rPr>
          <w:b/>
          <w:i/>
        </w:rPr>
        <w:tab/>
      </w:r>
    </w:p>
    <w:p w:rsidR="0039231F" w:rsidRPr="00A100E4" w:rsidRDefault="006B4872" w:rsidP="0039231F">
      <w:pPr>
        <w:ind w:left="708" w:hanging="708"/>
        <w:rPr>
          <w:i/>
        </w:rPr>
      </w:pPr>
      <w:r w:rsidRPr="00A100E4">
        <w:rPr>
          <w:i/>
        </w:rPr>
        <w:t>– Information från ordförandeskapet</w:t>
      </w:r>
      <w:r w:rsidR="0039231F" w:rsidRPr="00A100E4">
        <w:rPr>
          <w:i/>
        </w:rPr>
        <w:t xml:space="preserve"> </w:t>
      </w:r>
    </w:p>
    <w:p w:rsidR="0039231F" w:rsidRPr="00A100E4" w:rsidRDefault="0039231F" w:rsidP="0039231F"/>
    <w:p w:rsidR="0039231F" w:rsidRPr="00A100E4" w:rsidRDefault="0039231F" w:rsidP="0039231F">
      <w:pPr>
        <w:pStyle w:val="RKnormal"/>
      </w:pPr>
      <w:r w:rsidRPr="00A100E4">
        <w:t xml:space="preserve">Vid konkurrenskraftsrådet 25 juni uppnådde det tyska ordförandeskapet enighet om en allmän inriktning för EIT. Vid mötet </w:t>
      </w:r>
      <w:r w:rsidR="00387B0C" w:rsidRPr="00A100E4">
        <w:t>föreslog man från rådet v</w:t>
      </w:r>
      <w:r w:rsidRPr="00A100E4">
        <w:t>ad gäller  inriktningen på de första två kunskaps- och innovationsgemenskaper (KIC:s)</w:t>
      </w:r>
      <w:r w:rsidR="00387B0C" w:rsidRPr="00A100E4">
        <w:t xml:space="preserve"> att dessa </w:t>
      </w:r>
      <w:r w:rsidRPr="00A100E4">
        <w:t>kan ligga inom områdena förnybar energi och klimatförändringar, dock skall Governing Board avgöra. Vid rådet antogs att en bred språkregim skall gälla för officiella dokument, dock inte vetenskapliga publikationer. Majoritet uppnåddes för finansieringsnivån 308,7 Meuro under perioden 2007-13 för de KIC’s som etableras. Vid mötet kommer det portugisiska ordförandeskapet att informera om läget, bl.a. den trilog som genomfördes med Europaparlamentet 4 september.</w:t>
      </w:r>
      <w:r w:rsidR="006B4872" w:rsidRPr="00A100E4">
        <w:t xml:space="preserve"> </w:t>
      </w:r>
      <w:r w:rsidRPr="00A100E4">
        <w:t>Fråga</w:t>
      </w:r>
      <w:r w:rsidR="006B4872" w:rsidRPr="00A100E4">
        <w:t>n har behandlats i nämnden senast 16</w:t>
      </w:r>
      <w:r w:rsidRPr="00A100E4">
        <w:t xml:space="preserve"> juni 2007. </w:t>
      </w:r>
    </w:p>
    <w:p w:rsidR="00B06408" w:rsidRPr="00A100E4" w:rsidRDefault="00B06408" w:rsidP="0039231F">
      <w:pPr>
        <w:pStyle w:val="RKnormal"/>
      </w:pPr>
      <w:r w:rsidRPr="00A100E4">
        <w:rPr>
          <w:u w:val="single"/>
        </w:rPr>
        <w:t xml:space="preserve">Förslag till svensk ståndpunkt: </w:t>
      </w:r>
      <w:r w:rsidRPr="00A100E4">
        <w:t>Finns ännu inte då information väntas vid rådsmötet.</w:t>
      </w:r>
    </w:p>
    <w:p w:rsidR="00B06408" w:rsidRPr="00A100E4" w:rsidRDefault="00B06408" w:rsidP="0039231F">
      <w:pPr>
        <w:pStyle w:val="RKnormal"/>
      </w:pPr>
    </w:p>
    <w:p w:rsidR="00B06408" w:rsidRPr="00A100E4" w:rsidRDefault="00B06408" w:rsidP="00B06408">
      <w:pPr>
        <w:spacing w:line="240" w:lineRule="auto"/>
        <w:rPr>
          <w:b/>
        </w:rPr>
      </w:pPr>
      <w:r w:rsidRPr="00A100E4">
        <w:rPr>
          <w:b/>
        </w:rPr>
        <w:t>b)</w:t>
      </w:r>
      <w:r w:rsidRPr="00A100E4">
        <w:rPr>
          <w:b/>
        </w:rPr>
        <w:tab/>
        <w:t>EuroSTARS (artikel 169)</w:t>
      </w:r>
    </w:p>
    <w:p w:rsidR="00B06408" w:rsidRPr="00A100E4" w:rsidRDefault="00B06408" w:rsidP="00B06408">
      <w:pPr>
        <w:spacing w:line="240" w:lineRule="auto"/>
        <w:rPr>
          <w:i/>
        </w:rPr>
      </w:pPr>
      <w:r w:rsidRPr="00A100E4">
        <w:rPr>
          <w:i/>
        </w:rPr>
        <w:sym w:font="Symbol" w:char="F02D"/>
      </w:r>
      <w:r w:rsidRPr="00A100E4">
        <w:rPr>
          <w:i/>
        </w:rPr>
        <w:tab/>
        <w:t>Information från kommissionen</w:t>
      </w:r>
    </w:p>
    <w:p w:rsidR="00B06408" w:rsidRPr="00A100E4" w:rsidRDefault="00B06408" w:rsidP="00B06408"/>
    <w:p w:rsidR="00B06408" w:rsidRPr="00A100E4" w:rsidRDefault="00B06408" w:rsidP="00B06408">
      <w:pPr>
        <w:rPr>
          <w:szCs w:val="24"/>
        </w:rPr>
      </w:pPr>
      <w:r w:rsidRPr="00A100E4">
        <w:rPr>
          <w:szCs w:val="24"/>
        </w:rPr>
        <w:t>EuroSTARS vänder sig till innovativa småföretag som opererar på den internationella marknaden. När dessa företag söker samarbete inom EUREKA:s ram och varumärke kan de snabbt anslutas till programmet EuroSTARS. Det senare följer EUREKA:s struktur vad gäller snabba och obyråkratiska procedurer men erbjuder samtidigt starkare finansiering genom att kombinera nationella och EU-gemensamma instrument. VINNOVA, som allt sedan 2005 deltagit aktivt i planeringsprocessen av EuroSTARS, är positiv till EuroSTARS och anser att svenska småföretag kommer att gynnas programmet.</w:t>
      </w:r>
    </w:p>
    <w:p w:rsidR="00B06408" w:rsidRPr="00A100E4" w:rsidRDefault="00B06408" w:rsidP="00B06408">
      <w:pPr>
        <w:rPr>
          <w:szCs w:val="24"/>
        </w:rPr>
      </w:pPr>
    </w:p>
    <w:p w:rsidR="00B06408" w:rsidRPr="00A100E4" w:rsidRDefault="00B06408" w:rsidP="00B06408">
      <w:pPr>
        <w:rPr>
          <w:szCs w:val="24"/>
        </w:rPr>
      </w:pPr>
      <w:r w:rsidRPr="00A100E4">
        <w:rPr>
          <w:szCs w:val="24"/>
        </w:rPr>
        <w:t xml:space="preserve">KOM har ännu inte lagt sitt förslag om att formalisera EuroSTARS under Fördragets Artikel 169. Ordförandeskapets ambition synes dock vara att informera om EuroSTARS och sannolikt få till stånd ett rådsbeslut före utgången av 2007.  </w:t>
      </w:r>
    </w:p>
    <w:p w:rsidR="00B06408" w:rsidRPr="00A100E4" w:rsidRDefault="00B06408" w:rsidP="00B06408">
      <w:pPr>
        <w:pStyle w:val="RKnormal"/>
      </w:pPr>
      <w:r w:rsidRPr="00A100E4">
        <w:t>Frågan har tidigare behandlats i EU-nämnden den 16 maj 2007.</w:t>
      </w:r>
    </w:p>
    <w:p w:rsidR="00B06408" w:rsidRPr="00A100E4" w:rsidRDefault="00B06408" w:rsidP="00B06408">
      <w:pPr>
        <w:pStyle w:val="RKnormal"/>
      </w:pPr>
      <w:r w:rsidRPr="00A100E4">
        <w:rPr>
          <w:u w:val="single"/>
        </w:rPr>
        <w:t>Förslag till svensk ståndpunkt</w:t>
      </w:r>
      <w:r w:rsidRPr="00A100E4">
        <w:t>: Att ta del av informationen från KOM rörande EuroSTARS. Sverige har varit involverad i planeringen av EuroSTARS och ser fram emot att ett skarpt förslag läggs fram</w:t>
      </w:r>
    </w:p>
    <w:p w:rsidR="00B06408" w:rsidRPr="00A100E4" w:rsidRDefault="00B06408" w:rsidP="0039231F">
      <w:pPr>
        <w:pStyle w:val="RKnormal"/>
      </w:pPr>
    </w:p>
    <w:p w:rsidR="000118DA" w:rsidRPr="00A100E4" w:rsidRDefault="000118DA" w:rsidP="000118DA">
      <w:pPr>
        <w:pStyle w:val="RKnormal"/>
        <w:rPr>
          <w:b/>
        </w:rPr>
      </w:pPr>
      <w:r w:rsidRPr="00A100E4">
        <w:rPr>
          <w:b/>
        </w:rPr>
        <w:t>c) Förslag till Europaparlamentets och rådets direktiv om konsumentskydd vid vissa aspekter av tidsdelat boende, långfristiga semesterprodukter, återförsäljning och byte.</w:t>
      </w:r>
    </w:p>
    <w:p w:rsidR="000118DA" w:rsidRPr="00A100E4" w:rsidRDefault="000118DA" w:rsidP="000118DA">
      <w:pPr>
        <w:pStyle w:val="RKnormal"/>
        <w:rPr>
          <w:i/>
        </w:rPr>
      </w:pPr>
      <w:r w:rsidRPr="00A100E4">
        <w:rPr>
          <w:b/>
        </w:rPr>
        <w:t xml:space="preserve"> </w:t>
      </w:r>
      <w:r w:rsidRPr="00A100E4">
        <w:rPr>
          <w:i/>
        </w:rPr>
        <w:t>- Information från ordförandeskapet</w:t>
      </w:r>
    </w:p>
    <w:p w:rsidR="000118DA" w:rsidRPr="00A100E4" w:rsidRDefault="000118DA" w:rsidP="000118DA">
      <w:pPr>
        <w:pStyle w:val="RKnormal"/>
      </w:pPr>
    </w:p>
    <w:p w:rsidR="000118DA" w:rsidRPr="00A100E4" w:rsidRDefault="000118DA" w:rsidP="000118DA">
      <w:r w:rsidRPr="00A100E4">
        <w:t xml:space="preserve">Den 8 juni 2007 lämnade EU-kommissionen ett förslag till nytt direktiv om konsumentskydd vid vissa aspekter av tidsdelat boende, långfristiga semesterprodukter, återförsäljning och byte (KOM 2007 [303] slutlig). Förhandlingar i rådsarbetsgruppen har inletts. På rådsmötet kommer ordförandeskapet att informera om direktivförslaget. </w:t>
      </w:r>
    </w:p>
    <w:p w:rsidR="000118DA" w:rsidRPr="00A100E4" w:rsidRDefault="000118DA" w:rsidP="000118DA"/>
    <w:p w:rsidR="000118DA" w:rsidRPr="00A100E4" w:rsidRDefault="000118DA" w:rsidP="000118DA">
      <w:pPr>
        <w:pStyle w:val="RKnormal"/>
        <w:spacing w:line="240" w:lineRule="auto"/>
      </w:pPr>
      <w:r w:rsidRPr="00A100E4">
        <w:t>Direktiv</w:t>
      </w:r>
      <w:r w:rsidRPr="00A100E4">
        <w:softHyphen/>
        <w:t>för</w:t>
      </w:r>
      <w:r w:rsidRPr="00A100E4">
        <w:softHyphen/>
        <w:t>slaget syftar till att stärka konsument</w:t>
      </w:r>
      <w:r w:rsidRPr="00A100E4">
        <w:softHyphen/>
        <w:t>skyddet vid avtal om olika se</w:t>
      </w:r>
      <w:r w:rsidRPr="00A100E4">
        <w:softHyphen/>
        <w:t>mester</w:t>
      </w:r>
      <w:r w:rsidRPr="00A100E4">
        <w:softHyphen/>
        <w:t>ar</w:t>
      </w:r>
      <w:r w:rsidRPr="00A100E4">
        <w:softHyphen/>
        <w:t>rangemang, som innebär rätt för konsumenten att vid åter</w:t>
      </w:r>
      <w:r w:rsidRPr="00A100E4">
        <w:softHyphen/>
        <w:t>kom</w:t>
      </w:r>
      <w:r w:rsidRPr="00A100E4">
        <w:softHyphen/>
        <w:t>mande tillfällen tillbringa en tidsperiod i t.ex. en semesterlägen</w:t>
      </w:r>
      <w:r w:rsidRPr="00A100E4">
        <w:softHyphen/>
        <w:t>het, s.k. time</w:t>
      </w:r>
      <w:r w:rsidRPr="00A100E4">
        <w:softHyphen/>
        <w:t>share. Direktivet föreslås ersätta det nuvarande direktivet om tidsdelat bo</w:t>
      </w:r>
      <w:r w:rsidRPr="00A100E4">
        <w:softHyphen/>
        <w:t>ende från år 1994. Direktivet föreslås omfatta fler typer av semesterarrangemang, bl.a. deltagande i olika typer av bytesprogram, semesterklubbar som ger rabatter på logi och avtal om återförsäljning av tidsdelade boenden. Förslaget innebär också stärkt konsumentskydd bl.a. genom att näringsidkaren åläggs större informationsskyldighet och genom att fristen för konsumentens rätt att frånträda ett avtal om tids</w:t>
      </w:r>
      <w:r w:rsidRPr="00A100E4">
        <w:softHyphen/>
        <w:t>delat boende förlängs. Bakgrunden är att det har uppstått problem på markna</w:t>
      </w:r>
      <w:r w:rsidRPr="00A100E4">
        <w:softHyphen/>
        <w:t>den genom att en del timeshare-liknande arrangemang inte faller under di</w:t>
      </w:r>
      <w:r w:rsidRPr="00A100E4">
        <w:softHyphen/>
        <w:t>rektivets tillämp</w:t>
      </w:r>
      <w:r w:rsidRPr="00A100E4">
        <w:softHyphen/>
        <w:t>ningsom</w:t>
      </w:r>
      <w:r w:rsidRPr="00A100E4">
        <w:softHyphen/>
        <w:t>råde. Det har också uppmärk</w:t>
      </w:r>
      <w:r w:rsidRPr="00A100E4">
        <w:softHyphen/>
        <w:t>sam</w:t>
      </w:r>
      <w:r w:rsidRPr="00A100E4">
        <w:softHyphen/>
        <w:t>mats att oseriösa aktörer utformar avtalen så att de faller utanför di</w:t>
      </w:r>
      <w:r w:rsidRPr="00A100E4">
        <w:softHyphen/>
        <w:t>rekti</w:t>
      </w:r>
      <w:r w:rsidRPr="00A100E4">
        <w:softHyphen/>
        <w:t>vets tillämpnings</w:t>
      </w:r>
      <w:r w:rsidRPr="00A100E4">
        <w:softHyphen/>
        <w:t>område. En faktapromemoria har överlämnats till riksdagen.</w:t>
      </w:r>
    </w:p>
    <w:p w:rsidR="000118DA" w:rsidRPr="00A100E4" w:rsidRDefault="000118DA" w:rsidP="000118DA">
      <w:r w:rsidRPr="00A100E4">
        <w:t xml:space="preserve">Direktivförslaget har inte tidigare behandlats i EU-nämnden. </w:t>
      </w:r>
    </w:p>
    <w:p w:rsidR="000118DA" w:rsidRPr="00A100E4" w:rsidRDefault="000118DA" w:rsidP="000118DA">
      <w:r w:rsidRPr="00A100E4">
        <w:rPr>
          <w:u w:val="single"/>
        </w:rPr>
        <w:t>Förslag till svensk ståndpunkt</w:t>
      </w:r>
      <w:r w:rsidRPr="00A100E4">
        <w:t>: Sverige är positivt till åtgärder som stär</w:t>
      </w:r>
      <w:r w:rsidRPr="00A100E4">
        <w:softHyphen/>
        <w:t>ker konsumenternas skydd och väl</w:t>
      </w:r>
      <w:r w:rsidRPr="00A100E4">
        <w:softHyphen/>
        <w:t>komnar kommissionens för</w:t>
      </w:r>
      <w:r w:rsidRPr="00A100E4">
        <w:softHyphen/>
        <w:t>slag. Överlag framstår det materiella innehållet i direktivet som väl avvägt.</w:t>
      </w:r>
    </w:p>
    <w:p w:rsidR="0039231F" w:rsidRPr="00A100E4" w:rsidRDefault="0039231F" w:rsidP="00E81EB7">
      <w:pPr>
        <w:pStyle w:val="RKnormal"/>
        <w:rPr>
          <w:bCs/>
        </w:rPr>
      </w:pPr>
    </w:p>
    <w:p w:rsidR="000B18F3" w:rsidRPr="00A100E4" w:rsidRDefault="000B18F3" w:rsidP="000B18F3">
      <w:pPr>
        <w:pStyle w:val="RKnormal"/>
        <w:rPr>
          <w:b/>
        </w:rPr>
      </w:pPr>
      <w:r w:rsidRPr="00A100E4">
        <w:rPr>
          <w:b/>
        </w:rPr>
        <w:t>d) Grönbok om översynen av konsumentregelverket – resultatet av konsultationen</w:t>
      </w:r>
    </w:p>
    <w:p w:rsidR="000B18F3" w:rsidRPr="00A100E4" w:rsidRDefault="000B18F3" w:rsidP="000B18F3">
      <w:pPr>
        <w:pStyle w:val="RKnormal"/>
        <w:rPr>
          <w:i/>
        </w:rPr>
      </w:pPr>
      <w:r w:rsidRPr="00A100E4">
        <w:rPr>
          <w:i/>
        </w:rPr>
        <w:t>– Information från kommissionen</w:t>
      </w:r>
    </w:p>
    <w:p w:rsidR="000B18F3" w:rsidRPr="00A100E4" w:rsidRDefault="000B18F3" w:rsidP="000B18F3">
      <w:pPr>
        <w:pStyle w:val="RKnormal"/>
      </w:pPr>
    </w:p>
    <w:p w:rsidR="000B18F3" w:rsidRPr="00A100E4" w:rsidRDefault="000B18F3" w:rsidP="000B18F3">
      <w:r w:rsidRPr="00A100E4">
        <w:t>Kommissionen har inlett ett arbete med att se över ett antal konsumentskyddsdirektiv i syfte att uppnå ett mer tydligt och enhetligt regelverk. Översynen berör bl.a. direktiven om distansavtal, hemförsäljning, konsumentköp, oskäliga avtalsvillkor, prisinformation och paketresor. I</w:t>
      </w:r>
      <w:r w:rsidRPr="00A100E4">
        <w:rPr>
          <w:szCs w:val="24"/>
        </w:rPr>
        <w:t xml:space="preserve"> februari 2007 presenterades en grönbok om översynen av konsumentregelverket. I grönboken framförs bl.a. tanken att skapa ett </w:t>
      </w:r>
      <w:r w:rsidRPr="00A100E4">
        <w:t xml:space="preserve">horisontellt instrument som där så är lämpligt kompletteras med sektoriella rättsakter. Vid rådsmötet kommer kommissionen att berätta om resultatet av den konsultationsprocess som </w:t>
      </w:r>
      <w:r w:rsidR="00DB0338" w:rsidRPr="00A100E4">
        <w:t>inleddes genom grönboken. Grönboken</w:t>
      </w:r>
      <w:r w:rsidRPr="00A100E4">
        <w:t xml:space="preserve"> togs upp i EU-nämnden</w:t>
      </w:r>
      <w:r w:rsidR="00DB0338" w:rsidRPr="00A100E4">
        <w:t xml:space="preserve"> 16 februari 2007</w:t>
      </w:r>
      <w:r w:rsidRPr="00A100E4">
        <w:t xml:space="preserve">. </w:t>
      </w:r>
      <w:r w:rsidRPr="00A100E4">
        <w:rPr>
          <w:szCs w:val="24"/>
        </w:rPr>
        <w:t>En faktapromemoria har överlämnats till riksdagen (2006/07:FPM58) och samråd har ägt rum (2006/07:CU30).</w:t>
      </w:r>
    </w:p>
    <w:p w:rsidR="000B18F3" w:rsidRPr="00A100E4" w:rsidRDefault="000B18F3" w:rsidP="000B18F3">
      <w:pPr>
        <w:pStyle w:val="RKnormal"/>
      </w:pPr>
      <w:r w:rsidRPr="00A100E4">
        <w:rPr>
          <w:u w:val="single"/>
        </w:rPr>
        <w:t>Förslag till svensk ståndpunkt:</w:t>
      </w:r>
      <w:r w:rsidRPr="00A100E4">
        <w:t xml:space="preserve"> Sverige välkomnar ett horisontellt instrument. Sverige eftersträvar ett fullgott konsumentskydd på en hög skyddsnivå och anser att utvecklingen av den inre marknaden gynnas av så likformiga regler som möjligt.</w:t>
      </w:r>
    </w:p>
    <w:p w:rsidR="000B18F3" w:rsidRPr="00A100E4" w:rsidRDefault="000B18F3" w:rsidP="000B18F3">
      <w:pPr>
        <w:pStyle w:val="RKnormal"/>
      </w:pPr>
    </w:p>
    <w:p w:rsidR="000B18F3" w:rsidRPr="00A100E4" w:rsidRDefault="000B18F3" w:rsidP="000B18F3">
      <w:pPr>
        <w:pStyle w:val="RKnormal"/>
        <w:rPr>
          <w:b/>
        </w:rPr>
      </w:pPr>
      <w:r w:rsidRPr="00A100E4">
        <w:rPr>
          <w:b/>
        </w:rPr>
        <w:t>e) Uppföljning av informella konkurrenskraftsrådet i Lissabon 19-20 juli 2007.</w:t>
      </w:r>
    </w:p>
    <w:p w:rsidR="000B18F3" w:rsidRPr="00A100E4" w:rsidRDefault="000B18F3" w:rsidP="000B18F3">
      <w:pPr>
        <w:pStyle w:val="RKnormal"/>
        <w:rPr>
          <w:i/>
        </w:rPr>
      </w:pPr>
      <w:r w:rsidRPr="00A100E4">
        <w:rPr>
          <w:i/>
        </w:rPr>
        <w:t>- Information från ordförandeskapet.</w:t>
      </w:r>
    </w:p>
    <w:p w:rsidR="000B18F3" w:rsidRPr="00A100E4" w:rsidRDefault="000B18F3" w:rsidP="000B18F3">
      <w:pPr>
        <w:pStyle w:val="RKnormal"/>
      </w:pPr>
      <w:r w:rsidRPr="00A100E4">
        <w:t>Inväntar information från ordfö</w:t>
      </w:r>
      <w:r w:rsidR="00444712" w:rsidRPr="00A100E4">
        <w:t>randeskapet som kommer att avse</w:t>
      </w:r>
      <w:r w:rsidRPr="00A100E4">
        <w:t xml:space="preserve"> forsknings delen av informella KKR.</w:t>
      </w:r>
      <w:r w:rsidR="00444712" w:rsidRPr="00A100E4">
        <w:t xml:space="preserve"> Sannolikt kommer man att berätta </w:t>
      </w:r>
      <w:r w:rsidR="00444712" w:rsidRPr="00A100E4">
        <w:rPr>
          <w:rFonts w:cs="Helv"/>
          <w:color w:val="000000"/>
          <w:szCs w:val="24"/>
        </w:rPr>
        <w:t xml:space="preserve">att en bok ska ges ut där MS skriver om hur läget är när det gäller forskning och resurser till forskning i respektive land. </w:t>
      </w:r>
    </w:p>
    <w:p w:rsidR="000B18F3" w:rsidRPr="00A100E4" w:rsidRDefault="000B18F3" w:rsidP="000B18F3">
      <w:pPr>
        <w:pStyle w:val="RKnormal"/>
      </w:pPr>
    </w:p>
    <w:p w:rsidR="000B18F3" w:rsidRPr="00A100E4" w:rsidRDefault="000B18F3" w:rsidP="000B18F3">
      <w:pPr>
        <w:pStyle w:val="RKnormal"/>
        <w:rPr>
          <w:b/>
        </w:rPr>
      </w:pPr>
      <w:r w:rsidRPr="00A100E4">
        <w:rPr>
          <w:b/>
        </w:rPr>
        <w:t xml:space="preserve">f) Högnivåkonferens på temat ”The Future of Science and </w:t>
      </w:r>
      <w:r w:rsidR="00231F75" w:rsidRPr="00A100E4">
        <w:rPr>
          <w:b/>
        </w:rPr>
        <w:t>Technology in Europe” 8-10 oktober i Lissabon</w:t>
      </w:r>
    </w:p>
    <w:p w:rsidR="00231F75" w:rsidRPr="00A100E4" w:rsidRDefault="00231F75" w:rsidP="000B18F3">
      <w:pPr>
        <w:pStyle w:val="RKnormal"/>
        <w:rPr>
          <w:i/>
        </w:rPr>
      </w:pPr>
      <w:r w:rsidRPr="00A100E4">
        <w:rPr>
          <w:i/>
        </w:rPr>
        <w:t xml:space="preserve"> - Information från ordförandeskapet</w:t>
      </w:r>
    </w:p>
    <w:p w:rsidR="00444712" w:rsidRPr="00A100E4" w:rsidRDefault="00444712" w:rsidP="000B18F3">
      <w:pPr>
        <w:pStyle w:val="RKnormal"/>
      </w:pPr>
    </w:p>
    <w:p w:rsidR="00231F75" w:rsidRPr="00A100E4" w:rsidRDefault="00444712" w:rsidP="000B18F3">
      <w:pPr>
        <w:pStyle w:val="RKnormal"/>
      </w:pPr>
      <w:r w:rsidRPr="00A100E4">
        <w:t xml:space="preserve">Ännu ingen kännedom om konferensen. </w:t>
      </w:r>
      <w:r w:rsidR="00231F75" w:rsidRPr="00A100E4">
        <w:t>Inväntar informationen.</w:t>
      </w:r>
    </w:p>
    <w:p w:rsidR="000B18F3" w:rsidRPr="00A100E4" w:rsidRDefault="000B18F3" w:rsidP="000B18F3">
      <w:pPr>
        <w:pStyle w:val="RKnormal"/>
      </w:pPr>
    </w:p>
    <w:p w:rsidR="000B18F3" w:rsidRPr="00A100E4" w:rsidRDefault="000B18F3" w:rsidP="000B18F3">
      <w:pPr>
        <w:pStyle w:val="RKnormal"/>
        <w:rPr>
          <w:b/>
        </w:rPr>
      </w:pPr>
      <w:r w:rsidRPr="00A100E4">
        <w:rPr>
          <w:b/>
        </w:rPr>
        <w:t xml:space="preserve">g) Produktsäkerhet: uppdateringar avseende den senaste utvecklingen </w:t>
      </w:r>
    </w:p>
    <w:p w:rsidR="000B18F3" w:rsidRPr="00A100E4" w:rsidRDefault="000B18F3" w:rsidP="000B18F3">
      <w:pPr>
        <w:pStyle w:val="RKnormal"/>
        <w:rPr>
          <w:i/>
        </w:rPr>
      </w:pPr>
      <w:r w:rsidRPr="00A100E4">
        <w:rPr>
          <w:i/>
        </w:rPr>
        <w:t>– Information från kommissionen</w:t>
      </w:r>
    </w:p>
    <w:p w:rsidR="000B18F3" w:rsidRPr="00A100E4" w:rsidRDefault="000B18F3" w:rsidP="000B18F3">
      <w:pPr>
        <w:pStyle w:val="RKnormal"/>
        <w:rPr>
          <w:rFonts w:cs="Helv"/>
          <w:color w:val="000000"/>
          <w:szCs w:val="24"/>
        </w:rPr>
      </w:pPr>
    </w:p>
    <w:p w:rsidR="000B18F3" w:rsidRPr="00A100E4" w:rsidRDefault="000B18F3" w:rsidP="000B18F3">
      <w:pPr>
        <w:pStyle w:val="RKnormal"/>
        <w:rPr>
          <w:rFonts w:cs="Helv"/>
          <w:color w:val="000000"/>
          <w:szCs w:val="24"/>
        </w:rPr>
      </w:pPr>
      <w:r w:rsidRPr="00A100E4">
        <w:rPr>
          <w:rFonts w:cs="Helv"/>
          <w:color w:val="000000"/>
          <w:szCs w:val="24"/>
        </w:rPr>
        <w:t>Denna informationspunkt förväntas handla om den senaste tidens uppmärksammade problematik när det gäller produktsäkerheten i Europa. Ett stort antal farliga leksaker har återkallats av tillverkare efter att de visat sig innehålla bly och farliga magneter. Kommissionen har uppmanat de nationella tillsynsmyndigheterna att vidta åtgärder. I Sverige genomför Konsumentverket ett större marknadskontrollprojekt för att följa upp frågan.  Kommissionen förväntas också beröra arbetet med översynen av den s.k. nya metoden och förslaget till en förordning om ackreditering och marknadskontroll.  Kommissionen kommer eventuellt att uppmana medlemsstaterna att stödja att det allmänna produktsäkerhetsdirektivets regler om marknadskontroll är de som även fortsättningsvis ska gälla för konsumentprodukter för att inte riskera att försvaga marknadskontrollarbetet för konsumentprodukter. Förordningen om nya metoden har behandlats av EU-nämnden 16 maj 2007.</w:t>
      </w:r>
    </w:p>
    <w:p w:rsidR="000B18F3" w:rsidRPr="00A100E4" w:rsidRDefault="000B18F3" w:rsidP="000B18F3">
      <w:pPr>
        <w:pStyle w:val="RKnormal"/>
      </w:pPr>
      <w:r w:rsidRPr="00A100E4">
        <w:rPr>
          <w:rFonts w:cs="Helv"/>
          <w:color w:val="000000"/>
          <w:szCs w:val="24"/>
          <w:u w:val="single"/>
        </w:rPr>
        <w:t>Förslag till svensk ståndpunkt:</w:t>
      </w:r>
      <w:r w:rsidRPr="00A100E4">
        <w:rPr>
          <w:rFonts w:cs="Helv"/>
          <w:color w:val="000000"/>
          <w:szCs w:val="24"/>
        </w:rPr>
        <w:t xml:space="preserve"> Sverige stödjer kommissionens linje.</w:t>
      </w:r>
    </w:p>
    <w:p w:rsidR="000118DA" w:rsidRPr="00A100E4" w:rsidRDefault="000118DA" w:rsidP="00231F75">
      <w:pPr>
        <w:pStyle w:val="RKnormal"/>
        <w:ind w:left="142" w:hanging="142"/>
        <w:rPr>
          <w:bCs/>
        </w:rPr>
      </w:pPr>
    </w:p>
    <w:p w:rsidR="00231F75" w:rsidRPr="00A100E4" w:rsidRDefault="00231F75" w:rsidP="00231F75">
      <w:pPr>
        <w:spacing w:line="240" w:lineRule="auto"/>
        <w:ind w:left="142" w:hanging="142"/>
        <w:jc w:val="both"/>
        <w:rPr>
          <w:b/>
        </w:rPr>
      </w:pPr>
      <w:r w:rsidRPr="00A100E4">
        <w:rPr>
          <w:b/>
        </w:rPr>
        <w:t>h) Bättre lagstiftning/Webbverktyg för extern konsultation inom ramen för kommissionens handlingsprogram för minskning av administrativa bördor</w:t>
      </w:r>
    </w:p>
    <w:p w:rsidR="00231F75" w:rsidRPr="00A100E4" w:rsidRDefault="00231F75" w:rsidP="00231F75">
      <w:pPr>
        <w:spacing w:line="240" w:lineRule="auto"/>
        <w:ind w:hanging="567"/>
        <w:jc w:val="both"/>
        <w:rPr>
          <w:b/>
          <w:i/>
        </w:rPr>
      </w:pPr>
      <w:r w:rsidRPr="00A100E4">
        <w:rPr>
          <w:b/>
          <w:i/>
        </w:rPr>
        <w:t xml:space="preserve">         - </w:t>
      </w:r>
      <w:r w:rsidRPr="00A100E4">
        <w:rPr>
          <w:i/>
        </w:rPr>
        <w:t>Information från kommissionen</w:t>
      </w:r>
    </w:p>
    <w:p w:rsidR="00231F75" w:rsidRPr="00A100E4" w:rsidRDefault="00231F75" w:rsidP="00231F75">
      <w:pPr>
        <w:spacing w:line="240" w:lineRule="auto"/>
        <w:ind w:left="-567"/>
        <w:jc w:val="both"/>
      </w:pPr>
    </w:p>
    <w:p w:rsidR="00231F75" w:rsidRPr="00A100E4" w:rsidRDefault="00231F75" w:rsidP="00231F75">
      <w:pPr>
        <w:spacing w:line="240" w:lineRule="auto"/>
      </w:pPr>
      <w:r w:rsidRPr="00A100E4">
        <w:t>Frågan har inte tidigare behandlats i nämnden. Kommissionen arbetar för närvarande med att tillskapa en webbplats där intressenter och andra berörda kan lämna synpunkter på åtgärder som kan vidtas i regelförenklingshänseende inom ramen för kommissionens handlingsprogram för minskning av administrativa bördor. Kommissionen avser lansera webbverktyget i september månad och informerar om detta vid konkurrenskraftsrådets möte.</w:t>
      </w:r>
    </w:p>
    <w:p w:rsidR="00231F75" w:rsidRPr="00A100E4" w:rsidRDefault="00231F75" w:rsidP="00231F75">
      <w:pPr>
        <w:spacing w:line="240" w:lineRule="auto"/>
        <w:ind w:left="-567"/>
      </w:pPr>
    </w:p>
    <w:p w:rsidR="00231F75" w:rsidRPr="00A100E4" w:rsidRDefault="00231F75" w:rsidP="00231F75">
      <w:pPr>
        <w:spacing w:line="240" w:lineRule="auto"/>
      </w:pPr>
      <w:r w:rsidRPr="00A100E4">
        <w:rPr>
          <w:u w:val="single"/>
        </w:rPr>
        <w:t>Förslag till svensk ståndpunkt:</w:t>
      </w:r>
      <w:r w:rsidRPr="00A100E4">
        <w:t xml:space="preserve"> </w:t>
      </w:r>
      <w:r w:rsidRPr="00A100E4">
        <w:rPr>
          <w:rFonts w:cs="Helv"/>
          <w:color w:val="000000"/>
          <w:szCs w:val="24"/>
        </w:rPr>
        <w:t>Ta del av informationen från kommissionen med positivt intresse för visad ambition från kommissionens sida att stärka den externa konsultationen i regelförenklingsfrågor.</w:t>
      </w:r>
    </w:p>
    <w:p w:rsidR="00231F75" w:rsidRPr="00A100E4" w:rsidRDefault="00231F75" w:rsidP="00E81EB7">
      <w:pPr>
        <w:pStyle w:val="RKnormal"/>
        <w:rPr>
          <w:bCs/>
        </w:rPr>
      </w:pPr>
    </w:p>
    <w:sectPr w:rsidR="00231F75" w:rsidRPr="00A100E4">
      <w:headerReference w:type="even" r:id="rId7"/>
      <w:headerReference w:type="default" r:id="rId8"/>
      <w:headerReference w:type="first" r:id="rId9"/>
      <w:type w:val="continuous"/>
      <w:pgSz w:w="11907" w:h="16840" w:code="9"/>
      <w:pgMar w:top="567" w:right="1701" w:bottom="993"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6D02" w:rsidRPr="00A100E4" w:rsidRDefault="00056D02">
      <w:r w:rsidRPr="00A100E4">
        <w:separator/>
      </w:r>
    </w:p>
  </w:endnote>
  <w:endnote w:type="continuationSeparator" w:id="0">
    <w:p w:rsidR="00056D02" w:rsidRPr="00A100E4" w:rsidRDefault="00056D02">
      <w:r w:rsidRPr="00A100E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6D02" w:rsidRPr="00A100E4" w:rsidRDefault="00056D02">
      <w:r w:rsidRPr="00A100E4">
        <w:separator/>
      </w:r>
    </w:p>
  </w:footnote>
  <w:footnote w:type="continuationSeparator" w:id="0">
    <w:p w:rsidR="00056D02" w:rsidRPr="00A100E4" w:rsidRDefault="00056D02">
      <w:r w:rsidRPr="00A100E4">
        <w:continuationSeparator/>
      </w:r>
    </w:p>
  </w:footnote>
  <w:footnote w:id="1">
    <w:p w:rsidR="005C2E34" w:rsidRPr="00A100E4" w:rsidRDefault="005C2E34" w:rsidP="00C70AE3">
      <w:pPr>
        <w:pStyle w:val="Fotnotstext"/>
      </w:pPr>
      <w:r w:rsidRPr="00A100E4">
        <w:rPr>
          <w:rStyle w:val="FootnoteCharacters"/>
          <w:rFonts w:ascii="OrigGarmnd BT" w:hAnsi="OrigGarmnd BT"/>
        </w:rPr>
        <w:footnoteRef/>
      </w:r>
      <w:r w:rsidRPr="00A100E4">
        <w:t xml:space="preserve"> Genomförandet av gemenskapens Lissabonprogram: En politik till stöd för EU:s tillverkningsindustri – mot en mer integrerad industripolitik [KOM(2005) 474]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E34" w:rsidRPr="00A100E4" w:rsidRDefault="005C2E34">
    <w:pPr>
      <w:pStyle w:val="Sidhuvud"/>
      <w:framePr w:wrap="around" w:vAnchor="text" w:hAnchor="margin" w:xAlign="right" w:y="1"/>
      <w:rPr>
        <w:rStyle w:val="Sidnummer"/>
      </w:rPr>
    </w:pPr>
    <w:r w:rsidRPr="00A100E4">
      <w:rPr>
        <w:rStyle w:val="Sidnummer"/>
      </w:rPr>
      <w:fldChar w:fldCharType="begin" w:fldLock="1"/>
    </w:r>
    <w:r w:rsidRPr="00A100E4">
      <w:rPr>
        <w:rStyle w:val="Sidnummer"/>
      </w:rPr>
      <w:instrText xml:space="preserve">PAGE  </w:instrText>
    </w:r>
    <w:r w:rsidRPr="00A100E4">
      <w:rPr>
        <w:rStyle w:val="Sidnummer"/>
      </w:rPr>
      <w:fldChar w:fldCharType="separate"/>
    </w:r>
    <w:r w:rsidR="00A66E39" w:rsidRPr="00A100E4">
      <w:rPr>
        <w:rStyle w:val="Sidnummer"/>
      </w:rPr>
      <w:t>6</w:t>
    </w:r>
    <w:r w:rsidRPr="00A100E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C2E34" w:rsidRPr="00A100E4">
      <w:tblPrEx>
        <w:tblCellMar>
          <w:top w:w="0" w:type="dxa"/>
          <w:bottom w:w="0" w:type="dxa"/>
        </w:tblCellMar>
      </w:tblPrEx>
      <w:trPr>
        <w:cantSplit/>
      </w:trPr>
      <w:tc>
        <w:tcPr>
          <w:tcW w:w="3119" w:type="dxa"/>
        </w:tcPr>
        <w:p w:rsidR="005C2E34" w:rsidRPr="00A100E4" w:rsidRDefault="005C2E34">
          <w:pPr>
            <w:pStyle w:val="Sidhuvud"/>
            <w:spacing w:line="200" w:lineRule="atLeast"/>
            <w:ind w:right="357"/>
            <w:rPr>
              <w:rFonts w:ascii="TradeGothic" w:hAnsi="TradeGothic"/>
              <w:b/>
              <w:bCs/>
              <w:sz w:val="16"/>
            </w:rPr>
          </w:pPr>
        </w:p>
      </w:tc>
      <w:tc>
        <w:tcPr>
          <w:tcW w:w="4111" w:type="dxa"/>
          <w:tcMar>
            <w:left w:w="567" w:type="dxa"/>
          </w:tcMar>
        </w:tcPr>
        <w:p w:rsidR="005C2E34" w:rsidRPr="00A100E4" w:rsidRDefault="005C2E34">
          <w:pPr>
            <w:pStyle w:val="Sidhuvud"/>
            <w:ind w:right="360"/>
          </w:pPr>
        </w:p>
      </w:tc>
      <w:tc>
        <w:tcPr>
          <w:tcW w:w="1525" w:type="dxa"/>
        </w:tcPr>
        <w:p w:rsidR="005C2E34" w:rsidRPr="00A100E4" w:rsidRDefault="005C2E34">
          <w:pPr>
            <w:pStyle w:val="Sidhuvud"/>
            <w:ind w:right="360"/>
          </w:pPr>
        </w:p>
      </w:tc>
    </w:tr>
  </w:tbl>
  <w:p w:rsidR="005C2E34" w:rsidRPr="00A100E4" w:rsidRDefault="005C2E3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E34" w:rsidRPr="00A100E4" w:rsidRDefault="005C2E34">
    <w:pPr>
      <w:pStyle w:val="Sidhuvud"/>
      <w:framePr w:wrap="around" w:vAnchor="text" w:hAnchor="margin" w:xAlign="right" w:y="1"/>
      <w:rPr>
        <w:rStyle w:val="Sidnummer"/>
      </w:rPr>
    </w:pPr>
    <w:r w:rsidRPr="00A100E4">
      <w:rPr>
        <w:rStyle w:val="Sidnummer"/>
      </w:rPr>
      <w:fldChar w:fldCharType="begin" w:fldLock="1"/>
    </w:r>
    <w:r w:rsidRPr="00A100E4">
      <w:rPr>
        <w:rStyle w:val="Sidnummer"/>
      </w:rPr>
      <w:instrText xml:space="preserve">PAGE  </w:instrText>
    </w:r>
    <w:r w:rsidRPr="00A100E4">
      <w:rPr>
        <w:rStyle w:val="Sidnummer"/>
      </w:rPr>
      <w:fldChar w:fldCharType="separate"/>
    </w:r>
    <w:r w:rsidR="00A66E39" w:rsidRPr="00A100E4">
      <w:rPr>
        <w:rStyle w:val="Sidnummer"/>
      </w:rPr>
      <w:t>7</w:t>
    </w:r>
    <w:r w:rsidRPr="00A100E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5C2E34" w:rsidRPr="00A100E4">
      <w:tblPrEx>
        <w:tblCellMar>
          <w:top w:w="0" w:type="dxa"/>
          <w:bottom w:w="0" w:type="dxa"/>
        </w:tblCellMar>
      </w:tblPrEx>
      <w:trPr>
        <w:cantSplit/>
      </w:trPr>
      <w:tc>
        <w:tcPr>
          <w:tcW w:w="3119" w:type="dxa"/>
        </w:tcPr>
        <w:p w:rsidR="005C2E34" w:rsidRPr="00A100E4" w:rsidRDefault="005C2E34">
          <w:pPr>
            <w:pStyle w:val="Sidhuvud"/>
            <w:spacing w:line="200" w:lineRule="atLeast"/>
            <w:ind w:right="357"/>
            <w:rPr>
              <w:rFonts w:ascii="TradeGothic" w:hAnsi="TradeGothic"/>
              <w:b/>
              <w:bCs/>
              <w:sz w:val="16"/>
            </w:rPr>
          </w:pPr>
        </w:p>
      </w:tc>
      <w:tc>
        <w:tcPr>
          <w:tcW w:w="4111" w:type="dxa"/>
          <w:tcMar>
            <w:left w:w="567" w:type="dxa"/>
          </w:tcMar>
        </w:tcPr>
        <w:p w:rsidR="005C2E34" w:rsidRPr="00A100E4" w:rsidRDefault="005C2E34">
          <w:pPr>
            <w:pStyle w:val="Sidhuvud"/>
            <w:ind w:right="360"/>
          </w:pPr>
        </w:p>
      </w:tc>
      <w:tc>
        <w:tcPr>
          <w:tcW w:w="1525" w:type="dxa"/>
        </w:tcPr>
        <w:p w:rsidR="005C2E34" w:rsidRPr="00A100E4" w:rsidRDefault="005C2E34">
          <w:pPr>
            <w:pStyle w:val="Sidhuvud"/>
            <w:ind w:right="360"/>
          </w:pPr>
        </w:p>
      </w:tc>
    </w:tr>
  </w:tbl>
  <w:p w:rsidR="005C2E34" w:rsidRPr="00A100E4" w:rsidRDefault="005C2E3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2E34" w:rsidRPr="00A100E4" w:rsidRDefault="00A100E4">
    <w:pPr>
      <w:framePr w:w="2948" w:h="1321" w:hRule="exact" w:wrap="notBeside" w:vAnchor="page" w:hAnchor="page" w:x="1362" w:y="653"/>
    </w:pPr>
    <w:r w:rsidRPr="00A100E4">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5C2E34" w:rsidRPr="00A100E4" w:rsidRDefault="005C2E34">
    <w:pPr>
      <w:pStyle w:val="RKrubrik"/>
      <w:keepNext w:val="0"/>
      <w:tabs>
        <w:tab w:val="clear" w:pos="1134"/>
        <w:tab w:val="clear" w:pos="2835"/>
      </w:tabs>
      <w:spacing w:before="0" w:after="0" w:line="320" w:lineRule="atLeast"/>
      <w:rPr>
        <w:bCs/>
      </w:rPr>
    </w:pPr>
  </w:p>
  <w:p w:rsidR="005C2E34" w:rsidRPr="00A100E4" w:rsidRDefault="005C2E34">
    <w:pPr>
      <w:rPr>
        <w:rFonts w:ascii="TradeGothic" w:hAnsi="TradeGothic"/>
        <w:b/>
        <w:bCs/>
        <w:spacing w:val="12"/>
        <w:sz w:val="22"/>
      </w:rPr>
    </w:pPr>
  </w:p>
  <w:p w:rsidR="005C2E34" w:rsidRPr="00A100E4" w:rsidRDefault="005C2E34">
    <w:pPr>
      <w:pStyle w:val="RKrubrik"/>
      <w:keepNext w:val="0"/>
      <w:tabs>
        <w:tab w:val="clear" w:pos="1134"/>
        <w:tab w:val="clear" w:pos="2835"/>
      </w:tabs>
      <w:spacing w:before="0" w:after="0" w:line="320" w:lineRule="atLeast"/>
      <w:rPr>
        <w:bCs/>
      </w:rPr>
    </w:pPr>
  </w:p>
  <w:p w:rsidR="005C2E34" w:rsidRPr="00A100E4" w:rsidRDefault="005C2E3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A3BD1"/>
    <w:multiLevelType w:val="hybridMultilevel"/>
    <w:tmpl w:val="76506F4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0BC629B"/>
    <w:multiLevelType w:val="singleLevel"/>
    <w:tmpl w:val="1E04E8EE"/>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2" w15:restartNumberingAfterBreak="0">
    <w:nsid w:val="436E0A5D"/>
    <w:multiLevelType w:val="singleLevel"/>
    <w:tmpl w:val="9C807126"/>
    <w:lvl w:ilvl="0">
      <w:start w:val="1"/>
      <w:numFmt w:val="bullet"/>
      <w:pStyle w:val="Par-equal"/>
      <w:lvlText w:val=""/>
      <w:lvlJc w:val="left"/>
      <w:pPr>
        <w:tabs>
          <w:tab w:val="num" w:pos="1702"/>
        </w:tabs>
        <w:ind w:left="1702" w:hanging="567"/>
      </w:pPr>
      <w:rPr>
        <w:rFonts w:ascii="Symbol" w:hAnsi="Symbol" w:hint="default"/>
      </w:rPr>
    </w:lvl>
  </w:abstractNum>
  <w:abstractNum w:abstractNumId="3" w15:restartNumberingAfterBreak="0">
    <w:nsid w:val="69E30861"/>
    <w:multiLevelType w:val="singleLevel"/>
    <w:tmpl w:val="C69CFF5C"/>
    <w:lvl w:ilvl="0">
      <w:start w:val="1"/>
      <w:numFmt w:val="bullet"/>
      <w:pStyle w:val="Par-dash"/>
      <w:lvlText w:val=""/>
      <w:lvlJc w:val="left"/>
      <w:pPr>
        <w:tabs>
          <w:tab w:val="num" w:pos="1134"/>
        </w:tabs>
        <w:ind w:left="1134" w:hanging="567"/>
      </w:pPr>
      <w:rPr>
        <w:rFonts w:ascii="Symbol" w:hAnsi="Symbol" w:hint="default"/>
      </w:rPr>
    </w:lvl>
  </w:abstractNum>
  <w:abstractNum w:abstractNumId="4" w15:restartNumberingAfterBreak="0">
    <w:nsid w:val="6E4E71E4"/>
    <w:multiLevelType w:val="singleLevel"/>
    <w:tmpl w:val="47282FE2"/>
    <w:lvl w:ilvl="0">
      <w:start w:val="1"/>
      <w:numFmt w:val="decimal"/>
      <w:pStyle w:val="Par-number1"/>
      <w:lvlText w:val="%1."/>
      <w:lvlJc w:val="left"/>
      <w:pPr>
        <w:tabs>
          <w:tab w:val="num" w:pos="567"/>
        </w:tabs>
        <w:ind w:left="567" w:hanging="567"/>
      </w:pPr>
      <w:rPr>
        <w:rFonts w:hint="default"/>
      </w:rPr>
    </w:lvl>
  </w:abstractNum>
  <w:num w:numId="1" w16cid:durableId="70274515">
    <w:abstractNumId w:val="0"/>
  </w:num>
  <w:num w:numId="2" w16cid:durableId="1490747483">
    <w:abstractNumId w:val="2"/>
  </w:num>
  <w:num w:numId="3" w16cid:durableId="1085955122">
    <w:abstractNumId w:val="4"/>
  </w:num>
  <w:num w:numId="4" w16cid:durableId="689454881">
    <w:abstractNumId w:val="1"/>
  </w:num>
  <w:num w:numId="5" w16cid:durableId="131219616">
    <w:abstractNumId w:val="3"/>
  </w:num>
  <w:num w:numId="6" w16cid:durableId="204728992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15"/>
    <w:docVar w:name="docDep" w:val="10"/>
    <w:docVar w:name="docSprak" w:val="0"/>
  </w:docVars>
  <w:rsids>
    <w:rsidRoot w:val="00F26310"/>
    <w:rsid w:val="000118DA"/>
    <w:rsid w:val="00056D02"/>
    <w:rsid w:val="000B18F3"/>
    <w:rsid w:val="000C07D3"/>
    <w:rsid w:val="000D0048"/>
    <w:rsid w:val="001842C5"/>
    <w:rsid w:val="001C4700"/>
    <w:rsid w:val="00231F75"/>
    <w:rsid w:val="0023427B"/>
    <w:rsid w:val="002F62D9"/>
    <w:rsid w:val="00387B0C"/>
    <w:rsid w:val="0039231F"/>
    <w:rsid w:val="003E13CB"/>
    <w:rsid w:val="003E36FE"/>
    <w:rsid w:val="003F446B"/>
    <w:rsid w:val="00425FE9"/>
    <w:rsid w:val="00444712"/>
    <w:rsid w:val="004D0E3F"/>
    <w:rsid w:val="00587991"/>
    <w:rsid w:val="005C2E34"/>
    <w:rsid w:val="006B4872"/>
    <w:rsid w:val="006D3507"/>
    <w:rsid w:val="007104A9"/>
    <w:rsid w:val="00740B52"/>
    <w:rsid w:val="00786C57"/>
    <w:rsid w:val="00791438"/>
    <w:rsid w:val="007E6954"/>
    <w:rsid w:val="007F50E3"/>
    <w:rsid w:val="00810148"/>
    <w:rsid w:val="008A2883"/>
    <w:rsid w:val="009F76A5"/>
    <w:rsid w:val="00A100E4"/>
    <w:rsid w:val="00A66E39"/>
    <w:rsid w:val="00B06408"/>
    <w:rsid w:val="00C44516"/>
    <w:rsid w:val="00C70AE3"/>
    <w:rsid w:val="00C814C2"/>
    <w:rsid w:val="00CA42DD"/>
    <w:rsid w:val="00CD0AE5"/>
    <w:rsid w:val="00CE7A11"/>
    <w:rsid w:val="00DB0338"/>
    <w:rsid w:val="00E32AA5"/>
    <w:rsid w:val="00E81EB7"/>
    <w:rsid w:val="00F2494C"/>
    <w:rsid w:val="00F263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317A949-2801-4B4C-B38A-40CB5C2E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Par-equal">
    <w:name w:val="Par-equal"/>
    <w:basedOn w:val="Normal"/>
    <w:next w:val="Normal"/>
    <w:rsid w:val="003F446B"/>
    <w:pPr>
      <w:widowControl w:val="0"/>
      <w:numPr>
        <w:numId w:val="2"/>
      </w:numPr>
      <w:overflowPunct/>
      <w:autoSpaceDE/>
      <w:autoSpaceDN/>
      <w:adjustRightInd/>
      <w:spacing w:line="360" w:lineRule="auto"/>
      <w:textAlignment w:val="auto"/>
    </w:pPr>
    <w:rPr>
      <w:rFonts w:ascii="Times New Roman" w:hAnsi="Times New Roman"/>
      <w:lang w:val="en-GB" w:eastAsia="fr-BE"/>
    </w:rPr>
  </w:style>
  <w:style w:type="paragraph" w:customStyle="1" w:styleId="Par-number1">
    <w:name w:val="Par-number 1."/>
    <w:basedOn w:val="Normal"/>
    <w:next w:val="Normal"/>
    <w:link w:val="Par-number1Char"/>
    <w:rsid w:val="003F446B"/>
    <w:pPr>
      <w:widowControl w:val="0"/>
      <w:numPr>
        <w:numId w:val="3"/>
      </w:numPr>
      <w:overflowPunct/>
      <w:autoSpaceDE/>
      <w:autoSpaceDN/>
      <w:adjustRightInd/>
      <w:spacing w:line="360" w:lineRule="auto"/>
      <w:textAlignment w:val="auto"/>
    </w:pPr>
    <w:rPr>
      <w:rFonts w:ascii="Times New Roman" w:hAnsi="Times New Roman"/>
      <w:szCs w:val="24"/>
      <w:lang w:val="en-GB" w:eastAsia="fr-BE"/>
    </w:rPr>
  </w:style>
  <w:style w:type="character" w:customStyle="1" w:styleId="Par-number1Char">
    <w:name w:val="Par-number 1. Char"/>
    <w:basedOn w:val="Standardstycketeckensnitt"/>
    <w:link w:val="Par-number1"/>
    <w:rsid w:val="003F446B"/>
    <w:rPr>
      <w:sz w:val="24"/>
      <w:szCs w:val="24"/>
      <w:lang w:val="en-GB" w:eastAsia="fr-BE" w:bidi="ar-SA"/>
    </w:rPr>
  </w:style>
  <w:style w:type="paragraph" w:styleId="Brdtext">
    <w:name w:val="Body Text"/>
    <w:basedOn w:val="Normal"/>
    <w:rsid w:val="002F62D9"/>
    <w:pPr>
      <w:overflowPunct/>
      <w:autoSpaceDE/>
      <w:autoSpaceDN/>
      <w:adjustRightInd/>
      <w:spacing w:line="320" w:lineRule="exact"/>
      <w:textAlignment w:val="auto"/>
    </w:pPr>
  </w:style>
  <w:style w:type="paragraph" w:customStyle="1" w:styleId="ListBullet1">
    <w:name w:val="List Bullet 1"/>
    <w:basedOn w:val="Normal"/>
    <w:rsid w:val="002F62D9"/>
    <w:pPr>
      <w:numPr>
        <w:numId w:val="4"/>
      </w:numPr>
      <w:overflowPunct/>
      <w:autoSpaceDE/>
      <w:autoSpaceDN/>
      <w:adjustRightInd/>
      <w:spacing w:before="120" w:after="120" w:line="240" w:lineRule="auto"/>
      <w:jc w:val="both"/>
      <w:textAlignment w:val="auto"/>
    </w:pPr>
    <w:rPr>
      <w:rFonts w:ascii="Times New Roman" w:hAnsi="Times New Roman"/>
      <w:lang w:val="en-GB" w:eastAsia="zh-CN"/>
    </w:rPr>
  </w:style>
  <w:style w:type="character" w:customStyle="1" w:styleId="FootnoteCharacters">
    <w:name w:val="Footnote Characters"/>
    <w:basedOn w:val="Standardstycketeckensnitt"/>
    <w:rsid w:val="00C70AE3"/>
    <w:rPr>
      <w:vertAlign w:val="superscript"/>
    </w:rPr>
  </w:style>
  <w:style w:type="paragraph" w:styleId="Fotnotstext">
    <w:name w:val="footnote text"/>
    <w:basedOn w:val="Normal"/>
    <w:semiHidden/>
    <w:rsid w:val="00C70AE3"/>
    <w:pPr>
      <w:suppressAutoHyphens/>
      <w:overflowPunct/>
      <w:autoSpaceDE/>
      <w:autoSpaceDN/>
      <w:adjustRightInd/>
      <w:spacing w:line="240" w:lineRule="auto"/>
      <w:textAlignment w:val="auto"/>
    </w:pPr>
    <w:rPr>
      <w:rFonts w:ascii="Times New Roman" w:hAnsi="Times New Roman"/>
      <w:sz w:val="20"/>
      <w:lang w:eastAsia="ar-SA"/>
    </w:rPr>
  </w:style>
  <w:style w:type="paragraph" w:customStyle="1" w:styleId="Brdtext1">
    <w:name w:val="Brödtext1"/>
    <w:basedOn w:val="Normal"/>
    <w:rsid w:val="00C70AE3"/>
    <w:pPr>
      <w:suppressAutoHyphens/>
      <w:overflowPunct/>
      <w:autoSpaceDE/>
      <w:autoSpaceDN/>
      <w:adjustRightInd/>
      <w:spacing w:line="320" w:lineRule="exact"/>
      <w:textAlignment w:val="auto"/>
    </w:pPr>
    <w:rPr>
      <w:rFonts w:ascii="Times New Roman" w:hAnsi="Times New Roman"/>
      <w:lang w:eastAsia="ar-SA"/>
    </w:rPr>
  </w:style>
  <w:style w:type="character" w:customStyle="1" w:styleId="RKnormalChar">
    <w:name w:val="RKnormal Char"/>
    <w:basedOn w:val="Standardstycketeckensnitt"/>
    <w:link w:val="RKnormal"/>
    <w:rsid w:val="00E32AA5"/>
    <w:rPr>
      <w:rFonts w:ascii="OrigGarmnd BT" w:hAnsi="OrigGarmnd BT"/>
      <w:sz w:val="24"/>
      <w:lang w:val="sv-SE" w:eastAsia="en-US" w:bidi="ar-SA"/>
    </w:rPr>
  </w:style>
  <w:style w:type="paragraph" w:customStyle="1" w:styleId="Par-dash">
    <w:name w:val="Par-dash"/>
    <w:basedOn w:val="Normal"/>
    <w:next w:val="Normal"/>
    <w:rsid w:val="00786C57"/>
    <w:pPr>
      <w:widowControl w:val="0"/>
      <w:numPr>
        <w:numId w:val="5"/>
      </w:numPr>
      <w:overflowPunct/>
      <w:autoSpaceDE/>
      <w:autoSpaceDN/>
      <w:adjustRightInd/>
      <w:spacing w:line="240" w:lineRule="auto"/>
      <w:textAlignment w:val="auto"/>
    </w:pPr>
    <w:rPr>
      <w:rFonts w:ascii="Times New Roman" w:hAnsi="Times New Roman"/>
      <w:i/>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RKbrev.dot</Template>
  <TotalTime>0</TotalTime>
  <Pages>2</Pages>
  <Words>2301</Words>
  <Characters>14727</Characters>
  <Application>Microsoft Office Word</Application>
  <DocSecurity>4</DocSecurity>
  <Lines>359</Lines>
  <Paragraphs>104</Paragraphs>
  <ScaleCrop>false</ScaleCrop>
  <HeadingPairs>
    <vt:vector size="2" baseType="variant">
      <vt:variant>
        <vt:lpstr>Rubrik</vt:lpstr>
      </vt:variant>
      <vt:variant>
        <vt:i4>1</vt:i4>
      </vt:variant>
    </vt:vector>
  </HeadingPairs>
  <TitlesOfParts>
    <vt:vector size="1" baseType="lpstr">
      <vt:lpstr>Kommenterad dagordning </vt:lpstr>
    </vt:vector>
  </TitlesOfParts>
  <Company>Regeringskansliet</Company>
  <LinksUpToDate>false</LinksUpToDate>
  <CharactersWithSpaces>16924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dc:title>
  <dc:subject>Kommenterad dagordning </dc:subject>
  <dc:creator>Riksdagen</dc:creator>
  <cp:keywords>Riksdagen</cp:keywords>
  <dc:description/>
  <cp:lastModifiedBy>Lars Brink</cp:lastModifiedBy>
  <cp:revision>2</cp:revision>
  <cp:lastPrinted>2000-01-21T13:02:00Z</cp:lastPrinted>
  <dcterms:created xsi:type="dcterms:W3CDTF">2025-12-17T13:08:00Z</dcterms:created>
  <dcterms:modified xsi:type="dcterms:W3CDTF">2025-12-17T13:08:00Z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7</vt:i4>
  </property>
</Properties>
</file>