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6BF0" w:rsidRPr="00D46BF0" w:rsidRDefault="00D46BF0">
      <w:pPr>
        <w:pStyle w:val="Rubrik1"/>
        <w:shd w:val="clear" w:color="000000" w:fill="auto"/>
      </w:pPr>
      <w:r w:rsidRPr="00D46BF0">
        <w:t>Sammanfattning</w:t>
      </w:r>
    </w:p>
    <w:p w:rsidR="00D46BF0" w:rsidRPr="00D46BF0" w:rsidRDefault="00D46BF0">
      <w:pPr>
        <w:shd w:val="clear" w:color="000000" w:fill="auto"/>
      </w:pPr>
      <w:r w:rsidRPr="00D46BF0">
        <w:t>Vänsterpartiet föreslår en kraftig förstärkning av kommunernas och land</w:t>
      </w:r>
      <w:r w:rsidRPr="00D46BF0">
        <w:t>s</w:t>
      </w:r>
      <w:r w:rsidRPr="00D46BF0">
        <w:t>tingens ekonomi. Det sker framför allt i form av tillfälliga och permanenta generella statsbidrag. Vi menar att utgångspunkten behöver vara att uppsä</w:t>
      </w:r>
      <w:r w:rsidRPr="00D46BF0">
        <w:t>g</w:t>
      </w:r>
      <w:r w:rsidRPr="00D46BF0">
        <w:t xml:space="preserve">ningar i välfärdssektorn förvärrar krisen. Utöver det lägger vi ett förslag på ett investeringsstöd till kommunsektorn, för att bidra till en vändning av den djupa krisen i byggbranschen. </w:t>
      </w:r>
    </w:p>
    <w:p w:rsidR="00D46BF0" w:rsidRPr="00D46BF0" w:rsidRDefault="00D46BF0">
      <w:pPr>
        <w:pStyle w:val="Rubrik1"/>
        <w:shd w:val="clear" w:color="000000" w:fill="auto"/>
      </w:pPr>
      <w:r w:rsidRPr="00D46BF0">
        <w:t>Förslag till riksdagsbeslut</w:t>
      </w:r>
    </w:p>
    <w:p w:rsidR="00D46BF0" w:rsidRPr="00D46BF0" w:rsidRDefault="00D46BF0">
      <w:pPr>
        <w:shd w:val="clear" w:color="000000" w:fill="auto"/>
      </w:pPr>
      <w:r w:rsidRPr="00D46BF0">
        <w:t>Riksdagen anvisar med följande ändringar i förhålla</w:t>
      </w:r>
      <w:r w:rsidRPr="00D46BF0">
        <w:t>n</w:t>
      </w:r>
      <w:r w:rsidRPr="00D46BF0">
        <w:t>de till regeringens förslag anslagen under utgiftsområde 25 Allmänna bidrag till kommuner enligt uppställning:</w:t>
      </w:r>
    </w:p>
    <w:tbl>
      <w:tblPr>
        <w:tblW w:w="5954" w:type="dxa"/>
        <w:tblInd w:w="55" w:type="dxa"/>
        <w:tblLayout w:type="fixed"/>
        <w:tblCellMar>
          <w:left w:w="70" w:type="dxa"/>
          <w:right w:w="70" w:type="dxa"/>
        </w:tblCellMar>
        <w:tblLook w:val="0000" w:firstRow="0" w:lastRow="0" w:firstColumn="0" w:lastColumn="0" w:noHBand="0" w:noVBand="0"/>
      </w:tblPr>
      <w:tblGrid>
        <w:gridCol w:w="700"/>
        <w:gridCol w:w="2385"/>
        <w:gridCol w:w="1456"/>
        <w:gridCol w:w="1413"/>
      </w:tblGrid>
      <w:tr w:rsidR="00000000" w:rsidRPr="00D46BF0">
        <w:trPr>
          <w:trHeight w:val="420"/>
        </w:trPr>
        <w:tc>
          <w:tcPr>
            <w:tcW w:w="980" w:type="dxa"/>
            <w:tcBorders>
              <w:top w:val="single" w:sz="4" w:space="0" w:color="auto"/>
              <w:left w:val="nil"/>
              <w:bottom w:val="single" w:sz="4" w:space="0" w:color="auto"/>
              <w:right w:val="nil"/>
            </w:tcBorders>
          </w:tcPr>
          <w:p w:rsidR="00D46BF0" w:rsidRPr="00D46BF0" w:rsidRDefault="00D46BF0">
            <w:pPr>
              <w:shd w:val="clear" w:color="000000" w:fill="auto"/>
              <w:spacing w:before="60" w:line="200" w:lineRule="exact"/>
              <w:rPr>
                <w:b/>
                <w:bCs/>
                <w:color w:val="000000"/>
                <w:sz w:val="16"/>
              </w:rPr>
            </w:pPr>
            <w:r w:rsidRPr="00D46BF0">
              <w:rPr>
                <w:b/>
                <w:bCs/>
                <w:color w:val="000000"/>
                <w:sz w:val="16"/>
              </w:rPr>
              <w:t>Anslag</w:t>
            </w:r>
          </w:p>
        </w:tc>
        <w:tc>
          <w:tcPr>
            <w:tcW w:w="3535" w:type="dxa"/>
            <w:tcBorders>
              <w:top w:val="single" w:sz="4" w:space="0" w:color="auto"/>
              <w:left w:val="nil"/>
              <w:bottom w:val="single" w:sz="4" w:space="0" w:color="auto"/>
              <w:right w:val="nil"/>
            </w:tcBorders>
          </w:tcPr>
          <w:p w:rsidR="00D46BF0" w:rsidRPr="00D46BF0" w:rsidRDefault="00D46BF0">
            <w:pPr>
              <w:shd w:val="clear" w:color="000000" w:fill="auto"/>
              <w:spacing w:before="60" w:line="200" w:lineRule="exact"/>
              <w:rPr>
                <w:b/>
                <w:bCs/>
                <w:color w:val="000000"/>
                <w:sz w:val="16"/>
              </w:rPr>
            </w:pPr>
          </w:p>
        </w:tc>
        <w:tc>
          <w:tcPr>
            <w:tcW w:w="2125" w:type="dxa"/>
            <w:tcBorders>
              <w:top w:val="single" w:sz="4" w:space="0" w:color="auto"/>
              <w:left w:val="nil"/>
              <w:bottom w:val="single" w:sz="4" w:space="0" w:color="auto"/>
              <w:right w:val="nil"/>
            </w:tcBorders>
          </w:tcPr>
          <w:p w:rsidR="00D46BF0" w:rsidRPr="00D46BF0" w:rsidRDefault="00D46BF0">
            <w:pPr>
              <w:shd w:val="clear" w:color="000000" w:fill="auto"/>
              <w:spacing w:before="60" w:line="200" w:lineRule="exact"/>
              <w:jc w:val="right"/>
              <w:rPr>
                <w:b/>
                <w:bCs/>
                <w:color w:val="000000"/>
                <w:sz w:val="16"/>
              </w:rPr>
            </w:pPr>
            <w:r w:rsidRPr="00D46BF0">
              <w:rPr>
                <w:b/>
                <w:bCs/>
                <w:color w:val="000000"/>
                <w:sz w:val="16"/>
              </w:rPr>
              <w:t>Regeringens fö</w:t>
            </w:r>
            <w:r w:rsidRPr="00D46BF0">
              <w:rPr>
                <w:b/>
                <w:bCs/>
                <w:color w:val="000000"/>
                <w:sz w:val="16"/>
              </w:rPr>
              <w:t>r</w:t>
            </w:r>
            <w:r w:rsidRPr="00D46BF0">
              <w:rPr>
                <w:b/>
                <w:bCs/>
                <w:color w:val="000000"/>
                <w:sz w:val="16"/>
              </w:rPr>
              <w:t>slag (tkr)</w:t>
            </w:r>
          </w:p>
        </w:tc>
        <w:tc>
          <w:tcPr>
            <w:tcW w:w="2060" w:type="dxa"/>
            <w:tcBorders>
              <w:top w:val="single" w:sz="4" w:space="0" w:color="auto"/>
              <w:left w:val="nil"/>
              <w:bottom w:val="single" w:sz="4" w:space="0" w:color="auto"/>
              <w:right w:val="nil"/>
            </w:tcBorders>
          </w:tcPr>
          <w:p w:rsidR="00D46BF0" w:rsidRPr="00D46BF0" w:rsidRDefault="00D46BF0">
            <w:pPr>
              <w:shd w:val="clear" w:color="000000" w:fill="auto"/>
              <w:spacing w:before="60" w:line="200" w:lineRule="exact"/>
              <w:jc w:val="right"/>
              <w:rPr>
                <w:b/>
                <w:bCs/>
                <w:color w:val="000000"/>
                <w:sz w:val="16"/>
              </w:rPr>
            </w:pPr>
            <w:r w:rsidRPr="00D46BF0">
              <w:rPr>
                <w:b/>
                <w:bCs/>
                <w:color w:val="000000"/>
                <w:sz w:val="16"/>
              </w:rPr>
              <w:t>Förändring</w:t>
            </w:r>
            <w:r w:rsidRPr="00D46BF0">
              <w:rPr>
                <w:b/>
                <w:bCs/>
                <w:color w:val="000000"/>
                <w:sz w:val="16"/>
              </w:rPr>
              <w:br/>
              <w:t>(tkr)</w:t>
            </w:r>
          </w:p>
        </w:tc>
      </w:tr>
      <w:tr w:rsidR="00000000" w:rsidRPr="00D46BF0">
        <w:tc>
          <w:tcPr>
            <w:tcW w:w="980" w:type="dxa"/>
            <w:tcBorders>
              <w:top w:val="single" w:sz="4" w:space="0" w:color="auto"/>
              <w:left w:val="nil"/>
              <w:bottom w:val="nil"/>
              <w:right w:val="nil"/>
            </w:tcBorders>
            <w:vAlign w:val="bottom"/>
          </w:tcPr>
          <w:p w:rsidR="00D46BF0" w:rsidRPr="00D46BF0" w:rsidRDefault="00D46BF0">
            <w:pPr>
              <w:shd w:val="clear" w:color="000000" w:fill="auto"/>
              <w:spacing w:before="60" w:line="200" w:lineRule="exact"/>
              <w:rPr>
                <w:color w:val="000000"/>
                <w:sz w:val="16"/>
              </w:rPr>
            </w:pPr>
            <w:r w:rsidRPr="00D46BF0">
              <w:rPr>
                <w:color w:val="000000"/>
                <w:sz w:val="16"/>
              </w:rPr>
              <w:t>1:1</w:t>
            </w:r>
          </w:p>
        </w:tc>
        <w:tc>
          <w:tcPr>
            <w:tcW w:w="3535" w:type="dxa"/>
            <w:tcBorders>
              <w:top w:val="single" w:sz="4" w:space="0" w:color="auto"/>
              <w:left w:val="nil"/>
              <w:bottom w:val="nil"/>
              <w:right w:val="nil"/>
            </w:tcBorders>
            <w:vAlign w:val="bottom"/>
          </w:tcPr>
          <w:p w:rsidR="00D46BF0" w:rsidRPr="00D46BF0" w:rsidRDefault="00D46BF0">
            <w:pPr>
              <w:shd w:val="clear" w:color="000000" w:fill="auto"/>
              <w:spacing w:before="60" w:line="200" w:lineRule="exact"/>
              <w:rPr>
                <w:color w:val="000000"/>
                <w:sz w:val="16"/>
              </w:rPr>
            </w:pPr>
            <w:r w:rsidRPr="00D46BF0">
              <w:rPr>
                <w:sz w:val="16"/>
              </w:rPr>
              <w:t>Kommunalekonomisk utjämning</w:t>
            </w:r>
          </w:p>
        </w:tc>
        <w:tc>
          <w:tcPr>
            <w:tcW w:w="2125" w:type="dxa"/>
            <w:tcBorders>
              <w:top w:val="single" w:sz="4" w:space="0" w:color="auto"/>
              <w:left w:val="nil"/>
              <w:bottom w:val="nil"/>
              <w:right w:val="nil"/>
            </w:tcBorders>
            <w:vAlign w:val="bottom"/>
          </w:tcPr>
          <w:p w:rsidR="00D46BF0" w:rsidRPr="00D46BF0" w:rsidRDefault="00D46BF0">
            <w:pPr>
              <w:shd w:val="clear" w:color="000000" w:fill="auto"/>
              <w:spacing w:before="60" w:line="200" w:lineRule="exact"/>
              <w:jc w:val="right"/>
              <w:rPr>
                <w:sz w:val="16"/>
              </w:rPr>
            </w:pPr>
            <w:r w:rsidRPr="00D46BF0">
              <w:rPr>
                <w:sz w:val="16"/>
              </w:rPr>
              <w:t>72 749 251</w:t>
            </w:r>
          </w:p>
        </w:tc>
        <w:tc>
          <w:tcPr>
            <w:tcW w:w="2060" w:type="dxa"/>
            <w:tcBorders>
              <w:top w:val="single" w:sz="4" w:space="0" w:color="auto"/>
              <w:left w:val="nil"/>
              <w:bottom w:val="nil"/>
              <w:right w:val="nil"/>
            </w:tcBorders>
            <w:vAlign w:val="bottom"/>
          </w:tcPr>
          <w:p w:rsidR="00D46BF0" w:rsidRPr="00D46BF0" w:rsidRDefault="00D46BF0">
            <w:pPr>
              <w:shd w:val="clear" w:color="000000" w:fill="auto"/>
              <w:spacing w:before="60" w:line="200" w:lineRule="exact"/>
              <w:jc w:val="right"/>
              <w:rPr>
                <w:color w:val="000000"/>
                <w:sz w:val="16"/>
              </w:rPr>
            </w:pPr>
            <w:r w:rsidRPr="00D46BF0">
              <w:rPr>
                <w:sz w:val="16"/>
              </w:rPr>
              <w:t>–2 776 000</w:t>
            </w:r>
          </w:p>
        </w:tc>
      </w:tr>
      <w:tr w:rsidR="00000000" w:rsidRPr="00D46BF0">
        <w:tc>
          <w:tcPr>
            <w:tcW w:w="980" w:type="dxa"/>
            <w:tcBorders>
              <w:top w:val="nil"/>
              <w:left w:val="nil"/>
              <w:bottom w:val="nil"/>
              <w:right w:val="nil"/>
            </w:tcBorders>
            <w:vAlign w:val="bottom"/>
          </w:tcPr>
          <w:p w:rsidR="00D46BF0" w:rsidRPr="00D46BF0" w:rsidRDefault="00D46BF0">
            <w:pPr>
              <w:shd w:val="clear" w:color="000000" w:fill="auto"/>
              <w:spacing w:before="60" w:line="200" w:lineRule="exact"/>
              <w:rPr>
                <w:color w:val="000000"/>
                <w:sz w:val="16"/>
              </w:rPr>
            </w:pPr>
            <w:r w:rsidRPr="00D46BF0">
              <w:rPr>
                <w:color w:val="000000"/>
                <w:sz w:val="16"/>
              </w:rPr>
              <w:t xml:space="preserve">1:4 </w:t>
            </w:r>
          </w:p>
        </w:tc>
        <w:tc>
          <w:tcPr>
            <w:tcW w:w="3535" w:type="dxa"/>
            <w:tcBorders>
              <w:top w:val="nil"/>
              <w:left w:val="nil"/>
              <w:bottom w:val="nil"/>
              <w:right w:val="nil"/>
            </w:tcBorders>
            <w:vAlign w:val="bottom"/>
          </w:tcPr>
          <w:p w:rsidR="00D46BF0" w:rsidRPr="00D46BF0" w:rsidRDefault="00D46BF0">
            <w:pPr>
              <w:shd w:val="clear" w:color="000000" w:fill="auto"/>
              <w:spacing w:before="60" w:line="200" w:lineRule="exact"/>
              <w:rPr>
                <w:sz w:val="16"/>
              </w:rPr>
            </w:pPr>
            <w:r w:rsidRPr="00D46BF0">
              <w:rPr>
                <w:sz w:val="16"/>
              </w:rPr>
              <w:t>Tillfälligt sysselsättningsstöd</w:t>
            </w:r>
          </w:p>
        </w:tc>
        <w:tc>
          <w:tcPr>
            <w:tcW w:w="2125" w:type="dxa"/>
            <w:tcBorders>
              <w:top w:val="nil"/>
              <w:left w:val="nil"/>
              <w:bottom w:val="nil"/>
              <w:right w:val="nil"/>
            </w:tcBorders>
            <w:vAlign w:val="bottom"/>
          </w:tcPr>
          <w:p w:rsidR="00D46BF0" w:rsidRPr="00D46BF0" w:rsidRDefault="00D46BF0">
            <w:pPr>
              <w:shd w:val="clear" w:color="000000" w:fill="auto"/>
              <w:spacing w:before="60" w:line="200" w:lineRule="exact"/>
              <w:jc w:val="right"/>
              <w:rPr>
                <w:color w:val="000000"/>
                <w:sz w:val="16"/>
              </w:rPr>
            </w:pPr>
            <w:r w:rsidRPr="00D46BF0">
              <w:rPr>
                <w:color w:val="000000"/>
                <w:sz w:val="16"/>
              </w:rPr>
              <w:t>0</w:t>
            </w:r>
          </w:p>
        </w:tc>
        <w:tc>
          <w:tcPr>
            <w:tcW w:w="2060" w:type="dxa"/>
            <w:tcBorders>
              <w:top w:val="nil"/>
              <w:left w:val="nil"/>
              <w:bottom w:val="nil"/>
              <w:right w:val="nil"/>
            </w:tcBorders>
            <w:vAlign w:val="bottom"/>
          </w:tcPr>
          <w:p w:rsidR="00D46BF0" w:rsidRPr="00D46BF0" w:rsidRDefault="00D46BF0">
            <w:pPr>
              <w:shd w:val="clear" w:color="000000" w:fill="auto"/>
              <w:spacing w:before="60" w:line="200" w:lineRule="exact"/>
              <w:jc w:val="right"/>
              <w:rPr>
                <w:color w:val="000000"/>
                <w:sz w:val="16"/>
              </w:rPr>
            </w:pPr>
            <w:r w:rsidRPr="00D46BF0">
              <w:rPr>
                <w:sz w:val="16"/>
              </w:rPr>
              <w:t>+9 000 000</w:t>
            </w:r>
          </w:p>
        </w:tc>
      </w:tr>
      <w:tr w:rsidR="00000000" w:rsidRPr="00D46BF0">
        <w:tc>
          <w:tcPr>
            <w:tcW w:w="980" w:type="dxa"/>
            <w:tcBorders>
              <w:top w:val="nil"/>
              <w:left w:val="nil"/>
              <w:bottom w:val="nil"/>
              <w:right w:val="nil"/>
            </w:tcBorders>
            <w:vAlign w:val="bottom"/>
          </w:tcPr>
          <w:p w:rsidR="00D46BF0" w:rsidRPr="00D46BF0" w:rsidRDefault="00D46BF0">
            <w:pPr>
              <w:shd w:val="clear" w:color="000000" w:fill="auto"/>
              <w:spacing w:before="60" w:line="200" w:lineRule="exact"/>
              <w:rPr>
                <w:color w:val="000000"/>
                <w:sz w:val="16"/>
              </w:rPr>
            </w:pPr>
            <w:r w:rsidRPr="00D46BF0">
              <w:rPr>
                <w:color w:val="000000"/>
                <w:sz w:val="16"/>
              </w:rPr>
              <w:t>1:5</w:t>
            </w:r>
          </w:p>
        </w:tc>
        <w:tc>
          <w:tcPr>
            <w:tcW w:w="3535" w:type="dxa"/>
            <w:tcBorders>
              <w:top w:val="nil"/>
              <w:left w:val="nil"/>
              <w:bottom w:val="nil"/>
              <w:right w:val="nil"/>
            </w:tcBorders>
            <w:vAlign w:val="bottom"/>
          </w:tcPr>
          <w:p w:rsidR="00D46BF0" w:rsidRPr="00D46BF0" w:rsidRDefault="00D46BF0">
            <w:pPr>
              <w:shd w:val="clear" w:color="000000" w:fill="auto"/>
              <w:spacing w:before="60" w:line="200" w:lineRule="exact"/>
              <w:rPr>
                <w:sz w:val="16"/>
              </w:rPr>
            </w:pPr>
            <w:r w:rsidRPr="00D46BF0">
              <w:rPr>
                <w:sz w:val="16"/>
              </w:rPr>
              <w:t>Investeringsstöd till kommunerna</w:t>
            </w:r>
          </w:p>
        </w:tc>
        <w:tc>
          <w:tcPr>
            <w:tcW w:w="2125" w:type="dxa"/>
            <w:tcBorders>
              <w:top w:val="nil"/>
              <w:left w:val="nil"/>
              <w:bottom w:val="nil"/>
              <w:right w:val="nil"/>
            </w:tcBorders>
            <w:vAlign w:val="bottom"/>
          </w:tcPr>
          <w:p w:rsidR="00D46BF0" w:rsidRPr="00D46BF0" w:rsidRDefault="00D46BF0">
            <w:pPr>
              <w:shd w:val="clear" w:color="000000" w:fill="auto"/>
              <w:spacing w:before="60" w:line="200" w:lineRule="exact"/>
              <w:jc w:val="right"/>
              <w:rPr>
                <w:color w:val="000000"/>
                <w:sz w:val="16"/>
              </w:rPr>
            </w:pPr>
            <w:r w:rsidRPr="00D46BF0">
              <w:rPr>
                <w:color w:val="000000"/>
                <w:sz w:val="16"/>
              </w:rPr>
              <w:t>0</w:t>
            </w:r>
          </w:p>
        </w:tc>
        <w:tc>
          <w:tcPr>
            <w:tcW w:w="2060" w:type="dxa"/>
            <w:tcBorders>
              <w:top w:val="nil"/>
              <w:left w:val="nil"/>
              <w:bottom w:val="nil"/>
              <w:right w:val="nil"/>
            </w:tcBorders>
            <w:vAlign w:val="bottom"/>
          </w:tcPr>
          <w:p w:rsidR="00D46BF0" w:rsidRPr="00D46BF0" w:rsidRDefault="00D46BF0">
            <w:pPr>
              <w:shd w:val="clear" w:color="000000" w:fill="auto"/>
              <w:spacing w:before="60" w:line="200" w:lineRule="exact"/>
              <w:jc w:val="right"/>
              <w:rPr>
                <w:sz w:val="16"/>
              </w:rPr>
            </w:pPr>
            <w:r w:rsidRPr="00D46BF0">
              <w:rPr>
                <w:sz w:val="16"/>
              </w:rPr>
              <w:t>+7 600 000</w:t>
            </w:r>
          </w:p>
        </w:tc>
      </w:tr>
      <w:tr w:rsidR="00000000" w:rsidRPr="00D46BF0">
        <w:tc>
          <w:tcPr>
            <w:tcW w:w="980" w:type="dxa"/>
            <w:tcBorders>
              <w:top w:val="nil"/>
              <w:left w:val="nil"/>
              <w:bottom w:val="nil"/>
              <w:right w:val="nil"/>
            </w:tcBorders>
            <w:vAlign w:val="bottom"/>
          </w:tcPr>
          <w:p w:rsidR="00D46BF0" w:rsidRPr="00D46BF0" w:rsidRDefault="00D46BF0">
            <w:pPr>
              <w:shd w:val="clear" w:color="000000" w:fill="auto"/>
              <w:spacing w:before="60" w:line="200" w:lineRule="exact"/>
              <w:rPr>
                <w:color w:val="000000"/>
                <w:sz w:val="16"/>
              </w:rPr>
            </w:pPr>
            <w:r w:rsidRPr="00D46BF0">
              <w:rPr>
                <w:color w:val="000000"/>
                <w:sz w:val="16"/>
              </w:rPr>
              <w:t>1:6</w:t>
            </w:r>
          </w:p>
        </w:tc>
        <w:tc>
          <w:tcPr>
            <w:tcW w:w="3535" w:type="dxa"/>
            <w:tcBorders>
              <w:top w:val="nil"/>
              <w:left w:val="nil"/>
              <w:bottom w:val="nil"/>
              <w:right w:val="nil"/>
            </w:tcBorders>
            <w:vAlign w:val="bottom"/>
          </w:tcPr>
          <w:p w:rsidR="00D46BF0" w:rsidRPr="00D46BF0" w:rsidRDefault="00D46BF0">
            <w:pPr>
              <w:shd w:val="clear" w:color="000000" w:fill="auto"/>
              <w:spacing w:before="60" w:line="200" w:lineRule="exact"/>
              <w:rPr>
                <w:sz w:val="16"/>
              </w:rPr>
            </w:pPr>
            <w:r w:rsidRPr="00D46BF0">
              <w:rPr>
                <w:sz w:val="16"/>
              </w:rPr>
              <w:t>Traineeprogram i välfärden</w:t>
            </w:r>
          </w:p>
        </w:tc>
        <w:tc>
          <w:tcPr>
            <w:tcW w:w="2125" w:type="dxa"/>
            <w:tcBorders>
              <w:top w:val="nil"/>
              <w:left w:val="nil"/>
              <w:bottom w:val="nil"/>
              <w:right w:val="nil"/>
            </w:tcBorders>
            <w:vAlign w:val="bottom"/>
          </w:tcPr>
          <w:p w:rsidR="00D46BF0" w:rsidRPr="00D46BF0" w:rsidRDefault="00D46BF0">
            <w:pPr>
              <w:shd w:val="clear" w:color="000000" w:fill="auto"/>
              <w:spacing w:before="60" w:line="200" w:lineRule="exact"/>
              <w:jc w:val="right"/>
              <w:rPr>
                <w:color w:val="000000"/>
                <w:sz w:val="16"/>
              </w:rPr>
            </w:pPr>
            <w:r w:rsidRPr="00D46BF0">
              <w:rPr>
                <w:color w:val="000000"/>
                <w:sz w:val="16"/>
              </w:rPr>
              <w:t>0</w:t>
            </w:r>
          </w:p>
        </w:tc>
        <w:tc>
          <w:tcPr>
            <w:tcW w:w="2060" w:type="dxa"/>
            <w:tcBorders>
              <w:top w:val="nil"/>
              <w:left w:val="nil"/>
              <w:bottom w:val="nil"/>
              <w:right w:val="nil"/>
            </w:tcBorders>
            <w:vAlign w:val="bottom"/>
          </w:tcPr>
          <w:p w:rsidR="00D46BF0" w:rsidRPr="00D46BF0" w:rsidRDefault="00D46BF0">
            <w:pPr>
              <w:shd w:val="clear" w:color="000000" w:fill="auto"/>
              <w:spacing w:before="60" w:line="200" w:lineRule="exact"/>
              <w:jc w:val="right"/>
              <w:rPr>
                <w:sz w:val="16"/>
              </w:rPr>
            </w:pPr>
            <w:r w:rsidRPr="00D46BF0">
              <w:rPr>
                <w:sz w:val="16"/>
              </w:rPr>
              <w:t>+500 000</w:t>
            </w:r>
          </w:p>
        </w:tc>
      </w:tr>
      <w:tr w:rsidR="00000000" w:rsidRPr="00D46BF0">
        <w:tc>
          <w:tcPr>
            <w:tcW w:w="980" w:type="dxa"/>
            <w:tcBorders>
              <w:top w:val="nil"/>
              <w:left w:val="nil"/>
              <w:bottom w:val="single" w:sz="4" w:space="0" w:color="auto"/>
              <w:right w:val="nil"/>
            </w:tcBorders>
            <w:vAlign w:val="bottom"/>
          </w:tcPr>
          <w:p w:rsidR="00D46BF0" w:rsidRPr="00D46BF0" w:rsidRDefault="00D46BF0">
            <w:pPr>
              <w:shd w:val="clear" w:color="000000" w:fill="auto"/>
              <w:spacing w:before="60" w:line="200" w:lineRule="exact"/>
              <w:rPr>
                <w:b/>
                <w:bCs/>
                <w:color w:val="000000"/>
                <w:sz w:val="16"/>
              </w:rPr>
            </w:pPr>
          </w:p>
        </w:tc>
        <w:tc>
          <w:tcPr>
            <w:tcW w:w="3535" w:type="dxa"/>
            <w:tcBorders>
              <w:top w:val="nil"/>
              <w:left w:val="nil"/>
              <w:bottom w:val="single" w:sz="4" w:space="0" w:color="auto"/>
              <w:right w:val="nil"/>
            </w:tcBorders>
            <w:vAlign w:val="bottom"/>
          </w:tcPr>
          <w:p w:rsidR="00D46BF0" w:rsidRPr="00D46BF0" w:rsidRDefault="00D46BF0">
            <w:pPr>
              <w:shd w:val="clear" w:color="000000" w:fill="auto"/>
              <w:spacing w:before="60" w:line="200" w:lineRule="exact"/>
              <w:rPr>
                <w:b/>
                <w:bCs/>
                <w:color w:val="000000"/>
                <w:sz w:val="16"/>
              </w:rPr>
            </w:pPr>
            <w:r w:rsidRPr="00D46BF0">
              <w:rPr>
                <w:b/>
                <w:bCs/>
                <w:color w:val="000000"/>
                <w:sz w:val="16"/>
              </w:rPr>
              <w:t>Summa:</w:t>
            </w:r>
          </w:p>
        </w:tc>
        <w:tc>
          <w:tcPr>
            <w:tcW w:w="2125" w:type="dxa"/>
            <w:tcBorders>
              <w:top w:val="nil"/>
              <w:left w:val="nil"/>
              <w:bottom w:val="single" w:sz="4" w:space="0" w:color="auto"/>
              <w:right w:val="nil"/>
            </w:tcBorders>
            <w:vAlign w:val="bottom"/>
          </w:tcPr>
          <w:p w:rsidR="00D46BF0" w:rsidRPr="00D46BF0" w:rsidRDefault="00D46BF0">
            <w:pPr>
              <w:shd w:val="clear" w:color="000000" w:fill="auto"/>
              <w:spacing w:before="60" w:line="200" w:lineRule="exact"/>
              <w:jc w:val="right"/>
              <w:rPr>
                <w:b/>
                <w:bCs/>
                <w:color w:val="000000"/>
                <w:sz w:val="16"/>
              </w:rPr>
            </w:pPr>
          </w:p>
        </w:tc>
        <w:tc>
          <w:tcPr>
            <w:tcW w:w="2060" w:type="dxa"/>
            <w:tcBorders>
              <w:top w:val="nil"/>
              <w:left w:val="nil"/>
              <w:bottom w:val="single" w:sz="4" w:space="0" w:color="auto"/>
              <w:right w:val="nil"/>
            </w:tcBorders>
            <w:vAlign w:val="bottom"/>
          </w:tcPr>
          <w:p w:rsidR="00D46BF0" w:rsidRPr="00D46BF0" w:rsidRDefault="00D46BF0">
            <w:pPr>
              <w:shd w:val="clear" w:color="000000" w:fill="auto"/>
              <w:spacing w:before="60" w:line="200" w:lineRule="exact"/>
              <w:jc w:val="right"/>
              <w:rPr>
                <w:b/>
                <w:bCs/>
                <w:color w:val="000000"/>
                <w:sz w:val="16"/>
              </w:rPr>
            </w:pPr>
            <w:r w:rsidRPr="00D46BF0">
              <w:rPr>
                <w:b/>
                <w:sz w:val="16"/>
              </w:rPr>
              <w:t>+14 324 000</w:t>
            </w:r>
          </w:p>
        </w:tc>
      </w:tr>
    </w:tbl>
    <w:p w:rsidR="00D46BF0" w:rsidRPr="00D46BF0" w:rsidRDefault="00D46BF0">
      <w:pPr>
        <w:shd w:val="clear" w:color="000000" w:fill="auto"/>
      </w:pPr>
    </w:p>
    <w:p w:rsidR="00D46BF0" w:rsidRPr="00D46BF0" w:rsidRDefault="00D46BF0">
      <w:pPr>
        <w:pStyle w:val="Rubrik1"/>
        <w:shd w:val="clear" w:color="000000" w:fill="auto"/>
      </w:pPr>
      <w:r w:rsidRPr="00D46BF0">
        <w:lastRenderedPageBreak/>
        <w:t>Kommunerna och krisen</w:t>
      </w:r>
    </w:p>
    <w:p w:rsidR="00D46BF0" w:rsidRPr="00D46BF0" w:rsidRDefault="00D46BF0">
      <w:pPr>
        <w:shd w:val="clear" w:color="000000" w:fill="auto"/>
      </w:pPr>
      <w:r w:rsidRPr="00D46BF0">
        <w:t>Det pågår en rad uppsägningsprocesser i kommuner och landsting. Regerin</w:t>
      </w:r>
      <w:r w:rsidRPr="00D46BF0">
        <w:t>g</w:t>
      </w:r>
      <w:r w:rsidRPr="00D46BF0">
        <w:t>ens tillfälliga statsbidrag kan förhoppningsvis betyda att många av dem a</w:t>
      </w:r>
      <w:r w:rsidRPr="00D46BF0">
        <w:t>v</w:t>
      </w:r>
      <w:r w:rsidRPr="00D46BF0">
        <w:t>bryts, men för många kommuner kom beskedet i sista minuten. Vi menar att det är viktigt att kommuner och landsting så snart som möjligt får besked om betydande tillskott även 2011 så att de får ordentliga planeringsförutsättnin</w:t>
      </w:r>
      <w:r w:rsidRPr="00D46BF0">
        <w:t>g</w:t>
      </w:r>
      <w:r w:rsidRPr="00D46BF0">
        <w:t>ar.</w:t>
      </w:r>
    </w:p>
    <w:p w:rsidR="00D46BF0" w:rsidRPr="00D46BF0" w:rsidRDefault="00D46BF0">
      <w:pPr>
        <w:pStyle w:val="Normaltindrag"/>
        <w:shd w:val="clear" w:color="000000" w:fill="auto"/>
      </w:pPr>
      <w:r w:rsidRPr="00D46BF0">
        <w:t>Vi föreslår därför generella stöd på 10 miljarder kronor för år 2010, varav 1 miljard kronor är en permanent höjning av statsbidragen och 9 miljarder kronor tillfälliga tillskott. Det möjliggör omkring 20 </w:t>
      </w:r>
      <w:r w:rsidRPr="00D46BF0">
        <w:t>000 nyanställningar i kommunerna. Det skulle vara en mycket konkret insats för att motverka kr</w:t>
      </w:r>
      <w:r w:rsidRPr="00D46BF0">
        <w:t>i</w:t>
      </w:r>
      <w:r w:rsidRPr="00D46BF0">
        <w:t xml:space="preserve">sen: många av dem som redan fått gå skulle kunna återanställas, och många av dem som just utbildat sig färdigt i ett välfärdsyrke skulle kunna hitta ett första jobb. Det skulle i sin tur förstärka deras köpkraft och därmed den totala efterfrågan i ekonomin. </w:t>
      </w:r>
    </w:p>
    <w:p w:rsidR="00D46BF0" w:rsidRPr="00D46BF0" w:rsidRDefault="00D46BF0">
      <w:pPr>
        <w:pStyle w:val="Normaltindrag"/>
        <w:shd w:val="clear" w:color="000000" w:fill="auto"/>
      </w:pPr>
      <w:r w:rsidRPr="00D46BF0">
        <w:t>Vänsterpartiets inställning är att vi behöver betydligt fler som arbetar i vä</w:t>
      </w:r>
      <w:r w:rsidRPr="00D46BF0">
        <w:t>l</w:t>
      </w:r>
      <w:r w:rsidRPr="00D46BF0">
        <w:t>färden, inte färre. Vi vill genomföra en bred utbyggnad av utbildningsväse</w:t>
      </w:r>
      <w:r w:rsidRPr="00D46BF0">
        <w:t>n</w:t>
      </w:r>
      <w:r w:rsidRPr="00D46BF0">
        <w:t>det för att kunna fortsätta en sådan förstärkning av den offentliga sektorn långsiktigt. Vi menar att den politiska ambitionsnivån måste stämma överens med de behov och de förväntningar människor har. Kvalitetshöjningar av välfärdstjänsterna inom förskola, skolbarnsomsorg, skola och äldreomsorg har efterfrågats länge i Sverige och har ett långt starkare stöd än skattesän</w:t>
      </w:r>
      <w:r w:rsidRPr="00D46BF0">
        <w:t>k</w:t>
      </w:r>
      <w:r w:rsidRPr="00D46BF0">
        <w:t xml:space="preserve">ningar. </w:t>
      </w:r>
    </w:p>
    <w:p w:rsidR="00D46BF0" w:rsidRPr="00D46BF0" w:rsidRDefault="00D46BF0">
      <w:pPr>
        <w:pStyle w:val="Normaltindrag"/>
        <w:shd w:val="clear" w:color="000000" w:fill="auto"/>
      </w:pPr>
      <w:r w:rsidRPr="00D46BF0">
        <w:t>I Vänsterpartiets budgetmotion utvecklar vi de här re</w:t>
      </w:r>
      <w:r w:rsidRPr="00D46BF0">
        <w:t>sonemangen och r</w:t>
      </w:r>
      <w:r w:rsidRPr="00D46BF0">
        <w:t>e</w:t>
      </w:r>
      <w:r w:rsidRPr="00D46BF0">
        <w:t>dogör för hur satsningen kan finansieras under den närmaste treårsperioden. Vi menar bl.a. att det skapar stora problem att regeringens tillfälliga statsb</w:t>
      </w:r>
      <w:r w:rsidRPr="00D46BF0">
        <w:t>i</w:t>
      </w:r>
      <w:r w:rsidRPr="00D46BF0">
        <w:t>drag tar slut abrupt efter 2010. Risken är uppenbar att kommuner och land</w:t>
      </w:r>
      <w:r w:rsidRPr="00D46BF0">
        <w:t>s</w:t>
      </w:r>
      <w:r w:rsidRPr="00D46BF0">
        <w:t xml:space="preserve">ting tvingas att återuppta varselprocesserna om de inte snart får klara besked om vilka ekonomiska villkor som gäller. </w:t>
      </w:r>
    </w:p>
    <w:p w:rsidR="00D46BF0" w:rsidRPr="00D46BF0" w:rsidRDefault="00D46BF0">
      <w:pPr>
        <w:pStyle w:val="Rubrik1"/>
        <w:shd w:val="clear" w:color="000000" w:fill="auto"/>
      </w:pPr>
      <w:bookmarkStart w:id="0" w:name="_Toc222709262"/>
      <w:bookmarkEnd w:id="0"/>
      <w:r w:rsidRPr="00D46BF0">
        <w:t>Investeringsstöd till kommunerna</w:t>
      </w:r>
    </w:p>
    <w:p w:rsidR="00D46BF0" w:rsidRPr="00D46BF0" w:rsidRDefault="00D46BF0">
      <w:pPr>
        <w:shd w:val="clear" w:color="000000" w:fill="auto"/>
      </w:pPr>
      <w:r w:rsidRPr="00D46BF0">
        <w:t>I den rådande lågkonjunkturen krävs det insatser utöver det vanliga för att kommunsektorn inte ska bidra till att förvärra lågkonjunkturen. Det finns en risk att investeringar inte blir av eller skjuts på framtiden, när de tvärtom skulle behöva tidigareläggas för att hålla igång ekonomin och skapa arbetstil</w:t>
      </w:r>
      <w:r w:rsidRPr="00D46BF0">
        <w:t>l</w:t>
      </w:r>
      <w:r w:rsidRPr="00D46BF0">
        <w:t>fällen.</w:t>
      </w:r>
    </w:p>
    <w:p w:rsidR="00D46BF0" w:rsidRPr="00D46BF0" w:rsidRDefault="00D46BF0">
      <w:pPr>
        <w:pStyle w:val="Normaltindrag"/>
        <w:shd w:val="clear" w:color="000000" w:fill="auto"/>
      </w:pPr>
      <w:r w:rsidRPr="00D46BF0">
        <w:t>Under perioden 2002–2006 uppgick kommunernas och landstingens totala investeringsutgifter till drygt 167 miljarder kronor. Förutom investeringar i byggnader, t.ex. skolor och sjukhus, investerar kommuner och landsting även i infrastrukturen för el, vatten, fjärrvärme, vägar och bostäder.</w:t>
      </w:r>
    </w:p>
    <w:p w:rsidR="00D46BF0" w:rsidRPr="00D46BF0" w:rsidRDefault="00D46BF0">
      <w:pPr>
        <w:pStyle w:val="Normaltindrag"/>
        <w:shd w:val="clear" w:color="000000" w:fill="auto"/>
      </w:pPr>
      <w:r w:rsidRPr="00D46BF0">
        <w:t>Vänsterpartiet föreslår att ett konjunkturellt investeringsstöd införs under 2009. Stödet skulle omfatta 8 miljarder kronor som medfinansiering till kommunsektorn. Som mest bör stödet kunna uppgå till 20 procent av inv</w:t>
      </w:r>
      <w:r w:rsidRPr="00D46BF0">
        <w:t>e</w:t>
      </w:r>
      <w:r w:rsidRPr="00D46BF0">
        <w:t>steringskostnaden och det bör omfatta investeringar som tidigareläggs eller annars riskerar att bli uppskjutna. Vi menar att investeringsstödet särskilt ska gynna dels ökad tillgänglighet för personer med funktionsnedsättning, dels miljö- och energieffektiviseringar. Det skulle underlätta för kommunsektorn att nå målet om ”enkelt avhjälpta hinder” 2010, dvs. öka tillgängligheten.</w:t>
      </w:r>
    </w:p>
    <w:p w:rsidR="00D46BF0" w:rsidRPr="00D46BF0" w:rsidRDefault="00D46BF0">
      <w:pPr>
        <w:pStyle w:val="Normaltindrag"/>
        <w:shd w:val="clear" w:color="000000" w:fill="auto"/>
      </w:pPr>
      <w:r w:rsidRPr="00D46BF0">
        <w:t>Det är svårt att veta hur mycket stödet skulle påverka investeringarna, men bygginvesteringar för 8 miljarder kronor skulle skap</w:t>
      </w:r>
      <w:r w:rsidRPr="00D46BF0">
        <w:t>a i storleksordningen 9 000 arbetstillfällen. I det här fallet handlar det dessutom om att undvika en risk för att kommunerna skjuter på sina investeringar när de ser skatteinkom</w:t>
      </w:r>
      <w:r w:rsidRPr="00D46BF0">
        <w:t>s</w:t>
      </w:r>
      <w:r w:rsidRPr="00D46BF0">
        <w:t>terna sjunka. Det skulle betyda att kommunerna förvärrar krisen genom ett procykliskt agerande. För att hindra det behövs ett tydligt incitament att sn</w:t>
      </w:r>
      <w:r w:rsidRPr="00D46BF0">
        <w:t>a</w:t>
      </w:r>
      <w:r w:rsidRPr="00D46BF0">
        <w:t xml:space="preserve">rare tidigarelägga byggprojekt och det är därför vi föreslår det här tillfälliga investeringsstödet. </w:t>
      </w:r>
    </w:p>
    <w:p w:rsidR="00D46BF0" w:rsidRPr="00D46BF0" w:rsidRDefault="00D46BF0">
      <w:pPr>
        <w:pStyle w:val="Normaltindrag"/>
        <w:shd w:val="clear" w:color="000000" w:fill="auto"/>
      </w:pPr>
      <w:r w:rsidRPr="00D46BF0">
        <w:t>Av de 8 miljarder kronor vi föreslår totalt används 400 miljoner kronor inom ra</w:t>
      </w:r>
      <w:r w:rsidRPr="00D46BF0">
        <w:t>men för en motsvarighet till ROT-avdraget för offentlig sektor, som inte redovisas här. Den satsningen är en överenskommelse mellan Sociald</w:t>
      </w:r>
      <w:r w:rsidRPr="00D46BF0">
        <w:t>e</w:t>
      </w:r>
      <w:r w:rsidRPr="00D46BF0">
        <w:t>mokraterna, Vänsterpartiet och Miljöpartiet. Förutom att 400 miljoner kronor avsätts år 2010, finns lika mycket budgeterat för också 2011 och 2012.</w:t>
      </w:r>
    </w:p>
    <w:p w:rsidR="00D46BF0" w:rsidRPr="00D46BF0" w:rsidRDefault="00D46BF0">
      <w:pPr>
        <w:pStyle w:val="Rubrik1"/>
        <w:shd w:val="clear" w:color="000000" w:fill="auto"/>
      </w:pPr>
      <w:r w:rsidRPr="00D46BF0">
        <w:t>Övriga förslag</w:t>
      </w:r>
    </w:p>
    <w:p w:rsidR="00D46BF0" w:rsidRPr="00D46BF0" w:rsidRDefault="00D46BF0">
      <w:pPr>
        <w:pStyle w:val="Rubrik2"/>
        <w:shd w:val="clear" w:color="000000" w:fill="auto"/>
        <w:spacing w:before="125"/>
      </w:pPr>
      <w:r w:rsidRPr="00D46BF0">
        <w:t>Full sjukvård för asylsökande och papperslösa</w:t>
      </w:r>
    </w:p>
    <w:p w:rsidR="00D46BF0" w:rsidRPr="00D46BF0" w:rsidRDefault="00D46BF0">
      <w:pPr>
        <w:shd w:val="clear" w:color="000000" w:fill="auto"/>
      </w:pPr>
      <w:r w:rsidRPr="00D46BF0">
        <w:t>Den medicinska etikens mest grundläggande princip är alla människors rätt till vård efter behov. Ekonomisk, social eller juridisk ställning, politisk eller religiös tillhörighet, etnisk bakgrund, kön och liknande faktorer får inte p</w:t>
      </w:r>
      <w:r w:rsidRPr="00D46BF0">
        <w:t>å</w:t>
      </w:r>
      <w:r w:rsidRPr="00D46BF0">
        <w:t>verka den medicinska professionens handlande. För att svara upp mot detta och till internationella konventioner om mänskliga rättigheter, vill Vänste</w:t>
      </w:r>
      <w:r w:rsidRPr="00D46BF0">
        <w:t>r</w:t>
      </w:r>
      <w:r w:rsidRPr="00D46BF0">
        <w:t>partiet genomföra en reform som ger asylsökande och papperslösa rätt till full sjukvård inom ramen för befintligt hälso- och sjukvårdssystem. För att reglera kommunsektorns ökade kostnader för denna reform höjer vi anslag 1:1 med 500 miljoner kronor 2010.</w:t>
      </w:r>
    </w:p>
    <w:p w:rsidR="00D46BF0" w:rsidRPr="00D46BF0" w:rsidRDefault="00D46BF0">
      <w:pPr>
        <w:pStyle w:val="Rubrik2"/>
        <w:shd w:val="clear" w:color="000000" w:fill="auto"/>
      </w:pPr>
      <w:r w:rsidRPr="00D46BF0">
        <w:t xml:space="preserve">Ökade medel till kommunerna för gömda barns skolgång </w:t>
      </w:r>
    </w:p>
    <w:p w:rsidR="00D46BF0" w:rsidRPr="00D46BF0" w:rsidRDefault="00D46BF0">
      <w:pPr>
        <w:shd w:val="clear" w:color="000000" w:fill="auto"/>
      </w:pPr>
      <w:r w:rsidRPr="00D46BF0">
        <w:t>Sedan budgetpropositionen för 2006 tillförs kommunerna 50 miljoner kronor årligen inom ramen för det generella statsbidraget för att tillgodose behovet av att ordna skolgång för barn till papperslösa och till asylsökande som lever gömda. Detta gjordes i väntan på att en laglig reglering av gömda barns rätt till skolgång, från förskola till gymnasiet inklusive särskola, skyndsamt skulle färdigberedas inom Utrikesdepartementet. Regeringen föreslår i budgetprop</w:t>
      </w:r>
      <w:r w:rsidRPr="00D46BF0">
        <w:t>o</w:t>
      </w:r>
      <w:r w:rsidRPr="00D46BF0">
        <w:t xml:space="preserve">sitionen, trots att någon reglering ännu inte kommit till stånd, att dessa medel slopas från 2011. För att kommunerna ska ha möjlighet att tillgodose det behov som fortfarande är stort, och som kommer att vara det även med en lagstiftad reglering, bör dessa medel finnas kvar. Därför ökar vi anslag 1:1 med 50 miljoner kronor 2011 och 2012. </w:t>
      </w:r>
    </w:p>
    <w:p w:rsidR="00D46BF0" w:rsidRPr="00D46BF0" w:rsidRDefault="00D46BF0">
      <w:pPr>
        <w:pStyle w:val="Rubrik2"/>
        <w:shd w:val="clear" w:color="000000" w:fill="auto"/>
      </w:pPr>
      <w:r w:rsidRPr="00D46BF0">
        <w:t>Lärcentra övergår till statlig finansiering</w:t>
      </w:r>
    </w:p>
    <w:p w:rsidR="00D46BF0" w:rsidRPr="00D46BF0" w:rsidRDefault="00D46BF0">
      <w:pPr>
        <w:shd w:val="clear" w:color="000000" w:fill="auto"/>
      </w:pPr>
      <w:r w:rsidRPr="00D46BF0">
        <w:t xml:space="preserve">Vi vill att staten övertar finansieringen av lärcentra och flyttar därför 300 miljoner kronor från anslag 1:1 till utgiftsområde16. </w:t>
      </w:r>
    </w:p>
    <w:p w:rsidR="00D46BF0" w:rsidRPr="00D46BF0" w:rsidRDefault="00D46BF0">
      <w:pPr>
        <w:pStyle w:val="Rubrik2"/>
        <w:shd w:val="clear" w:color="000000" w:fill="auto"/>
      </w:pPr>
      <w:r w:rsidRPr="00D46BF0">
        <w:t>Avvisade förslag från regeringen</w:t>
      </w:r>
    </w:p>
    <w:p w:rsidR="00D46BF0" w:rsidRPr="00D46BF0" w:rsidRDefault="00D46BF0">
      <w:pPr>
        <w:shd w:val="clear" w:color="000000" w:fill="auto"/>
      </w:pPr>
      <w:r w:rsidRPr="00D46BF0">
        <w:t>Vi avvisar regeringens förslag om nationella prov i årskurs 3 och 5 och om att införa en barnomsorgspeng. Därför tar vi också bort de ökade medel ko</w:t>
      </w:r>
      <w:r w:rsidRPr="00D46BF0">
        <w:t>m</w:t>
      </w:r>
      <w:r w:rsidRPr="00D46BF0">
        <w:t>munsektorn tilldelas i budgetpropositionen för att genomföra de förändringa</w:t>
      </w:r>
      <w:r w:rsidRPr="00D46BF0">
        <w:t>r</w:t>
      </w:r>
      <w:r w:rsidRPr="00D46BF0">
        <w:t>na: totalt 276 miljoner kronor år 2010.</w:t>
      </w:r>
    </w:p>
    <w:p w:rsidR="00D46BF0" w:rsidRPr="00D46BF0" w:rsidRDefault="00D46BF0">
      <w:pPr>
        <w:pStyle w:val="Rubrik1"/>
        <w:shd w:val="clear" w:color="000000" w:fill="auto"/>
      </w:pPr>
      <w:r w:rsidRPr="00D46BF0">
        <w:t>Ekonomiska regleringar</w:t>
      </w:r>
    </w:p>
    <w:p w:rsidR="00D46BF0" w:rsidRPr="00D46BF0" w:rsidRDefault="00D46BF0">
      <w:pPr>
        <w:shd w:val="clear" w:color="000000" w:fill="auto"/>
      </w:pPr>
      <w:r w:rsidRPr="00D46BF0">
        <w:t>Flera av de förslag vi lägger i budgetmotionen påverkar kommunernas skatt</w:t>
      </w:r>
      <w:r w:rsidRPr="00D46BF0">
        <w:t>e</w:t>
      </w:r>
      <w:r w:rsidRPr="00D46BF0">
        <w:t>inkomster. Vi reglerar de effekterna gentemot kommunsektorn. Därmed ser vi till att kommunerna vare sig förlorar eller vinner direkt ekonomiskt på de förändringar vi gör i t.ex. arbetsgivaravgifterna eller transfereringssystemen:</w:t>
      </w:r>
    </w:p>
    <w:tbl>
      <w:tblPr>
        <w:tblW w:w="6023" w:type="dxa"/>
        <w:tblInd w:w="70" w:type="dxa"/>
        <w:tblCellMar>
          <w:left w:w="70" w:type="dxa"/>
          <w:right w:w="70" w:type="dxa"/>
        </w:tblCellMar>
        <w:tblLook w:val="0000" w:firstRow="0" w:lastRow="0" w:firstColumn="0" w:lastColumn="0" w:noHBand="0" w:noVBand="0"/>
      </w:tblPr>
      <w:tblGrid>
        <w:gridCol w:w="3284"/>
        <w:gridCol w:w="913"/>
        <w:gridCol w:w="913"/>
        <w:gridCol w:w="913"/>
      </w:tblGrid>
      <w:tr w:rsidR="00000000" w:rsidRPr="00D46BF0">
        <w:trPr>
          <w:trHeight w:val="255"/>
        </w:trPr>
        <w:tc>
          <w:tcPr>
            <w:tcW w:w="3284" w:type="dxa"/>
            <w:tcBorders>
              <w:top w:val="single" w:sz="4" w:space="0" w:color="auto"/>
              <w:left w:val="nil"/>
              <w:bottom w:val="nil"/>
              <w:right w:val="nil"/>
            </w:tcBorders>
            <w:noWrap/>
          </w:tcPr>
          <w:p w:rsidR="00D46BF0" w:rsidRPr="00D46BF0" w:rsidRDefault="00D46BF0">
            <w:pPr>
              <w:shd w:val="clear" w:color="000000" w:fill="auto"/>
              <w:spacing w:before="60" w:line="200" w:lineRule="exact"/>
              <w:rPr>
                <w:sz w:val="16"/>
                <w:szCs w:val="16"/>
              </w:rPr>
            </w:pPr>
            <w:r w:rsidRPr="00D46BF0">
              <w:rPr>
                <w:sz w:val="16"/>
                <w:szCs w:val="16"/>
              </w:rPr>
              <w:t>Högre arbetsgivaravgift för ungdomar</w:t>
            </w:r>
          </w:p>
        </w:tc>
        <w:tc>
          <w:tcPr>
            <w:tcW w:w="913" w:type="dxa"/>
            <w:tcBorders>
              <w:top w:val="single" w:sz="4" w:space="0" w:color="auto"/>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1 500</w:t>
            </w:r>
          </w:p>
        </w:tc>
        <w:tc>
          <w:tcPr>
            <w:tcW w:w="913" w:type="dxa"/>
            <w:tcBorders>
              <w:top w:val="single" w:sz="4" w:space="0" w:color="auto"/>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2 300</w:t>
            </w:r>
          </w:p>
        </w:tc>
        <w:tc>
          <w:tcPr>
            <w:tcW w:w="913" w:type="dxa"/>
            <w:tcBorders>
              <w:top w:val="single" w:sz="4" w:space="0" w:color="auto"/>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2 800</w:t>
            </w:r>
          </w:p>
        </w:tc>
      </w:tr>
      <w:tr w:rsidR="00000000" w:rsidRPr="00D46BF0">
        <w:trPr>
          <w:trHeight w:val="255"/>
        </w:trPr>
        <w:tc>
          <w:tcPr>
            <w:tcW w:w="3284" w:type="dxa"/>
            <w:tcBorders>
              <w:top w:val="nil"/>
              <w:left w:val="nil"/>
              <w:bottom w:val="nil"/>
              <w:right w:val="nil"/>
            </w:tcBorders>
            <w:noWrap/>
          </w:tcPr>
          <w:p w:rsidR="00D46BF0" w:rsidRPr="00D46BF0" w:rsidRDefault="00D46BF0">
            <w:pPr>
              <w:shd w:val="clear" w:color="000000" w:fill="auto"/>
              <w:spacing w:before="60" w:line="200" w:lineRule="exact"/>
              <w:rPr>
                <w:sz w:val="16"/>
                <w:szCs w:val="16"/>
              </w:rPr>
            </w:pPr>
            <w:r w:rsidRPr="00D46BF0">
              <w:rPr>
                <w:sz w:val="16"/>
                <w:szCs w:val="16"/>
              </w:rPr>
              <w:t>Högre arbetsgivaravgift, 1 %</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2 600</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2 800</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3 000</w:t>
            </w:r>
          </w:p>
        </w:tc>
      </w:tr>
      <w:tr w:rsidR="00000000" w:rsidRPr="00D46BF0">
        <w:trPr>
          <w:trHeight w:val="255"/>
        </w:trPr>
        <w:tc>
          <w:tcPr>
            <w:tcW w:w="3284" w:type="dxa"/>
            <w:tcBorders>
              <w:top w:val="nil"/>
              <w:left w:val="nil"/>
              <w:bottom w:val="nil"/>
              <w:right w:val="nil"/>
            </w:tcBorders>
            <w:noWrap/>
            <w:vAlign w:val="bottom"/>
          </w:tcPr>
          <w:p w:rsidR="00D46BF0" w:rsidRPr="00D46BF0" w:rsidRDefault="00D46BF0">
            <w:pPr>
              <w:shd w:val="clear" w:color="000000" w:fill="auto"/>
              <w:spacing w:before="60" w:line="200" w:lineRule="exact"/>
              <w:rPr>
                <w:sz w:val="16"/>
                <w:szCs w:val="16"/>
              </w:rPr>
            </w:pPr>
            <w:r w:rsidRPr="00D46BF0">
              <w:rPr>
                <w:sz w:val="16"/>
                <w:szCs w:val="16"/>
              </w:rPr>
              <w:t xml:space="preserve">Höjt tak i föräldrapenningen </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–100</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–100</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–100</w:t>
            </w:r>
          </w:p>
        </w:tc>
      </w:tr>
      <w:tr w:rsidR="00000000" w:rsidRPr="00D46BF0">
        <w:trPr>
          <w:trHeight w:val="255"/>
        </w:trPr>
        <w:tc>
          <w:tcPr>
            <w:tcW w:w="3284" w:type="dxa"/>
            <w:tcBorders>
              <w:top w:val="nil"/>
              <w:left w:val="nil"/>
              <w:bottom w:val="nil"/>
              <w:right w:val="nil"/>
            </w:tcBorders>
            <w:noWrap/>
            <w:vAlign w:val="bottom"/>
          </w:tcPr>
          <w:p w:rsidR="00D46BF0" w:rsidRPr="00D46BF0" w:rsidRDefault="00D46BF0">
            <w:pPr>
              <w:shd w:val="clear" w:color="000000" w:fill="auto"/>
              <w:spacing w:before="60" w:line="200" w:lineRule="exact"/>
              <w:rPr>
                <w:sz w:val="16"/>
                <w:szCs w:val="16"/>
              </w:rPr>
            </w:pPr>
            <w:r w:rsidRPr="00D46BF0">
              <w:rPr>
                <w:sz w:val="16"/>
                <w:szCs w:val="16"/>
              </w:rPr>
              <w:t>Föräldraförsäkring på 80 % av SGI</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–300</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–300</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–300</w:t>
            </w:r>
          </w:p>
        </w:tc>
      </w:tr>
      <w:tr w:rsidR="00000000" w:rsidRPr="00D46BF0">
        <w:trPr>
          <w:trHeight w:val="255"/>
        </w:trPr>
        <w:tc>
          <w:tcPr>
            <w:tcW w:w="3284" w:type="dxa"/>
            <w:tcBorders>
              <w:top w:val="nil"/>
              <w:left w:val="nil"/>
              <w:bottom w:val="nil"/>
              <w:right w:val="nil"/>
            </w:tcBorders>
            <w:noWrap/>
            <w:vAlign w:val="bottom"/>
          </w:tcPr>
          <w:p w:rsidR="00D46BF0" w:rsidRPr="00D46BF0" w:rsidRDefault="00D46BF0">
            <w:pPr>
              <w:shd w:val="clear" w:color="000000" w:fill="auto"/>
              <w:spacing w:before="60" w:line="200" w:lineRule="exact"/>
              <w:rPr>
                <w:sz w:val="16"/>
                <w:szCs w:val="16"/>
              </w:rPr>
            </w:pPr>
            <w:r w:rsidRPr="00D46BF0">
              <w:rPr>
                <w:sz w:val="16"/>
                <w:szCs w:val="16"/>
              </w:rPr>
              <w:t>Höjd garantipension</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–800</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–800</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–800</w:t>
            </w:r>
          </w:p>
        </w:tc>
      </w:tr>
      <w:tr w:rsidR="00000000" w:rsidRPr="00D46BF0">
        <w:trPr>
          <w:trHeight w:val="255"/>
        </w:trPr>
        <w:tc>
          <w:tcPr>
            <w:tcW w:w="3284" w:type="dxa"/>
            <w:tcBorders>
              <w:top w:val="nil"/>
              <w:left w:val="nil"/>
              <w:bottom w:val="nil"/>
              <w:right w:val="nil"/>
            </w:tcBorders>
            <w:noWrap/>
            <w:vAlign w:val="bottom"/>
          </w:tcPr>
          <w:p w:rsidR="00D46BF0" w:rsidRPr="00D46BF0" w:rsidRDefault="00D46BF0">
            <w:pPr>
              <w:shd w:val="clear" w:color="000000" w:fill="auto"/>
              <w:spacing w:before="60" w:line="200" w:lineRule="exact"/>
              <w:rPr>
                <w:sz w:val="16"/>
                <w:szCs w:val="16"/>
              </w:rPr>
            </w:pPr>
            <w:r w:rsidRPr="00D46BF0">
              <w:rPr>
                <w:sz w:val="16"/>
                <w:szCs w:val="16"/>
              </w:rPr>
              <w:t>Höjd tilläggspension 6 %</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–700</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–600</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–500</w:t>
            </w:r>
          </w:p>
        </w:tc>
      </w:tr>
      <w:tr w:rsidR="00000000" w:rsidRPr="00D46BF0">
        <w:trPr>
          <w:trHeight w:val="255"/>
        </w:trPr>
        <w:tc>
          <w:tcPr>
            <w:tcW w:w="3284" w:type="dxa"/>
            <w:tcBorders>
              <w:top w:val="nil"/>
              <w:left w:val="nil"/>
              <w:bottom w:val="nil"/>
              <w:right w:val="nil"/>
            </w:tcBorders>
            <w:noWrap/>
            <w:vAlign w:val="bottom"/>
          </w:tcPr>
          <w:p w:rsidR="00D46BF0" w:rsidRPr="00D46BF0" w:rsidRDefault="00D46BF0">
            <w:pPr>
              <w:shd w:val="clear" w:color="000000" w:fill="auto"/>
              <w:spacing w:before="60" w:line="200" w:lineRule="exact"/>
              <w:rPr>
                <w:sz w:val="16"/>
                <w:szCs w:val="16"/>
              </w:rPr>
            </w:pPr>
            <w:r w:rsidRPr="00D46BF0">
              <w:rPr>
                <w:sz w:val="16"/>
                <w:szCs w:val="16"/>
              </w:rPr>
              <w:t>Slopad reducering av SGI</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–100</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–100</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–200</w:t>
            </w:r>
          </w:p>
        </w:tc>
      </w:tr>
      <w:tr w:rsidR="00000000" w:rsidRPr="00D46BF0">
        <w:trPr>
          <w:trHeight w:val="255"/>
        </w:trPr>
        <w:tc>
          <w:tcPr>
            <w:tcW w:w="3284" w:type="dxa"/>
            <w:tcBorders>
              <w:top w:val="nil"/>
              <w:left w:val="nil"/>
              <w:bottom w:val="nil"/>
              <w:right w:val="nil"/>
            </w:tcBorders>
            <w:noWrap/>
            <w:vAlign w:val="bottom"/>
          </w:tcPr>
          <w:p w:rsidR="00D46BF0" w:rsidRPr="00D46BF0" w:rsidRDefault="00D46BF0">
            <w:pPr>
              <w:shd w:val="clear" w:color="000000" w:fill="auto"/>
              <w:spacing w:before="60" w:line="200" w:lineRule="exact"/>
              <w:rPr>
                <w:sz w:val="16"/>
                <w:szCs w:val="16"/>
              </w:rPr>
            </w:pPr>
            <w:r w:rsidRPr="00D46BF0">
              <w:rPr>
                <w:sz w:val="16"/>
                <w:szCs w:val="16"/>
              </w:rPr>
              <w:t>Höjt tak i sjukförsäkringen</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–200</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–200</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–300</w:t>
            </w:r>
          </w:p>
        </w:tc>
      </w:tr>
      <w:tr w:rsidR="00000000" w:rsidRPr="00D46BF0">
        <w:trPr>
          <w:trHeight w:val="255"/>
        </w:trPr>
        <w:tc>
          <w:tcPr>
            <w:tcW w:w="3284" w:type="dxa"/>
            <w:tcBorders>
              <w:top w:val="nil"/>
              <w:left w:val="nil"/>
              <w:bottom w:val="nil"/>
              <w:right w:val="nil"/>
            </w:tcBorders>
            <w:noWrap/>
            <w:vAlign w:val="bottom"/>
          </w:tcPr>
          <w:p w:rsidR="00D46BF0" w:rsidRPr="00D46BF0" w:rsidRDefault="00D46BF0">
            <w:pPr>
              <w:shd w:val="clear" w:color="000000" w:fill="auto"/>
              <w:spacing w:before="60" w:line="200" w:lineRule="exact"/>
              <w:rPr>
                <w:sz w:val="16"/>
                <w:szCs w:val="16"/>
              </w:rPr>
            </w:pPr>
            <w:r w:rsidRPr="00D46BF0">
              <w:rPr>
                <w:sz w:val="16"/>
                <w:szCs w:val="16"/>
              </w:rPr>
              <w:t xml:space="preserve">Sjukpenning 80 % utan tidsgräns </w:t>
            </w:r>
          </w:p>
        </w:tc>
        <w:tc>
          <w:tcPr>
            <w:tcW w:w="913" w:type="dxa"/>
            <w:tcBorders>
              <w:top w:val="nil"/>
              <w:left w:val="nil"/>
              <w:bottom w:val="nil"/>
              <w:right w:val="nil"/>
            </w:tcBorders>
            <w:noWrap/>
            <w:vAlign w:val="bottom"/>
          </w:tcPr>
          <w:p w:rsidR="00D46BF0" w:rsidRPr="00D46BF0" w:rsidRDefault="00D46BF0">
            <w:pPr>
              <w:shd w:val="clear" w:color="000000" w:fill="auto"/>
              <w:spacing w:before="60" w:line="200" w:lineRule="exact"/>
              <w:jc w:val="right"/>
              <w:rPr>
                <w:sz w:val="16"/>
                <w:szCs w:val="16"/>
              </w:rPr>
            </w:pPr>
            <w:r w:rsidRPr="00D46BF0">
              <w:rPr>
                <w:sz w:val="16"/>
                <w:szCs w:val="16"/>
              </w:rPr>
              <w:t>–600</w:t>
            </w:r>
          </w:p>
        </w:tc>
        <w:tc>
          <w:tcPr>
            <w:tcW w:w="913" w:type="dxa"/>
            <w:tcBorders>
              <w:top w:val="nil"/>
              <w:left w:val="nil"/>
              <w:bottom w:val="nil"/>
              <w:right w:val="nil"/>
            </w:tcBorders>
            <w:noWrap/>
            <w:vAlign w:val="bottom"/>
          </w:tcPr>
          <w:p w:rsidR="00D46BF0" w:rsidRPr="00D46BF0" w:rsidRDefault="00D46BF0">
            <w:pPr>
              <w:shd w:val="clear" w:color="000000" w:fill="auto"/>
              <w:spacing w:before="60" w:line="200" w:lineRule="exact"/>
              <w:jc w:val="right"/>
              <w:rPr>
                <w:sz w:val="16"/>
                <w:szCs w:val="16"/>
              </w:rPr>
            </w:pPr>
            <w:r w:rsidRPr="00D46BF0">
              <w:rPr>
                <w:sz w:val="16"/>
                <w:szCs w:val="16"/>
              </w:rPr>
              <w:t>–700</w:t>
            </w:r>
          </w:p>
        </w:tc>
        <w:tc>
          <w:tcPr>
            <w:tcW w:w="913" w:type="dxa"/>
            <w:tcBorders>
              <w:top w:val="nil"/>
              <w:left w:val="nil"/>
              <w:bottom w:val="nil"/>
              <w:right w:val="nil"/>
            </w:tcBorders>
            <w:noWrap/>
            <w:vAlign w:val="bottom"/>
          </w:tcPr>
          <w:p w:rsidR="00D46BF0" w:rsidRPr="00D46BF0" w:rsidRDefault="00D46BF0">
            <w:pPr>
              <w:shd w:val="clear" w:color="000000" w:fill="auto"/>
              <w:spacing w:before="60" w:line="200" w:lineRule="exact"/>
              <w:jc w:val="right"/>
              <w:rPr>
                <w:sz w:val="16"/>
                <w:szCs w:val="16"/>
              </w:rPr>
            </w:pPr>
            <w:r w:rsidRPr="00D46BF0">
              <w:rPr>
                <w:sz w:val="16"/>
                <w:szCs w:val="16"/>
              </w:rPr>
              <w:t>–700</w:t>
            </w:r>
          </w:p>
        </w:tc>
      </w:tr>
      <w:tr w:rsidR="00000000" w:rsidRPr="00D46BF0">
        <w:trPr>
          <w:trHeight w:val="255"/>
        </w:trPr>
        <w:tc>
          <w:tcPr>
            <w:tcW w:w="3284" w:type="dxa"/>
            <w:tcBorders>
              <w:top w:val="nil"/>
              <w:left w:val="nil"/>
              <w:bottom w:val="nil"/>
              <w:right w:val="nil"/>
            </w:tcBorders>
            <w:noWrap/>
            <w:vAlign w:val="bottom"/>
          </w:tcPr>
          <w:p w:rsidR="00D46BF0" w:rsidRPr="00D46BF0" w:rsidRDefault="00D46BF0">
            <w:pPr>
              <w:shd w:val="clear" w:color="000000" w:fill="auto"/>
              <w:spacing w:before="60" w:line="200" w:lineRule="exact"/>
              <w:rPr>
                <w:sz w:val="16"/>
                <w:szCs w:val="16"/>
              </w:rPr>
            </w:pPr>
            <w:r w:rsidRPr="00D46BF0">
              <w:rPr>
                <w:sz w:val="16"/>
                <w:szCs w:val="16"/>
              </w:rPr>
              <w:t>Höjd sjuk- och aktivitetsersättning</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–200</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–400</w:t>
            </w:r>
          </w:p>
        </w:tc>
        <w:tc>
          <w:tcPr>
            <w:tcW w:w="913" w:type="dxa"/>
            <w:tcBorders>
              <w:top w:val="nil"/>
              <w:left w:val="nil"/>
              <w:bottom w:val="nil"/>
              <w:right w:val="nil"/>
            </w:tcBorders>
            <w:noWrap/>
          </w:tcPr>
          <w:p w:rsidR="00D46BF0" w:rsidRPr="00D46BF0" w:rsidRDefault="00D46BF0">
            <w:pPr>
              <w:shd w:val="clear" w:color="000000" w:fill="auto"/>
              <w:spacing w:before="60" w:line="200" w:lineRule="exact"/>
              <w:jc w:val="right"/>
              <w:rPr>
                <w:sz w:val="16"/>
                <w:szCs w:val="16"/>
              </w:rPr>
            </w:pPr>
            <w:r w:rsidRPr="00D46BF0">
              <w:rPr>
                <w:sz w:val="16"/>
                <w:szCs w:val="16"/>
              </w:rPr>
              <w:t>–500</w:t>
            </w:r>
          </w:p>
        </w:tc>
      </w:tr>
      <w:tr w:rsidR="00000000" w:rsidRPr="00D46BF0">
        <w:trPr>
          <w:trHeight w:val="255"/>
        </w:trPr>
        <w:tc>
          <w:tcPr>
            <w:tcW w:w="3284" w:type="dxa"/>
            <w:tcBorders>
              <w:top w:val="nil"/>
              <w:left w:val="nil"/>
              <w:bottom w:val="nil"/>
              <w:right w:val="nil"/>
            </w:tcBorders>
            <w:noWrap/>
          </w:tcPr>
          <w:p w:rsidR="00D46BF0" w:rsidRPr="00D46BF0" w:rsidRDefault="00D46BF0">
            <w:pPr>
              <w:shd w:val="clear" w:color="000000" w:fill="auto"/>
              <w:spacing w:before="60" w:line="200" w:lineRule="exact"/>
              <w:rPr>
                <w:sz w:val="16"/>
                <w:szCs w:val="16"/>
              </w:rPr>
            </w:pPr>
            <w:r w:rsidRPr="00D46BF0">
              <w:rPr>
                <w:sz w:val="16"/>
                <w:szCs w:val="16"/>
              </w:rPr>
              <w:t>Ingen deltidsbegränsning av arbetslöshetsförsä</w:t>
            </w:r>
            <w:r w:rsidRPr="00D46BF0">
              <w:rPr>
                <w:sz w:val="16"/>
                <w:szCs w:val="16"/>
              </w:rPr>
              <w:t>k</w:t>
            </w:r>
            <w:r w:rsidRPr="00D46BF0">
              <w:rPr>
                <w:sz w:val="16"/>
                <w:szCs w:val="16"/>
              </w:rPr>
              <w:t>ringen</w:t>
            </w:r>
          </w:p>
        </w:tc>
        <w:tc>
          <w:tcPr>
            <w:tcW w:w="913" w:type="dxa"/>
            <w:tcBorders>
              <w:top w:val="nil"/>
              <w:left w:val="nil"/>
              <w:bottom w:val="nil"/>
              <w:right w:val="nil"/>
            </w:tcBorders>
            <w:noWrap/>
            <w:vAlign w:val="bottom"/>
          </w:tcPr>
          <w:p w:rsidR="00D46BF0" w:rsidRPr="00D46BF0" w:rsidRDefault="00D46BF0">
            <w:pPr>
              <w:shd w:val="clear" w:color="000000" w:fill="auto"/>
              <w:spacing w:before="60" w:line="200" w:lineRule="exact"/>
              <w:jc w:val="right"/>
              <w:rPr>
                <w:sz w:val="16"/>
                <w:szCs w:val="16"/>
              </w:rPr>
            </w:pPr>
            <w:r w:rsidRPr="00D46BF0">
              <w:rPr>
                <w:sz w:val="16"/>
                <w:szCs w:val="16"/>
              </w:rPr>
              <w:t>–900</w:t>
            </w:r>
          </w:p>
        </w:tc>
        <w:tc>
          <w:tcPr>
            <w:tcW w:w="913" w:type="dxa"/>
            <w:tcBorders>
              <w:top w:val="nil"/>
              <w:left w:val="nil"/>
              <w:bottom w:val="nil"/>
              <w:right w:val="nil"/>
            </w:tcBorders>
            <w:noWrap/>
            <w:vAlign w:val="bottom"/>
          </w:tcPr>
          <w:p w:rsidR="00D46BF0" w:rsidRPr="00D46BF0" w:rsidRDefault="00D46BF0">
            <w:pPr>
              <w:shd w:val="clear" w:color="000000" w:fill="auto"/>
              <w:spacing w:before="60" w:line="200" w:lineRule="exact"/>
              <w:jc w:val="right"/>
              <w:rPr>
                <w:sz w:val="16"/>
                <w:szCs w:val="16"/>
              </w:rPr>
            </w:pPr>
            <w:r w:rsidRPr="00D46BF0">
              <w:rPr>
                <w:sz w:val="16"/>
                <w:szCs w:val="16"/>
              </w:rPr>
              <w:t>–900</w:t>
            </w:r>
          </w:p>
        </w:tc>
        <w:tc>
          <w:tcPr>
            <w:tcW w:w="913" w:type="dxa"/>
            <w:tcBorders>
              <w:top w:val="nil"/>
              <w:left w:val="nil"/>
              <w:bottom w:val="nil"/>
              <w:right w:val="nil"/>
            </w:tcBorders>
            <w:noWrap/>
            <w:vAlign w:val="bottom"/>
          </w:tcPr>
          <w:p w:rsidR="00D46BF0" w:rsidRPr="00D46BF0" w:rsidRDefault="00D46BF0">
            <w:pPr>
              <w:shd w:val="clear" w:color="000000" w:fill="auto"/>
              <w:spacing w:before="60" w:line="200" w:lineRule="exact"/>
              <w:jc w:val="right"/>
              <w:rPr>
                <w:sz w:val="16"/>
                <w:szCs w:val="16"/>
              </w:rPr>
            </w:pPr>
            <w:r w:rsidRPr="00D46BF0">
              <w:rPr>
                <w:sz w:val="16"/>
                <w:szCs w:val="16"/>
              </w:rPr>
              <w:t>–800</w:t>
            </w:r>
          </w:p>
        </w:tc>
      </w:tr>
      <w:tr w:rsidR="00000000" w:rsidRPr="00D46BF0">
        <w:trPr>
          <w:trHeight w:val="255"/>
        </w:trPr>
        <w:tc>
          <w:tcPr>
            <w:tcW w:w="3284" w:type="dxa"/>
            <w:tcBorders>
              <w:top w:val="nil"/>
              <w:left w:val="nil"/>
              <w:bottom w:val="nil"/>
              <w:right w:val="nil"/>
            </w:tcBorders>
            <w:noWrap/>
          </w:tcPr>
          <w:p w:rsidR="00D46BF0" w:rsidRPr="00D46BF0" w:rsidRDefault="00D46BF0">
            <w:pPr>
              <w:shd w:val="clear" w:color="000000" w:fill="auto"/>
              <w:spacing w:before="60" w:line="200" w:lineRule="exact"/>
              <w:rPr>
                <w:sz w:val="16"/>
                <w:szCs w:val="16"/>
              </w:rPr>
            </w:pPr>
            <w:r w:rsidRPr="00D46BF0">
              <w:rPr>
                <w:sz w:val="16"/>
                <w:szCs w:val="16"/>
              </w:rPr>
              <w:t>Höjd ersättningsgrad och höjt tak i arbetslöshet</w:t>
            </w:r>
            <w:r w:rsidRPr="00D46BF0">
              <w:rPr>
                <w:sz w:val="16"/>
                <w:szCs w:val="16"/>
              </w:rPr>
              <w:t>s</w:t>
            </w:r>
            <w:r w:rsidRPr="00D46BF0">
              <w:rPr>
                <w:sz w:val="16"/>
                <w:szCs w:val="16"/>
              </w:rPr>
              <w:t>försäkringen och aktivitetsersättningen</w:t>
            </w:r>
          </w:p>
        </w:tc>
        <w:tc>
          <w:tcPr>
            <w:tcW w:w="913" w:type="dxa"/>
            <w:tcBorders>
              <w:top w:val="nil"/>
              <w:left w:val="nil"/>
              <w:bottom w:val="nil"/>
              <w:right w:val="nil"/>
            </w:tcBorders>
            <w:noWrap/>
            <w:vAlign w:val="center"/>
          </w:tcPr>
          <w:p w:rsidR="00D46BF0" w:rsidRPr="00D46BF0" w:rsidRDefault="00D46BF0">
            <w:pPr>
              <w:shd w:val="clear" w:color="000000" w:fill="auto"/>
              <w:spacing w:before="60" w:line="200" w:lineRule="exact"/>
              <w:jc w:val="right"/>
              <w:rPr>
                <w:sz w:val="16"/>
                <w:szCs w:val="16"/>
              </w:rPr>
            </w:pPr>
            <w:r w:rsidRPr="00D46BF0">
              <w:rPr>
                <w:sz w:val="16"/>
                <w:szCs w:val="16"/>
              </w:rPr>
              <w:t>–3 200</w:t>
            </w:r>
          </w:p>
        </w:tc>
        <w:tc>
          <w:tcPr>
            <w:tcW w:w="913" w:type="dxa"/>
            <w:tcBorders>
              <w:top w:val="nil"/>
              <w:left w:val="nil"/>
              <w:bottom w:val="nil"/>
              <w:right w:val="nil"/>
            </w:tcBorders>
            <w:noWrap/>
            <w:vAlign w:val="center"/>
          </w:tcPr>
          <w:p w:rsidR="00D46BF0" w:rsidRPr="00D46BF0" w:rsidRDefault="00D46BF0">
            <w:pPr>
              <w:shd w:val="clear" w:color="000000" w:fill="auto"/>
              <w:spacing w:before="60" w:line="200" w:lineRule="exact"/>
              <w:jc w:val="right"/>
              <w:rPr>
                <w:sz w:val="16"/>
                <w:szCs w:val="16"/>
              </w:rPr>
            </w:pPr>
            <w:r w:rsidRPr="00D46BF0">
              <w:rPr>
                <w:sz w:val="16"/>
                <w:szCs w:val="16"/>
              </w:rPr>
              <w:t>–3 600</w:t>
            </w:r>
          </w:p>
        </w:tc>
        <w:tc>
          <w:tcPr>
            <w:tcW w:w="913" w:type="dxa"/>
            <w:tcBorders>
              <w:top w:val="nil"/>
              <w:left w:val="nil"/>
              <w:bottom w:val="nil"/>
              <w:right w:val="nil"/>
            </w:tcBorders>
            <w:noWrap/>
            <w:vAlign w:val="center"/>
          </w:tcPr>
          <w:p w:rsidR="00D46BF0" w:rsidRPr="00D46BF0" w:rsidRDefault="00D46BF0">
            <w:pPr>
              <w:shd w:val="clear" w:color="000000" w:fill="auto"/>
              <w:spacing w:before="60" w:line="200" w:lineRule="exact"/>
              <w:jc w:val="right"/>
              <w:rPr>
                <w:sz w:val="16"/>
                <w:szCs w:val="16"/>
              </w:rPr>
            </w:pPr>
            <w:r w:rsidRPr="00D46BF0">
              <w:rPr>
                <w:sz w:val="16"/>
                <w:szCs w:val="16"/>
              </w:rPr>
              <w:t>–3 500</w:t>
            </w:r>
          </w:p>
        </w:tc>
      </w:tr>
      <w:tr w:rsidR="00000000" w:rsidRPr="00D46BF0">
        <w:trPr>
          <w:trHeight w:val="255"/>
        </w:trPr>
        <w:tc>
          <w:tcPr>
            <w:tcW w:w="3284" w:type="dxa"/>
            <w:tcBorders>
              <w:top w:val="nil"/>
              <w:left w:val="nil"/>
              <w:right w:val="nil"/>
            </w:tcBorders>
            <w:noWrap/>
          </w:tcPr>
          <w:p w:rsidR="00D46BF0" w:rsidRPr="00D46BF0" w:rsidRDefault="00D46BF0">
            <w:pPr>
              <w:shd w:val="clear" w:color="000000" w:fill="auto"/>
              <w:spacing w:before="60" w:line="200" w:lineRule="exact"/>
              <w:rPr>
                <w:sz w:val="16"/>
                <w:szCs w:val="16"/>
              </w:rPr>
            </w:pPr>
            <w:r w:rsidRPr="00D46BF0">
              <w:rPr>
                <w:sz w:val="16"/>
                <w:szCs w:val="16"/>
              </w:rPr>
              <w:t>Höjt grundbelopp i arbetslöshetsförsäkringen och aktivitetsstödet</w:t>
            </w:r>
          </w:p>
        </w:tc>
        <w:tc>
          <w:tcPr>
            <w:tcW w:w="913" w:type="dxa"/>
            <w:tcBorders>
              <w:top w:val="nil"/>
              <w:left w:val="nil"/>
              <w:right w:val="nil"/>
            </w:tcBorders>
            <w:noWrap/>
            <w:vAlign w:val="center"/>
          </w:tcPr>
          <w:p w:rsidR="00D46BF0" w:rsidRPr="00D46BF0" w:rsidRDefault="00D46BF0">
            <w:pPr>
              <w:shd w:val="clear" w:color="000000" w:fill="auto"/>
              <w:spacing w:before="60" w:line="200" w:lineRule="exact"/>
              <w:jc w:val="right"/>
              <w:rPr>
                <w:sz w:val="16"/>
                <w:szCs w:val="16"/>
              </w:rPr>
            </w:pPr>
            <w:r w:rsidRPr="00D46BF0">
              <w:rPr>
                <w:sz w:val="16"/>
                <w:szCs w:val="16"/>
              </w:rPr>
              <w:t>–700</w:t>
            </w:r>
          </w:p>
        </w:tc>
        <w:tc>
          <w:tcPr>
            <w:tcW w:w="913" w:type="dxa"/>
            <w:tcBorders>
              <w:top w:val="nil"/>
              <w:left w:val="nil"/>
              <w:right w:val="nil"/>
            </w:tcBorders>
            <w:noWrap/>
            <w:vAlign w:val="center"/>
          </w:tcPr>
          <w:p w:rsidR="00D46BF0" w:rsidRPr="00D46BF0" w:rsidRDefault="00D46BF0">
            <w:pPr>
              <w:shd w:val="clear" w:color="000000" w:fill="auto"/>
              <w:spacing w:before="60" w:line="200" w:lineRule="exact"/>
              <w:jc w:val="right"/>
              <w:rPr>
                <w:sz w:val="16"/>
                <w:szCs w:val="16"/>
              </w:rPr>
            </w:pPr>
            <w:r w:rsidRPr="00D46BF0">
              <w:rPr>
                <w:sz w:val="16"/>
                <w:szCs w:val="16"/>
              </w:rPr>
              <w:t>–800</w:t>
            </w:r>
          </w:p>
        </w:tc>
        <w:tc>
          <w:tcPr>
            <w:tcW w:w="913" w:type="dxa"/>
            <w:tcBorders>
              <w:top w:val="nil"/>
              <w:left w:val="nil"/>
              <w:right w:val="nil"/>
            </w:tcBorders>
            <w:noWrap/>
            <w:vAlign w:val="center"/>
          </w:tcPr>
          <w:p w:rsidR="00D46BF0" w:rsidRPr="00D46BF0" w:rsidRDefault="00D46BF0">
            <w:pPr>
              <w:shd w:val="clear" w:color="000000" w:fill="auto"/>
              <w:spacing w:before="60" w:line="200" w:lineRule="exact"/>
              <w:jc w:val="right"/>
              <w:rPr>
                <w:sz w:val="16"/>
                <w:szCs w:val="16"/>
              </w:rPr>
            </w:pPr>
            <w:r w:rsidRPr="00D46BF0">
              <w:rPr>
                <w:sz w:val="16"/>
                <w:szCs w:val="16"/>
              </w:rPr>
              <w:t>–700</w:t>
            </w:r>
          </w:p>
        </w:tc>
      </w:tr>
      <w:tr w:rsidR="00000000" w:rsidRPr="00D46BF0">
        <w:trPr>
          <w:trHeight w:val="255"/>
        </w:trPr>
        <w:tc>
          <w:tcPr>
            <w:tcW w:w="3284" w:type="dxa"/>
            <w:tcBorders>
              <w:top w:val="nil"/>
              <w:left w:val="nil"/>
              <w:bottom w:val="single" w:sz="4" w:space="0" w:color="auto"/>
              <w:right w:val="nil"/>
            </w:tcBorders>
            <w:noWrap/>
          </w:tcPr>
          <w:p w:rsidR="00D46BF0" w:rsidRPr="00D46BF0" w:rsidRDefault="00D46BF0">
            <w:pPr>
              <w:shd w:val="clear" w:color="000000" w:fill="auto"/>
              <w:spacing w:before="60" w:line="200" w:lineRule="exact"/>
              <w:rPr>
                <w:b/>
                <w:sz w:val="16"/>
                <w:szCs w:val="16"/>
              </w:rPr>
            </w:pPr>
            <w:r w:rsidRPr="00D46BF0">
              <w:rPr>
                <w:b/>
                <w:sz w:val="16"/>
                <w:szCs w:val="16"/>
              </w:rPr>
              <w:t>Summa regleringar</w:t>
            </w:r>
          </w:p>
        </w:tc>
        <w:tc>
          <w:tcPr>
            <w:tcW w:w="913" w:type="dxa"/>
            <w:tcBorders>
              <w:top w:val="nil"/>
              <w:left w:val="nil"/>
              <w:bottom w:val="single" w:sz="4" w:space="0" w:color="auto"/>
              <w:right w:val="nil"/>
            </w:tcBorders>
            <w:noWrap/>
          </w:tcPr>
          <w:p w:rsidR="00D46BF0" w:rsidRPr="00D46BF0" w:rsidRDefault="00D46BF0">
            <w:pPr>
              <w:shd w:val="clear" w:color="000000" w:fill="auto"/>
              <w:spacing w:before="60" w:line="200" w:lineRule="exact"/>
              <w:jc w:val="right"/>
              <w:rPr>
                <w:b/>
                <w:sz w:val="16"/>
                <w:szCs w:val="16"/>
              </w:rPr>
            </w:pPr>
            <w:r w:rsidRPr="00D46BF0">
              <w:rPr>
                <w:b/>
                <w:sz w:val="16"/>
                <w:szCs w:val="16"/>
              </w:rPr>
              <w:t>–3 700</w:t>
            </w:r>
          </w:p>
        </w:tc>
        <w:tc>
          <w:tcPr>
            <w:tcW w:w="913" w:type="dxa"/>
            <w:tcBorders>
              <w:top w:val="nil"/>
              <w:left w:val="nil"/>
              <w:bottom w:val="single" w:sz="4" w:space="0" w:color="auto"/>
              <w:right w:val="nil"/>
            </w:tcBorders>
            <w:noWrap/>
          </w:tcPr>
          <w:p w:rsidR="00D46BF0" w:rsidRPr="00D46BF0" w:rsidRDefault="00D46BF0">
            <w:pPr>
              <w:shd w:val="clear" w:color="000000" w:fill="auto"/>
              <w:spacing w:before="60" w:line="200" w:lineRule="exact"/>
              <w:jc w:val="right"/>
              <w:rPr>
                <w:b/>
                <w:sz w:val="16"/>
                <w:szCs w:val="16"/>
              </w:rPr>
            </w:pPr>
            <w:r w:rsidRPr="00D46BF0">
              <w:rPr>
                <w:b/>
                <w:sz w:val="16"/>
                <w:szCs w:val="16"/>
              </w:rPr>
              <w:t>–3 400</w:t>
            </w:r>
          </w:p>
        </w:tc>
        <w:tc>
          <w:tcPr>
            <w:tcW w:w="913" w:type="dxa"/>
            <w:tcBorders>
              <w:top w:val="nil"/>
              <w:left w:val="nil"/>
              <w:bottom w:val="single" w:sz="4" w:space="0" w:color="auto"/>
              <w:right w:val="nil"/>
            </w:tcBorders>
            <w:noWrap/>
          </w:tcPr>
          <w:p w:rsidR="00D46BF0" w:rsidRPr="00D46BF0" w:rsidRDefault="00D46BF0">
            <w:pPr>
              <w:shd w:val="clear" w:color="000000" w:fill="auto"/>
              <w:spacing w:before="60" w:line="200" w:lineRule="exact"/>
              <w:jc w:val="right"/>
              <w:rPr>
                <w:b/>
                <w:sz w:val="16"/>
                <w:szCs w:val="16"/>
              </w:rPr>
            </w:pPr>
            <w:r w:rsidRPr="00D46BF0">
              <w:rPr>
                <w:b/>
                <w:sz w:val="16"/>
                <w:szCs w:val="16"/>
              </w:rPr>
              <w:t>–2 600</w:t>
            </w:r>
          </w:p>
        </w:tc>
      </w:tr>
    </w:tbl>
    <w:p w:rsidR="00D46BF0" w:rsidRPr="00D46BF0" w:rsidRDefault="00D46BF0">
      <w:pPr>
        <w:shd w:val="clear" w:color="000000" w:fill="auto"/>
      </w:pPr>
      <w:r w:rsidRPr="00D46BF0">
        <w:t>I några fall har vi valt att inte dela upp effekten av våra förslag efter hur de påverkar staten respektive kommunerna, för att få en bättre transparens. Det gäller framför allt vår inkomstskattereform, där vi i stället redovisat nettoe</w:t>
      </w:r>
      <w:r w:rsidRPr="00D46BF0">
        <w:t>f</w:t>
      </w:r>
      <w:r w:rsidRPr="00D46BF0">
        <w:t xml:space="preserve">fekten för offentlig sektor på inkomstsidan.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6BF0">
        <w:trPr>
          <w:cantSplit/>
        </w:trPr>
        <w:tc>
          <w:tcPr>
            <w:tcW w:w="3046" w:type="dxa"/>
          </w:tcPr>
          <w:p w:rsidR="00D46BF0" w:rsidRPr="00D46BF0" w:rsidRDefault="00D46BF0">
            <w:pPr>
              <w:pStyle w:val="UnderskriftDatum"/>
              <w:shd w:val="clear" w:color="000000" w:fill="auto"/>
              <w:spacing w:before="240"/>
            </w:pPr>
            <w:r w:rsidRPr="00D46BF0">
              <w:t>Stockholm den 5 oktober 2009</w:t>
            </w:r>
          </w:p>
        </w:tc>
        <w:tc>
          <w:tcPr>
            <w:tcW w:w="3047" w:type="dxa"/>
          </w:tcPr>
          <w:p w:rsidR="00D46BF0" w:rsidRPr="00D46BF0" w:rsidRDefault="00D46BF0">
            <w:pPr>
              <w:pStyle w:val="Underskrifter"/>
              <w:shd w:val="clear" w:color="000000" w:fill="auto"/>
              <w:spacing w:before="240"/>
            </w:pPr>
          </w:p>
        </w:tc>
      </w:tr>
      <w:tr w:rsidR="00000000" w:rsidRPr="00D46BF0">
        <w:trPr>
          <w:cantSplit/>
        </w:trPr>
        <w:tc>
          <w:tcPr>
            <w:tcW w:w="3046" w:type="dxa"/>
          </w:tcPr>
          <w:p w:rsidR="00D46BF0" w:rsidRPr="00D46BF0" w:rsidRDefault="00D46BF0">
            <w:pPr>
              <w:pStyle w:val="Underskrifter"/>
              <w:shd w:val="clear" w:color="000000" w:fill="auto"/>
            </w:pPr>
            <w:r w:rsidRPr="00D46BF0">
              <w:t>Lars Ohly (v)</w:t>
            </w:r>
          </w:p>
        </w:tc>
        <w:tc>
          <w:tcPr>
            <w:tcW w:w="3046" w:type="dxa"/>
          </w:tcPr>
          <w:p w:rsidR="00D46BF0" w:rsidRPr="00D46BF0" w:rsidRDefault="00D46BF0">
            <w:pPr>
              <w:pStyle w:val="Underskrifter"/>
              <w:shd w:val="clear" w:color="000000" w:fill="auto"/>
            </w:pPr>
          </w:p>
        </w:tc>
      </w:tr>
      <w:tr w:rsidR="00000000" w:rsidRPr="00D46BF0">
        <w:trPr>
          <w:cantSplit/>
        </w:trPr>
        <w:tc>
          <w:tcPr>
            <w:tcW w:w="3046" w:type="dxa"/>
          </w:tcPr>
          <w:p w:rsidR="00D46BF0" w:rsidRPr="00D46BF0" w:rsidRDefault="00D46BF0">
            <w:pPr>
              <w:pStyle w:val="Underskrifter"/>
              <w:shd w:val="clear" w:color="000000" w:fill="auto"/>
            </w:pPr>
            <w:r w:rsidRPr="00D46BF0">
              <w:t>Marianne Berg (v)</w:t>
            </w:r>
          </w:p>
        </w:tc>
        <w:tc>
          <w:tcPr>
            <w:tcW w:w="3046" w:type="dxa"/>
          </w:tcPr>
          <w:p w:rsidR="00D46BF0" w:rsidRPr="00D46BF0" w:rsidRDefault="00D46BF0">
            <w:pPr>
              <w:pStyle w:val="Underskrifter"/>
              <w:shd w:val="clear" w:color="000000" w:fill="auto"/>
            </w:pPr>
            <w:r w:rsidRPr="00D46BF0">
              <w:t>Jacob Johnson (v)</w:t>
            </w:r>
          </w:p>
        </w:tc>
      </w:tr>
      <w:tr w:rsidR="00000000" w:rsidRPr="00D46BF0">
        <w:trPr>
          <w:cantSplit/>
        </w:trPr>
        <w:tc>
          <w:tcPr>
            <w:tcW w:w="3046" w:type="dxa"/>
          </w:tcPr>
          <w:p w:rsidR="00D46BF0" w:rsidRPr="00D46BF0" w:rsidRDefault="00D46BF0">
            <w:pPr>
              <w:pStyle w:val="Underskrifter"/>
              <w:shd w:val="clear" w:color="000000" w:fill="auto"/>
            </w:pPr>
            <w:r w:rsidRPr="00D46BF0">
              <w:t>Hans Linde (v)</w:t>
            </w:r>
          </w:p>
        </w:tc>
        <w:tc>
          <w:tcPr>
            <w:tcW w:w="3046" w:type="dxa"/>
          </w:tcPr>
          <w:p w:rsidR="00D46BF0" w:rsidRPr="00D46BF0" w:rsidRDefault="00D46BF0">
            <w:pPr>
              <w:pStyle w:val="Underskrifter"/>
              <w:shd w:val="clear" w:color="000000" w:fill="auto"/>
            </w:pPr>
            <w:r w:rsidRPr="00D46BF0">
              <w:t>Elina Linna (v)</w:t>
            </w:r>
          </w:p>
        </w:tc>
      </w:tr>
      <w:tr w:rsidR="00000000" w:rsidRPr="00D46BF0">
        <w:trPr>
          <w:cantSplit/>
        </w:trPr>
        <w:tc>
          <w:tcPr>
            <w:tcW w:w="3046" w:type="dxa"/>
          </w:tcPr>
          <w:p w:rsidR="00D46BF0" w:rsidRPr="00D46BF0" w:rsidRDefault="00D46BF0">
            <w:pPr>
              <w:pStyle w:val="Underskrifter"/>
              <w:shd w:val="clear" w:color="000000" w:fill="auto"/>
            </w:pPr>
            <w:r w:rsidRPr="00D46BF0">
              <w:t>Lena Olsson (v)</w:t>
            </w:r>
          </w:p>
        </w:tc>
        <w:tc>
          <w:tcPr>
            <w:tcW w:w="3046" w:type="dxa"/>
          </w:tcPr>
          <w:p w:rsidR="00D46BF0" w:rsidRPr="00D46BF0" w:rsidRDefault="00D46BF0">
            <w:pPr>
              <w:pStyle w:val="Underskrifter"/>
              <w:shd w:val="clear" w:color="000000" w:fill="auto"/>
            </w:pPr>
            <w:r w:rsidRPr="00D46BF0">
              <w:t>Alice Åström (v)</w:t>
            </w:r>
          </w:p>
        </w:tc>
      </w:tr>
      <w:tr w:rsidR="00000000" w:rsidRPr="00D46BF0">
        <w:trPr>
          <w:cantSplit/>
        </w:trPr>
        <w:tc>
          <w:tcPr>
            <w:tcW w:w="3046" w:type="dxa"/>
          </w:tcPr>
          <w:p w:rsidR="00D46BF0" w:rsidRPr="00D46BF0" w:rsidRDefault="00D46BF0">
            <w:pPr>
              <w:pStyle w:val="Underskrifter"/>
              <w:shd w:val="clear" w:color="000000" w:fill="auto"/>
            </w:pPr>
            <w:r w:rsidRPr="00D46BF0">
              <w:t>Ulla Andersson (v)</w:t>
            </w:r>
          </w:p>
        </w:tc>
        <w:tc>
          <w:tcPr>
            <w:tcW w:w="3046" w:type="dxa"/>
          </w:tcPr>
          <w:p w:rsidR="00D46BF0" w:rsidRPr="00D46BF0" w:rsidRDefault="00D46BF0">
            <w:pPr>
              <w:pStyle w:val="Underskrifter"/>
              <w:shd w:val="clear" w:color="000000" w:fill="auto"/>
            </w:pPr>
          </w:p>
        </w:tc>
      </w:tr>
    </w:tbl>
    <w:p w:rsidR="00D46BF0" w:rsidRPr="00D46BF0" w:rsidRDefault="00D46BF0">
      <w:pPr>
        <w:pStyle w:val="Normaltindrag"/>
        <w:shd w:val="clear" w:color="000000" w:fill="auto"/>
      </w:pPr>
    </w:p>
    <w:sectPr w:rsidR="00000000" w:rsidRPr="00D46B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6BF0" w:rsidRPr="00D46BF0" w:rsidRDefault="00D46BF0">
      <w:r w:rsidRPr="00D46BF0">
        <w:separator/>
      </w:r>
    </w:p>
  </w:endnote>
  <w:endnote w:type="continuationSeparator" w:id="0">
    <w:p w:rsidR="00D46BF0" w:rsidRPr="00D46BF0" w:rsidRDefault="00D46BF0">
      <w:r w:rsidRPr="00D46B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BF0" w:rsidRPr="00D46BF0" w:rsidRDefault="00D46BF0">
    <w:pPr>
      <w:pStyle w:val="Sidfot"/>
    </w:pPr>
    <w:r w:rsidRPr="00D46B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30439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BF0" w:rsidRDefault="00D46BF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6BF0" w:rsidRDefault="00D46BF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BF0" w:rsidRPr="00D46BF0" w:rsidRDefault="00D46BF0">
    <w:pPr>
      <w:pStyle w:val="Sidfot"/>
    </w:pPr>
    <w:r w:rsidRPr="00D46B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92037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BF0" w:rsidRDefault="00D46BF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6BF0" w:rsidRDefault="00D46BF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BF0" w:rsidRPr="00D46BF0" w:rsidRDefault="00D46BF0">
    <w:pPr>
      <w:pStyle w:val="Sidfot"/>
    </w:pPr>
    <w:r w:rsidRPr="00D46B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70706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BF0" w:rsidRDefault="00D46B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6BF0" w:rsidRDefault="00D46B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6BF0" w:rsidRPr="00D46BF0" w:rsidRDefault="00D46BF0">
      <w:r w:rsidRPr="00D46BF0">
        <w:separator/>
      </w:r>
    </w:p>
  </w:footnote>
  <w:footnote w:type="continuationSeparator" w:id="0">
    <w:p w:rsidR="00D46BF0" w:rsidRPr="00D46BF0" w:rsidRDefault="00D46BF0">
      <w:r w:rsidRPr="00D46B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BF0" w:rsidRPr="00D46BF0" w:rsidRDefault="00D46BF0">
    <w:pPr>
      <w:pStyle w:val="Sidhuvud"/>
    </w:pPr>
    <w:r w:rsidRPr="00D46B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71179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BF0" w:rsidRDefault="00D46B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6BF0" w:rsidRDefault="00D46B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BF0" w:rsidRPr="00D46BF0" w:rsidRDefault="00D46BF0">
    <w:pPr>
      <w:pStyle w:val="Sidhuvud"/>
    </w:pPr>
    <w:r w:rsidRPr="00D46B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74686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6BF0" w:rsidRDefault="00D46B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6BF0" w:rsidRDefault="00D46B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6BF0" w:rsidRPr="00D46BF0" w:rsidRDefault="00D46BF0">
    <w:pPr>
      <w:pStyle w:val="FSHNormal"/>
      <w:tabs>
        <w:tab w:val="right" w:pos="5840"/>
      </w:tabs>
    </w:pPr>
    <w:r w:rsidRPr="00D46BF0">
      <w:br/>
    </w:r>
    <w:r w:rsidRPr="00D46BF0">
      <w:fldChar w:fldCharType="begin" w:fldLock="1"/>
    </w:r>
    <w:r w:rsidRPr="00D46BF0">
      <w:instrText xml:space="preserve"> DOCPROPERTY</w:instrText>
    </w:r>
    <w:r w:rsidRPr="00D46BF0">
      <w:rPr>
        <w:sz w:val="18"/>
      </w:rPr>
      <w:instrText xml:space="preserve"> "YearUser" *\charformat </w:instrText>
    </w:r>
    <w:r w:rsidRPr="00D46BF0">
      <w:fldChar w:fldCharType="separate"/>
    </w:r>
    <w:r w:rsidRPr="00D46BF0">
      <w:t>2009/10</w:t>
    </w:r>
    <w:r w:rsidRPr="00D46BF0">
      <w:fldChar w:fldCharType="end"/>
    </w:r>
    <w:r w:rsidRPr="00D46BF0">
      <w:t xml:space="preserve"> </w:t>
    </w:r>
    <w:r w:rsidRPr="00D46BF0">
      <w:tab/>
      <w:t xml:space="preserve">mnr: </w:t>
    </w:r>
    <w:r w:rsidRPr="00D46BF0">
      <w:fldChar w:fldCharType="begin" w:fldLock="1"/>
    </w:r>
    <w:r w:rsidRPr="00D46BF0">
      <w:instrText xml:space="preserve"> DOCPROPERTY</w:instrText>
    </w:r>
    <w:r w:rsidRPr="00D46BF0">
      <w:rPr>
        <w:sz w:val="18"/>
      </w:rPr>
      <w:instrText xml:space="preserve"> "Motionsnummer" *\charformat </w:instrText>
    </w:r>
    <w:r w:rsidRPr="00D46BF0">
      <w:fldChar w:fldCharType="separate"/>
    </w:r>
    <w:r w:rsidRPr="00D46BF0">
      <w:t>Fi278</w:t>
    </w:r>
    <w:r w:rsidRPr="00D46BF0">
      <w:fldChar w:fldCharType="end"/>
    </w:r>
    <w:r w:rsidRPr="00D46BF0">
      <w:br/>
    </w:r>
    <w:r w:rsidRPr="00D46BF0">
      <w:fldChar w:fldCharType="begin" w:fldLock="1"/>
    </w:r>
    <w:r w:rsidRPr="00D46BF0">
      <w:instrText xml:space="preserve"> DOCPROPERTY</w:instrText>
    </w:r>
    <w:r w:rsidRPr="00D46BF0">
      <w:rPr>
        <w:sz w:val="18"/>
      </w:rPr>
      <w:instrText xml:space="preserve"> "Samling" *\charformat </w:instrText>
    </w:r>
    <w:r w:rsidRPr="00D46BF0">
      <w:fldChar w:fldCharType="end"/>
    </w:r>
    <w:r w:rsidRPr="00D46BF0">
      <w:tab/>
      <w:t xml:space="preserve">pnr: </w:t>
    </w:r>
    <w:r w:rsidRPr="00D46BF0">
      <w:fldChar w:fldCharType="begin" w:fldLock="1"/>
    </w:r>
    <w:r w:rsidRPr="00D46BF0">
      <w:instrText xml:space="preserve"> DOCPROPERTY</w:instrText>
    </w:r>
    <w:r w:rsidRPr="00D46BF0">
      <w:rPr>
        <w:sz w:val="18"/>
      </w:rPr>
      <w:instrText xml:space="preserve"> "Partinummer" *\charformat </w:instrText>
    </w:r>
    <w:r w:rsidRPr="00D46BF0">
      <w:fldChar w:fldCharType="separate"/>
    </w:r>
    <w:r w:rsidRPr="00D46BF0">
      <w:t>v521</w:t>
    </w:r>
    <w:r w:rsidRPr="00D46BF0">
      <w:fldChar w:fldCharType="end"/>
    </w:r>
  </w:p>
  <w:p w:rsidR="00D46BF0" w:rsidRPr="00D46BF0" w:rsidRDefault="00D46BF0">
    <w:pPr>
      <w:pStyle w:val="FSHRub1"/>
    </w:pPr>
    <w:r w:rsidRPr="00D46BF0">
      <w:t>Motion till riksdagen</w:t>
    </w:r>
    <w:r w:rsidRPr="00D46BF0">
      <w:br/>
    </w:r>
    <w:r w:rsidRPr="00D46BF0">
      <w:fldChar w:fldCharType="begin" w:fldLock="1"/>
    </w:r>
    <w:r w:rsidRPr="00D46BF0">
      <w:instrText xml:space="preserve"> DOCPROPERTY "YearUser" *\charformat </w:instrText>
    </w:r>
    <w:r w:rsidRPr="00D46BF0">
      <w:fldChar w:fldCharType="separate"/>
    </w:r>
    <w:r w:rsidRPr="00D46BF0">
      <w:t>2009/10</w:t>
    </w:r>
    <w:r w:rsidRPr="00D46BF0">
      <w:fldChar w:fldCharType="end"/>
    </w:r>
    <w:r w:rsidRPr="00D46BF0">
      <w:t>:</w:t>
    </w:r>
    <w:r w:rsidRPr="00D46BF0">
      <w:fldChar w:fldCharType="begin" w:fldLock="1"/>
    </w:r>
    <w:r w:rsidRPr="00D46BF0">
      <w:instrText xml:space="preserve"> DOCPROPERTY "Motionsnummer" *\charformat </w:instrText>
    </w:r>
    <w:r w:rsidRPr="00D46BF0">
      <w:fldChar w:fldCharType="separate"/>
    </w:r>
    <w:r w:rsidRPr="00D46BF0">
      <w:t>Fi278</w:t>
    </w:r>
    <w:r w:rsidRPr="00D46BF0">
      <w:fldChar w:fldCharType="end"/>
    </w:r>
  </w:p>
  <w:p w:rsidR="00D46BF0" w:rsidRPr="00D46BF0" w:rsidRDefault="00D46BF0">
    <w:pPr>
      <w:pStyle w:val="FSHNormalS5"/>
    </w:pPr>
    <w:r w:rsidRPr="00D46BF0">
      <w:fldChar w:fldCharType="begin" w:fldLock="1"/>
    </w:r>
    <w:r w:rsidRPr="00D46BF0">
      <w:instrText xml:space="preserve"> DOCPROPERTY "MotionarText" *\charformat </w:instrText>
    </w:r>
    <w:r w:rsidRPr="00D46BF0">
      <w:fldChar w:fldCharType="separate"/>
    </w:r>
    <w:r w:rsidRPr="00D46BF0">
      <w:t>av Lars Ohly m.fl. (v)</w:t>
    </w:r>
    <w:r w:rsidRPr="00D46BF0">
      <w:fldChar w:fldCharType="end"/>
    </w:r>
    <w:r w:rsidRPr="00D46BF0">
      <w:br/>
    </w:r>
    <w:r w:rsidRPr="00D46BF0">
      <w:fldChar w:fldCharType="begin" w:fldLock="1"/>
    </w:r>
    <w:r w:rsidRPr="00D46BF0">
      <w:instrText xml:space="preserve"> DOCPROPERTY "SvarFrasKort" *\charformat </w:instrText>
    </w:r>
    <w:r w:rsidRPr="00D46BF0">
      <w:fldChar w:fldCharType="end"/>
    </w:r>
  </w:p>
  <w:p w:rsidR="00D46BF0" w:rsidRPr="00D46BF0" w:rsidRDefault="00D46BF0">
    <w:pPr>
      <w:pStyle w:val="FSHTitel"/>
    </w:pPr>
    <w:r w:rsidRPr="00D46BF0">
      <w:fldChar w:fldCharType="begin" w:fldLock="1"/>
    </w:r>
    <w:r w:rsidRPr="00D46BF0">
      <w:instrText xml:space="preserve"> DOCPROPERTY</w:instrText>
    </w:r>
    <w:r w:rsidRPr="00D46BF0">
      <w:rPr>
        <w:sz w:val="18"/>
      </w:rPr>
      <w:instrText xml:space="preserve"> "RubrikSvar" *\charformat </w:instrText>
    </w:r>
    <w:r w:rsidRPr="00D46BF0">
      <w:fldChar w:fldCharType="separate"/>
    </w:r>
    <w:r w:rsidRPr="00D46BF0">
      <w:t>Utgiftsområde 25 Allmänna bidrag till kommuner</w:t>
    </w:r>
    <w:r w:rsidRPr="00D46BF0">
      <w:fldChar w:fldCharType="end"/>
    </w:r>
  </w:p>
  <w:p w:rsidR="00D46BF0" w:rsidRPr="00D46BF0" w:rsidRDefault="00D46BF0">
    <w:pPr>
      <w:pStyle w:val="Normal00"/>
    </w:pPr>
  </w:p>
  <w:p w:rsidR="00D46BF0" w:rsidRPr="00D46BF0" w:rsidRDefault="00D46B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307416BC"/>
    <w:multiLevelType w:val="multilevel"/>
    <w:tmpl w:val="BBBC8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4AFB5221"/>
    <w:multiLevelType w:val="multilevel"/>
    <w:tmpl w:val="17F0CAD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D8E0F3F"/>
    <w:multiLevelType w:val="multilevel"/>
    <w:tmpl w:val="13061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5180877">
    <w:abstractNumId w:val="8"/>
  </w:num>
  <w:num w:numId="2" w16cid:durableId="2146269729">
    <w:abstractNumId w:val="9"/>
  </w:num>
  <w:num w:numId="3" w16cid:durableId="412822385">
    <w:abstractNumId w:val="8"/>
  </w:num>
  <w:num w:numId="4" w16cid:durableId="1182939641">
    <w:abstractNumId w:val="9"/>
  </w:num>
  <w:num w:numId="5" w16cid:durableId="885991285">
    <w:abstractNumId w:val="15"/>
  </w:num>
  <w:num w:numId="6" w16cid:durableId="1579286625">
    <w:abstractNumId w:val="10"/>
  </w:num>
  <w:num w:numId="7" w16cid:durableId="1068915972">
    <w:abstractNumId w:val="11"/>
  </w:num>
  <w:num w:numId="8" w16cid:durableId="526219167">
    <w:abstractNumId w:val="13"/>
  </w:num>
  <w:num w:numId="9" w16cid:durableId="1622028708">
    <w:abstractNumId w:val="8"/>
  </w:num>
  <w:num w:numId="10" w16cid:durableId="612594805">
    <w:abstractNumId w:val="3"/>
  </w:num>
  <w:num w:numId="11" w16cid:durableId="249587941">
    <w:abstractNumId w:val="2"/>
  </w:num>
  <w:num w:numId="12" w16cid:durableId="1863976901">
    <w:abstractNumId w:val="1"/>
  </w:num>
  <w:num w:numId="13" w16cid:durableId="1110513205">
    <w:abstractNumId w:val="0"/>
  </w:num>
  <w:num w:numId="14" w16cid:durableId="478766109">
    <w:abstractNumId w:val="9"/>
  </w:num>
  <w:num w:numId="15" w16cid:durableId="2124225616">
    <w:abstractNumId w:val="7"/>
  </w:num>
  <w:num w:numId="16" w16cid:durableId="1732918644">
    <w:abstractNumId w:val="6"/>
  </w:num>
  <w:num w:numId="17" w16cid:durableId="1324119276">
    <w:abstractNumId w:val="5"/>
  </w:num>
  <w:num w:numId="18" w16cid:durableId="1251163993">
    <w:abstractNumId w:val="4"/>
  </w:num>
  <w:num w:numId="19" w16cid:durableId="1960262914">
    <w:abstractNumId w:val="12"/>
  </w:num>
  <w:num w:numId="20" w16cid:durableId="1118068027">
    <w:abstractNumId w:val="16"/>
  </w:num>
  <w:num w:numId="21" w16cid:durableId="2070036735">
    <w:abstractNumId w:val="14"/>
  </w:num>
  <w:num w:numId="22" w16cid:durableId="986326198">
    <w:abstractNumId w:val="11"/>
  </w:num>
  <w:num w:numId="23" w16cid:durableId="93787414">
    <w:abstractNumId w:val="10"/>
  </w:num>
  <w:num w:numId="24" w16cid:durableId="7208340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08"/>
    <w:docVar w:name="PersonGUIDs" w:val="{F1A2565D-4D2F-4887-9B1D-3D7BE825DA8C},{25384487-954A-4B3D-A759-FB67661DCC6F},{70ED92E7-062B-44F5-98C0-1732E6D079B7},{88576935-7337-4AFA-923F-6E59D33EEBED},{8B923F15-4996-4696-A089-6A5BE8BF8E1B},{5E1F5B3E-DDB9-4605-85F6-1CAF1124E96C},{7E0BF71E-CD03-4DBF-9F51-3B5B798F2741},{23C4D0E2-C6F4-49DA-B9C4-BE7D1928143F}"/>
  </w:docVars>
  <w:rsids>
    <w:rsidRoot w:val="009F5BD0"/>
    <w:rsid w:val="009F5BD0"/>
    <w:rsid w:val="00D46BF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8290036-62F4-4D4A-9AF7-62F8C3C8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hemstlatt">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punktlistatankstreck0">
    <w:name w:val="punktlista_tankstreck"/>
    <w:aliases w:val="tankstreck"/>
    <w:basedOn w:val="Normal"/>
    <w:pPr>
      <w:spacing w:before="100" w:beforeAutospacing="1" w:after="100" w:afterAutospacing="1" w:line="240" w:lineRule="auto"/>
    </w:pPr>
    <w:rPr>
      <w:rFonts w:ascii="Verdana" w:hAnsi="Verdana"/>
      <w:szCs w:val="24"/>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 w:type="character" w:customStyle="1" w:styleId="upcast-headingnumber">
    <w:name w:val="upcast-headingnumber"/>
    <w:basedOn w:val="Standardstycketeckensnitt"/>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08556">
      <w:bodyDiv w:val="1"/>
      <w:marLeft w:val="0"/>
      <w:marRight w:val="0"/>
      <w:marTop w:val="0"/>
      <w:marBottom w:val="0"/>
      <w:divBdr>
        <w:top w:val="none" w:sz="0" w:space="0" w:color="auto"/>
        <w:left w:val="none" w:sz="0" w:space="0" w:color="auto"/>
        <w:bottom w:val="none" w:sz="0" w:space="0" w:color="auto"/>
        <w:right w:val="none" w:sz="0" w:space="0" w:color="auto"/>
      </w:divBdr>
      <w:divsChild>
        <w:div w:id="1802261784">
          <w:marLeft w:val="-15"/>
          <w:marRight w:val="-15"/>
          <w:marTop w:val="0"/>
          <w:marBottom w:val="0"/>
          <w:divBdr>
            <w:top w:val="none" w:sz="0" w:space="0" w:color="auto"/>
            <w:left w:val="single" w:sz="6" w:space="0" w:color="DADADA"/>
            <w:bottom w:val="none" w:sz="0" w:space="0" w:color="auto"/>
            <w:right w:val="single" w:sz="6" w:space="0" w:color="DADADA"/>
          </w:divBdr>
          <w:divsChild>
            <w:div w:id="1378700760">
              <w:marLeft w:val="0"/>
              <w:marRight w:val="0"/>
              <w:marTop w:val="0"/>
              <w:marBottom w:val="0"/>
              <w:divBdr>
                <w:top w:val="none" w:sz="0" w:space="0" w:color="auto"/>
                <w:left w:val="single" w:sz="48" w:space="0" w:color="FFFFFF"/>
                <w:bottom w:val="none" w:sz="0" w:space="0" w:color="auto"/>
                <w:right w:val="none" w:sz="0" w:space="0" w:color="auto"/>
              </w:divBdr>
              <w:divsChild>
                <w:div w:id="89667793">
                  <w:marLeft w:val="-15"/>
                  <w:marRight w:val="-15"/>
                  <w:marTop w:val="0"/>
                  <w:marBottom w:val="0"/>
                  <w:divBdr>
                    <w:top w:val="none" w:sz="0" w:space="0" w:color="auto"/>
                    <w:left w:val="single" w:sz="6" w:space="0" w:color="F9C661"/>
                    <w:bottom w:val="none" w:sz="0" w:space="0" w:color="auto"/>
                    <w:right w:val="single" w:sz="6" w:space="0" w:color="DADADA"/>
                  </w:divBdr>
                  <w:divsChild>
                    <w:div w:id="293366211">
                      <w:marLeft w:val="-30"/>
                      <w:marRight w:val="-45"/>
                      <w:marTop w:val="0"/>
                      <w:marBottom w:val="0"/>
                      <w:divBdr>
                        <w:top w:val="none" w:sz="0" w:space="0" w:color="auto"/>
                        <w:left w:val="none" w:sz="0" w:space="0" w:color="auto"/>
                        <w:bottom w:val="none" w:sz="0" w:space="0" w:color="auto"/>
                        <w:right w:val="none" w:sz="0" w:space="0" w:color="auto"/>
                      </w:divBdr>
                      <w:divsChild>
                        <w:div w:id="14339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010935">
      <w:bodyDiv w:val="1"/>
      <w:marLeft w:val="0"/>
      <w:marRight w:val="0"/>
      <w:marTop w:val="0"/>
      <w:marBottom w:val="0"/>
      <w:divBdr>
        <w:top w:val="none" w:sz="0" w:space="0" w:color="auto"/>
        <w:left w:val="none" w:sz="0" w:space="0" w:color="auto"/>
        <w:bottom w:val="none" w:sz="0" w:space="0" w:color="auto"/>
        <w:right w:val="none" w:sz="0" w:space="0" w:color="auto"/>
      </w:divBdr>
    </w:div>
    <w:div w:id="1222982634">
      <w:bodyDiv w:val="1"/>
      <w:marLeft w:val="0"/>
      <w:marRight w:val="0"/>
      <w:marTop w:val="0"/>
      <w:marBottom w:val="0"/>
      <w:divBdr>
        <w:top w:val="none" w:sz="0" w:space="0" w:color="auto"/>
        <w:left w:val="none" w:sz="0" w:space="0" w:color="auto"/>
        <w:bottom w:val="none" w:sz="0" w:space="0" w:color="auto"/>
        <w:right w:val="none" w:sz="0" w:space="0" w:color="auto"/>
      </w:divBdr>
      <w:divsChild>
        <w:div w:id="179857554">
          <w:marLeft w:val="-15"/>
          <w:marRight w:val="-15"/>
          <w:marTop w:val="0"/>
          <w:marBottom w:val="0"/>
          <w:divBdr>
            <w:top w:val="none" w:sz="0" w:space="0" w:color="auto"/>
            <w:left w:val="single" w:sz="6" w:space="0" w:color="DADADA"/>
            <w:bottom w:val="none" w:sz="0" w:space="0" w:color="auto"/>
            <w:right w:val="single" w:sz="6" w:space="0" w:color="DADADA"/>
          </w:divBdr>
          <w:divsChild>
            <w:div w:id="1337877591">
              <w:marLeft w:val="0"/>
              <w:marRight w:val="0"/>
              <w:marTop w:val="0"/>
              <w:marBottom w:val="0"/>
              <w:divBdr>
                <w:top w:val="none" w:sz="0" w:space="0" w:color="auto"/>
                <w:left w:val="single" w:sz="48" w:space="0" w:color="FFFFFF"/>
                <w:bottom w:val="none" w:sz="0" w:space="0" w:color="auto"/>
                <w:right w:val="none" w:sz="0" w:space="0" w:color="auto"/>
              </w:divBdr>
              <w:divsChild>
                <w:div w:id="279453537">
                  <w:marLeft w:val="-15"/>
                  <w:marRight w:val="-15"/>
                  <w:marTop w:val="0"/>
                  <w:marBottom w:val="0"/>
                  <w:divBdr>
                    <w:top w:val="none" w:sz="0" w:space="0" w:color="auto"/>
                    <w:left w:val="single" w:sz="6" w:space="0" w:color="F9C661"/>
                    <w:bottom w:val="none" w:sz="0" w:space="0" w:color="auto"/>
                    <w:right w:val="single" w:sz="6" w:space="0" w:color="DADADA"/>
                  </w:divBdr>
                  <w:divsChild>
                    <w:div w:id="1620139835">
                      <w:marLeft w:val="-30"/>
                      <w:marRight w:val="-45"/>
                      <w:marTop w:val="0"/>
                      <w:marBottom w:val="0"/>
                      <w:divBdr>
                        <w:top w:val="none" w:sz="0" w:space="0" w:color="auto"/>
                        <w:left w:val="none" w:sz="0" w:space="0" w:color="auto"/>
                        <w:bottom w:val="none" w:sz="0" w:space="0" w:color="auto"/>
                        <w:right w:val="none" w:sz="0" w:space="0" w:color="auto"/>
                      </w:divBdr>
                      <w:divsChild>
                        <w:div w:id="5958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1240</Words>
  <Characters>7317</Characters>
  <Application>Microsoft Office Word</Application>
  <DocSecurity>4</DocSecurity>
  <Lines>215</Lines>
  <Paragraphs>131</Paragraphs>
  <ScaleCrop>false</ScaleCrop>
  <HeadingPairs>
    <vt:vector size="2" baseType="variant">
      <vt:variant>
        <vt:lpstr>Rubrik</vt:lpstr>
      </vt:variant>
      <vt:variant>
        <vt:i4>1</vt:i4>
      </vt:variant>
    </vt:vector>
  </HeadingPairs>
  <TitlesOfParts>
    <vt:vector size="1" baseType="lpstr">
      <vt:lpstr>v521</vt:lpstr>
    </vt:vector>
  </TitlesOfParts>
  <Company>Riksdagen</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v521</dc:title>
  <dc:subject>v521</dc:subject>
  <dc:creator>Riksdagen</dc:creator>
  <cp:keywords>Riksdagen</cp:keywords>
  <dc:description>Nya formatmallshantering för förslag+urix bakåtkomp+könamn</dc:description>
  <cp:lastModifiedBy>Lars Brink</cp:lastModifiedBy>
  <cp:revision>2</cp:revision>
  <cp:lastPrinted>2009-11-09T09:31:00Z</cp:lastPrinted>
  <dcterms:created xsi:type="dcterms:W3CDTF">2025-12-17T20:01:00Z</dcterms:created>
  <dcterms:modified xsi:type="dcterms:W3CDTF">2025-12-17T20:01:00Z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mot2000_514_2009-11-08</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25 Allmänna bidrag till kommuner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25 Allmänna bidrag till kommuner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v521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(v)\Andersson, Ulla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Ulla Andersson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Fi278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20092010000000000118000005210080</vt:lpwstr>
  </property>
  <property fmtid="{D5CDD505-2E9C-101B-9397-08002B2CF9AE}" pid="47" name="datum">
    <vt:lpwstr>091005</vt:lpwstr>
  </property>
  <property fmtid="{D5CDD505-2E9C-101B-9397-08002B2CF9AE}" pid="48" name="avsändar-e-post">
    <vt:lpwstr>jill-marie.linder@riksdagen.se</vt:lpwstr>
  </property>
  <property fmtid="{D5CDD505-2E9C-101B-9397-08002B2CF9AE}" pid="49" name="id">
    <vt:lpwstr>20092010000000000118000005210080</vt:lpwstr>
  </property>
  <property fmtid="{D5CDD505-2E9C-101B-9397-08002B2CF9AE}" pid="50" name="nummer">
    <vt:lpwstr>278</vt:lpwstr>
  </property>
  <property fmtid="{D5CDD505-2E9C-101B-9397-08002B2CF9AE}" pid="51" name="utskottsbeteckning">
    <vt:lpwstr>Fi</vt:lpwstr>
  </property>
  <property fmtid="{D5CDD505-2E9C-101B-9397-08002B2CF9AE}" pid="52" name="GlobalUID">
    <vt:lpwstr>{DD007BD8-CDC9-4595-8D8C-FD0CCB02796E}</vt:lpwstr>
  </property>
  <property fmtid="{D5CDD505-2E9C-101B-9397-08002B2CF9AE}" pid="53" name="Överföringar">
    <vt:i4>0</vt:i4>
  </property>
  <property fmtid="{D5CDD505-2E9C-101B-9397-08002B2CF9AE}" pid="54" name="Checksum">
    <vt:lpwstr>*1006030244093*</vt:lpwstr>
  </property>
  <property fmtid="{D5CDD505-2E9C-101B-9397-08002B2CF9AE}" pid="55" name="skuggnummer">
    <vt:lpwstr>2629</vt:lpwstr>
  </property>
  <property fmtid="{D5CDD505-2E9C-101B-9397-08002B2CF9AE}" pid="56" name="urixVersion">
    <vt:lpwstr>4.0.0.9</vt:lpwstr>
  </property>
  <property fmtid="{D5CDD505-2E9C-101B-9397-08002B2CF9AE}" pid="57" name="urixOrigin">
    <vt:lpwstr>091110 10:56:49.990</vt:lpwstr>
  </property>
  <property fmtid="{D5CDD505-2E9C-101B-9397-08002B2CF9AE}" pid="58" name="urixGuid">
    <vt:lpwstr>{16A43845-F60D-4357-A6A9-74F12DB1FDDA}</vt:lpwstr>
  </property>
</Properties>
</file>