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27E49DCD" w:rsidR="0096348C" w:rsidRDefault="00F5222B" w:rsidP="00E97AED">
            <w:pPr>
              <w:ind w:right="-269"/>
              <w:rPr>
                <w:b/>
              </w:rPr>
            </w:pPr>
            <w:r>
              <w:rPr>
                <w:b/>
              </w:rPr>
              <w:t>Utskottssammanträde 20</w:t>
            </w:r>
            <w:r w:rsidR="00914E3E">
              <w:rPr>
                <w:b/>
              </w:rPr>
              <w:t>2</w:t>
            </w:r>
            <w:r w:rsidR="00636EF1">
              <w:rPr>
                <w:b/>
              </w:rPr>
              <w:t>5</w:t>
            </w:r>
            <w:r w:rsidR="006375F0">
              <w:rPr>
                <w:b/>
              </w:rPr>
              <w:t>/2</w:t>
            </w:r>
            <w:r w:rsidR="00636EF1">
              <w:rPr>
                <w:b/>
              </w:rPr>
              <w:t>6</w:t>
            </w:r>
            <w:r w:rsidR="00C07F65">
              <w:rPr>
                <w:b/>
              </w:rPr>
              <w:t>:</w:t>
            </w:r>
            <w:r w:rsidR="00132491">
              <w:rPr>
                <w:b/>
              </w:rPr>
              <w:t>12</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71D8E24A" w:rsidR="008035C8" w:rsidRDefault="00A257B8" w:rsidP="00AF3CA6">
            <w:pPr>
              <w:ind w:right="355"/>
            </w:pPr>
            <w:r>
              <w:t>20</w:t>
            </w:r>
            <w:r w:rsidR="00CF36BC">
              <w:t>2</w:t>
            </w:r>
            <w:r w:rsidR="00701F1D">
              <w:t>5</w:t>
            </w:r>
            <w:r w:rsidR="002A3730">
              <w:t>-</w:t>
            </w:r>
            <w:r w:rsidR="0073105D">
              <w:t>11-06</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2320390F" w:rsidR="0096348C" w:rsidRDefault="009476AF" w:rsidP="00AF3CA6">
            <w:pPr>
              <w:ind w:right="-269"/>
            </w:pPr>
            <w:r>
              <w:t>K</w:t>
            </w:r>
            <w:r w:rsidR="00111135">
              <w:t>l</w:t>
            </w:r>
            <w:r w:rsidRPr="00641E11">
              <w:t>.</w:t>
            </w:r>
            <w:r w:rsidR="002349AE" w:rsidRPr="00641E11">
              <w:t xml:space="preserve"> </w:t>
            </w:r>
            <w:r w:rsidR="00132491" w:rsidRPr="00641E11">
              <w:t>10.30-</w:t>
            </w:r>
            <w:r w:rsidR="00641E11" w:rsidRPr="00641E11">
              <w:t>11</w:t>
            </w:r>
            <w:r w:rsidR="00641E11">
              <w:t>.02</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49C09703" w14:textId="489B7B45" w:rsidR="002A3730" w:rsidRPr="00132491" w:rsidRDefault="00132491" w:rsidP="002A3730">
            <w:pPr>
              <w:outlineLvl w:val="0"/>
              <w:rPr>
                <w:bCs/>
                <w:szCs w:val="24"/>
              </w:rPr>
            </w:pPr>
            <w:r>
              <w:rPr>
                <w:b/>
                <w:szCs w:val="24"/>
              </w:rPr>
              <w:t>Riksbanksfullmäktiges presidium om aktuella frågor</w:t>
            </w:r>
            <w:r>
              <w:rPr>
                <w:b/>
                <w:szCs w:val="24"/>
              </w:rPr>
              <w:br/>
            </w:r>
            <w:r>
              <w:rPr>
                <w:bCs/>
              </w:rPr>
              <w:t xml:space="preserve">Fullmäktiges ordförande Bo Broman och vice ordförande Tomas Eneroth </w:t>
            </w:r>
            <w:r w:rsidR="00641E11">
              <w:rPr>
                <w:bCs/>
              </w:rPr>
              <w:t>lämnade information om aktuella riksbanksfrågor.</w:t>
            </w:r>
            <w:r>
              <w:rPr>
                <w:bCs/>
              </w:rPr>
              <w:t xml:space="preserve"> </w:t>
            </w:r>
            <w:r w:rsidR="007834CF">
              <w:rPr>
                <w:bCs/>
              </w:rPr>
              <w:br/>
            </w:r>
            <w:r>
              <w:rPr>
                <w:bCs/>
              </w:rPr>
              <w:br/>
            </w:r>
          </w:p>
        </w:tc>
      </w:tr>
      <w:tr w:rsidR="00132491" w14:paraId="47D76DFA" w14:textId="77777777" w:rsidTr="008035C8">
        <w:tc>
          <w:tcPr>
            <w:tcW w:w="567" w:type="dxa"/>
          </w:tcPr>
          <w:p w14:paraId="4483749E" w14:textId="15960020" w:rsidR="00132491" w:rsidRPr="00C92C53" w:rsidRDefault="00132491" w:rsidP="002A3730">
            <w:pPr>
              <w:pStyle w:val="Default"/>
              <w:rPr>
                <w:b/>
              </w:rPr>
            </w:pPr>
            <w:r>
              <w:rPr>
                <w:b/>
              </w:rPr>
              <w:t>§ 2</w:t>
            </w:r>
          </w:p>
        </w:tc>
        <w:tc>
          <w:tcPr>
            <w:tcW w:w="7655" w:type="dxa"/>
          </w:tcPr>
          <w:p w14:paraId="78679994" w14:textId="77777777" w:rsidR="00E7062C" w:rsidRDefault="00132491" w:rsidP="00E7062C">
            <w:pPr>
              <w:ind w:firstLine="7"/>
            </w:pPr>
            <w:r>
              <w:rPr>
                <w:b/>
                <w:szCs w:val="24"/>
              </w:rPr>
              <w:t>EU:s årsbudget 2026</w:t>
            </w:r>
            <w:r>
              <w:rPr>
                <w:b/>
                <w:szCs w:val="24"/>
              </w:rPr>
              <w:br/>
            </w:r>
            <w:r w:rsidR="00AC4586">
              <w:rPr>
                <w:bCs/>
              </w:rPr>
              <w:t>Utskottet överlade med s</w:t>
            </w:r>
            <w:r>
              <w:rPr>
                <w:bCs/>
              </w:rPr>
              <w:t>tatssekreterare Johanna Lybeck Lilja</w:t>
            </w:r>
            <w:r w:rsidR="00AC4586">
              <w:rPr>
                <w:bCs/>
              </w:rPr>
              <w:t xml:space="preserve"> biträdd av </w:t>
            </w:r>
            <w:r>
              <w:rPr>
                <w:bCs/>
              </w:rPr>
              <w:t>medarbetare från Finansdepartementet</w:t>
            </w:r>
            <w:r w:rsidR="00AC4586">
              <w:rPr>
                <w:bCs/>
              </w:rPr>
              <w:t>.</w:t>
            </w:r>
            <w:r w:rsidR="00AC4586">
              <w:rPr>
                <w:bCs/>
              </w:rPr>
              <w:br/>
              <w:t>Underlaget utgjordes av Regeringskansliets promemoria</w:t>
            </w:r>
            <w:r w:rsidR="00374E3F">
              <w:rPr>
                <w:bCs/>
              </w:rPr>
              <w:t xml:space="preserve"> </w:t>
            </w:r>
            <w:r w:rsidR="00374E3F">
              <w:rPr>
                <w:bCs/>
                <w:szCs w:val="24"/>
              </w:rPr>
              <w:t>(dnr 15–2025/26)</w:t>
            </w:r>
            <w:r w:rsidR="00570236">
              <w:rPr>
                <w:bCs/>
              </w:rPr>
              <w:t>.</w:t>
            </w:r>
            <w:r w:rsidR="00AC4586">
              <w:rPr>
                <w:bCs/>
              </w:rPr>
              <w:br/>
            </w:r>
            <w:r w:rsidR="00AC4586">
              <w:rPr>
                <w:bCs/>
              </w:rPr>
              <w:br/>
              <w:t xml:space="preserve">Statssekreteraren redogjorde för regeringens ståndpunkt i </w:t>
            </w:r>
            <w:r w:rsidR="00AC4586" w:rsidRPr="00570236">
              <w:rPr>
                <w:bCs/>
              </w:rPr>
              <w:t>enlighet med</w:t>
            </w:r>
            <w:r w:rsidR="00C17131">
              <w:rPr>
                <w:bCs/>
              </w:rPr>
              <w:t xml:space="preserve"> </w:t>
            </w:r>
            <w:r w:rsidR="00570236">
              <w:rPr>
                <w:bCs/>
              </w:rPr>
              <w:t>Regeringskansliets promemoria</w:t>
            </w:r>
            <w:r w:rsidR="00901730">
              <w:rPr>
                <w:bCs/>
              </w:rPr>
              <w:t>:</w:t>
            </w:r>
            <w:r w:rsidR="00901730">
              <w:rPr>
                <w:bCs/>
              </w:rPr>
              <w:br/>
            </w:r>
            <w:r w:rsidR="00901730">
              <w:rPr>
                <w:bCs/>
              </w:rPr>
              <w:br/>
            </w:r>
            <w:bookmarkStart w:id="0" w:name="_Hlk212474838"/>
          </w:p>
          <w:p w14:paraId="2A8402D5" w14:textId="5AAB4AF6" w:rsidR="00E7062C" w:rsidRPr="00E7062C" w:rsidRDefault="00E7062C" w:rsidP="00E7062C">
            <w:pPr>
              <w:ind w:left="291" w:firstLine="7"/>
              <w:rPr>
                <w:rFonts w:asciiTheme="majorHAnsi" w:eastAsiaTheme="majorEastAsia" w:hAnsiTheme="majorHAnsi" w:cstheme="majorBidi"/>
                <w:sz w:val="22"/>
                <w:szCs w:val="22"/>
              </w:rPr>
            </w:pPr>
            <w:r w:rsidRPr="00E7062C">
              <w:rPr>
                <w:sz w:val="22"/>
                <w:szCs w:val="22"/>
              </w:rPr>
              <w:t>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det vill säga att verka för en begränsning av EU:s utgifter inom budgetramen och därmed av den svenska avgiften till EU.</w:t>
            </w:r>
          </w:p>
          <w:p w14:paraId="256D6299" w14:textId="77777777" w:rsidR="00E7062C" w:rsidRPr="00E7062C" w:rsidRDefault="00E7062C" w:rsidP="00E7062C">
            <w:pPr>
              <w:overflowPunct w:val="0"/>
              <w:autoSpaceDE w:val="0"/>
              <w:autoSpaceDN w:val="0"/>
              <w:adjustRightInd w:val="0"/>
              <w:ind w:left="291" w:firstLine="7"/>
              <w:textAlignment w:val="baseline"/>
              <w:rPr>
                <w:sz w:val="22"/>
                <w:szCs w:val="22"/>
              </w:rPr>
            </w:pPr>
            <w:r w:rsidRPr="00E7062C">
              <w:rPr>
                <w:sz w:val="22"/>
                <w:szCs w:val="22"/>
              </w:rPr>
              <w:t>Det övergripande målet i arbetet med 2026 års EU-budget är därmed, liksom tidigare år, att nå en så restriktiv budget som möjligt som med god marginal ryms inom de beslutade taken i den fleråriga budgetramen för 2021–2027. Betalningsanslagen ska baseras på realistiska, väl underbyggda och verifierade prognoser samt spegla tidigare genomförande. Sverige verkar vidare för ett lojalt genomförande av halvtidsöversynen av den fleråriga budgetramen, särskilt vad gäller den så kallade kaskadmekanismen för räntebetalningar kopplade till EU:s återhämtningsinstrument.</w:t>
            </w:r>
            <w:bookmarkEnd w:id="0"/>
          </w:p>
          <w:p w14:paraId="41BF6AE1" w14:textId="706C4A6A" w:rsidR="00901730" w:rsidRDefault="00901730" w:rsidP="00E7062C">
            <w:pPr>
              <w:ind w:firstLine="7"/>
              <w:outlineLvl w:val="0"/>
              <w:rPr>
                <w:bCs/>
              </w:rPr>
            </w:pPr>
          </w:p>
          <w:p w14:paraId="6AC6CA72" w14:textId="77777777" w:rsidR="00901730" w:rsidRDefault="00901730" w:rsidP="002A3730">
            <w:pPr>
              <w:outlineLvl w:val="0"/>
              <w:rPr>
                <w:bCs/>
              </w:rPr>
            </w:pPr>
          </w:p>
          <w:p w14:paraId="021DAF36" w14:textId="0BD51903" w:rsidR="00132491" w:rsidRPr="002A3730" w:rsidRDefault="00901730" w:rsidP="002A3730">
            <w:pPr>
              <w:outlineLvl w:val="0"/>
              <w:rPr>
                <w:b/>
                <w:szCs w:val="24"/>
              </w:rPr>
            </w:pPr>
            <w:r w:rsidRPr="00AB3BD6">
              <w:rPr>
                <w:bCs/>
              </w:rPr>
              <w:t>Ordföranden konstaterade att det fanns stöd för regeringens ståndpunkt.</w:t>
            </w:r>
            <w:r w:rsidR="00570236">
              <w:rPr>
                <w:bCs/>
                <w:szCs w:val="24"/>
              </w:rPr>
              <w:br/>
            </w:r>
            <w:r w:rsidR="00570236">
              <w:rPr>
                <w:bCs/>
                <w:szCs w:val="24"/>
              </w:rPr>
              <w:br/>
            </w:r>
          </w:p>
        </w:tc>
      </w:tr>
      <w:tr w:rsidR="00132491" w14:paraId="3D801FE0" w14:textId="77777777" w:rsidTr="008035C8">
        <w:tc>
          <w:tcPr>
            <w:tcW w:w="567" w:type="dxa"/>
          </w:tcPr>
          <w:p w14:paraId="0ED4D737" w14:textId="20CF5063" w:rsidR="00132491" w:rsidRPr="00C92C53" w:rsidRDefault="00132491" w:rsidP="002A3730">
            <w:pPr>
              <w:pStyle w:val="Default"/>
              <w:rPr>
                <w:b/>
              </w:rPr>
            </w:pPr>
            <w:r>
              <w:rPr>
                <w:b/>
              </w:rPr>
              <w:t xml:space="preserve">§ </w:t>
            </w:r>
            <w:r w:rsidR="007834CF">
              <w:rPr>
                <w:b/>
              </w:rPr>
              <w:t>3</w:t>
            </w:r>
          </w:p>
        </w:tc>
        <w:tc>
          <w:tcPr>
            <w:tcW w:w="7655" w:type="dxa"/>
          </w:tcPr>
          <w:p w14:paraId="165106D7" w14:textId="1C24C233" w:rsidR="00132491" w:rsidRPr="002A3730" w:rsidRDefault="00132491" w:rsidP="002A3730">
            <w:pPr>
              <w:outlineLvl w:val="0"/>
              <w:rPr>
                <w:b/>
                <w:szCs w:val="24"/>
              </w:rPr>
            </w:pPr>
            <w:r w:rsidRPr="002A3730">
              <w:rPr>
                <w:b/>
                <w:szCs w:val="24"/>
              </w:rPr>
              <w:t>Anmälningar</w:t>
            </w:r>
            <w:r w:rsidR="007834CF">
              <w:rPr>
                <w:b/>
                <w:szCs w:val="24"/>
              </w:rPr>
              <w:br/>
            </w:r>
            <w:r w:rsidR="007834CF">
              <w:rPr>
                <w:bCs/>
                <w:szCs w:val="24"/>
              </w:rPr>
              <w:t>Kanslichefen påminde om besöket från Thailands finansutskott den 19 november kl. 10.30-11.30 i RÖ5-37. Ledamöter som vill delta är välkomna att anmäla sig till kansliet.</w:t>
            </w:r>
            <w:r w:rsidRPr="002A3730">
              <w:rPr>
                <w:b/>
                <w:szCs w:val="24"/>
              </w:rPr>
              <w:br/>
            </w:r>
            <w:r w:rsidR="007834CF">
              <w:rPr>
                <w:b/>
                <w:szCs w:val="24"/>
              </w:rPr>
              <w:br/>
            </w:r>
          </w:p>
        </w:tc>
      </w:tr>
      <w:tr w:rsidR="002A3730" w14:paraId="2C8ABE0A" w14:textId="77777777" w:rsidTr="008035C8">
        <w:tc>
          <w:tcPr>
            <w:tcW w:w="567" w:type="dxa"/>
          </w:tcPr>
          <w:p w14:paraId="442699FD" w14:textId="5141821A" w:rsidR="002A3730" w:rsidRPr="00C92C53" w:rsidRDefault="002A3730" w:rsidP="002A3730">
            <w:pPr>
              <w:pStyle w:val="Default"/>
              <w:rPr>
                <w:b/>
              </w:rPr>
            </w:pPr>
            <w:r w:rsidRPr="00C92C53">
              <w:rPr>
                <w:b/>
              </w:rPr>
              <w:t xml:space="preserve">§ </w:t>
            </w:r>
            <w:r w:rsidR="007834CF">
              <w:rPr>
                <w:b/>
              </w:rPr>
              <w:t>4</w:t>
            </w:r>
          </w:p>
        </w:tc>
        <w:tc>
          <w:tcPr>
            <w:tcW w:w="7655" w:type="dxa"/>
          </w:tcPr>
          <w:p w14:paraId="17EE5049" w14:textId="6629E4A2" w:rsidR="002A3730" w:rsidRPr="00132491" w:rsidRDefault="00132491" w:rsidP="002A3730">
            <w:pPr>
              <w:outlineLvl w:val="0"/>
              <w:rPr>
                <w:b/>
                <w:bCs/>
              </w:rPr>
            </w:pPr>
            <w:r w:rsidRPr="002A3730">
              <w:rPr>
                <w:b/>
                <w:szCs w:val="24"/>
              </w:rPr>
              <w:t>Justering av protokoll</w:t>
            </w:r>
            <w:r w:rsidRPr="002A3730">
              <w:rPr>
                <w:b/>
                <w:szCs w:val="24"/>
              </w:rPr>
              <w:br/>
            </w:r>
            <w:r>
              <w:rPr>
                <w:bCs/>
                <w:szCs w:val="24"/>
              </w:rPr>
              <w:t>Utskottet justerade protokoll nr 2025/26:11.</w:t>
            </w:r>
            <w:r w:rsidRPr="002A3730">
              <w:rPr>
                <w:b/>
                <w:szCs w:val="24"/>
              </w:rPr>
              <w:br/>
            </w:r>
          </w:p>
        </w:tc>
      </w:tr>
      <w:tr w:rsidR="006A74AC" w14:paraId="381DDF23" w14:textId="77777777" w:rsidTr="008035C8">
        <w:tc>
          <w:tcPr>
            <w:tcW w:w="567" w:type="dxa"/>
          </w:tcPr>
          <w:p w14:paraId="00CE0F12" w14:textId="77777777" w:rsidR="007834CF" w:rsidRDefault="007834CF" w:rsidP="002A3730">
            <w:pPr>
              <w:tabs>
                <w:tab w:val="left" w:pos="1701"/>
              </w:tabs>
              <w:rPr>
                <w:b/>
              </w:rPr>
            </w:pPr>
          </w:p>
          <w:p w14:paraId="2ACBF577" w14:textId="77777777" w:rsidR="007834CF" w:rsidRDefault="007834CF" w:rsidP="002A3730">
            <w:pPr>
              <w:tabs>
                <w:tab w:val="left" w:pos="1701"/>
              </w:tabs>
              <w:rPr>
                <w:b/>
              </w:rPr>
            </w:pPr>
          </w:p>
          <w:p w14:paraId="7C4A732C" w14:textId="77777777" w:rsidR="007834CF" w:rsidRDefault="007834CF" w:rsidP="002A3730">
            <w:pPr>
              <w:tabs>
                <w:tab w:val="left" w:pos="1701"/>
              </w:tabs>
              <w:rPr>
                <w:b/>
              </w:rPr>
            </w:pPr>
          </w:p>
          <w:p w14:paraId="34E0FD64" w14:textId="77777777" w:rsidR="007834CF" w:rsidRDefault="007834CF" w:rsidP="002A3730">
            <w:pPr>
              <w:tabs>
                <w:tab w:val="left" w:pos="1701"/>
              </w:tabs>
              <w:rPr>
                <w:b/>
              </w:rPr>
            </w:pPr>
          </w:p>
          <w:p w14:paraId="3B83AFC3" w14:textId="68F4DA2D" w:rsidR="006A74AC" w:rsidRDefault="006A74AC" w:rsidP="002A3730">
            <w:pPr>
              <w:tabs>
                <w:tab w:val="left" w:pos="1701"/>
              </w:tabs>
              <w:rPr>
                <w:b/>
                <w:snapToGrid w:val="0"/>
              </w:rPr>
            </w:pPr>
            <w:r w:rsidRPr="00C92C53">
              <w:rPr>
                <w:b/>
              </w:rPr>
              <w:t>§</w:t>
            </w:r>
            <w:r w:rsidR="007834CF">
              <w:rPr>
                <w:b/>
              </w:rPr>
              <w:t xml:space="preserve"> 5</w:t>
            </w:r>
          </w:p>
        </w:tc>
        <w:tc>
          <w:tcPr>
            <w:tcW w:w="7655" w:type="dxa"/>
          </w:tcPr>
          <w:p w14:paraId="25DB6BD1" w14:textId="77777777" w:rsidR="007834CF" w:rsidRDefault="007834CF" w:rsidP="00132491">
            <w:pPr>
              <w:outlineLvl w:val="0"/>
              <w:rPr>
                <w:b/>
                <w:bCs/>
              </w:rPr>
            </w:pPr>
          </w:p>
          <w:p w14:paraId="11D2D5ED" w14:textId="77777777" w:rsidR="007834CF" w:rsidRDefault="007834CF" w:rsidP="00132491">
            <w:pPr>
              <w:outlineLvl w:val="0"/>
              <w:rPr>
                <w:b/>
                <w:bCs/>
              </w:rPr>
            </w:pPr>
          </w:p>
          <w:p w14:paraId="35308A5A" w14:textId="77777777" w:rsidR="007834CF" w:rsidRDefault="007834CF" w:rsidP="00132491">
            <w:pPr>
              <w:outlineLvl w:val="0"/>
              <w:rPr>
                <w:b/>
                <w:bCs/>
              </w:rPr>
            </w:pPr>
          </w:p>
          <w:p w14:paraId="68055903" w14:textId="77777777" w:rsidR="007834CF" w:rsidRDefault="007834CF" w:rsidP="00132491">
            <w:pPr>
              <w:outlineLvl w:val="0"/>
              <w:rPr>
                <w:b/>
                <w:bCs/>
              </w:rPr>
            </w:pPr>
          </w:p>
          <w:p w14:paraId="4DDA312D" w14:textId="0A4C66A3" w:rsidR="008F7E48" w:rsidRDefault="00132491" w:rsidP="00132491">
            <w:pPr>
              <w:outlineLvl w:val="0"/>
            </w:pPr>
            <w:r>
              <w:rPr>
                <w:b/>
                <w:bCs/>
              </w:rPr>
              <w:t>Redovisning av AP-fondernas verksamhet t.o.m. 2024 (FiU6)</w:t>
            </w:r>
            <w:r>
              <w:rPr>
                <w:b/>
                <w:bCs/>
              </w:rPr>
              <w:br/>
            </w:r>
            <w:r>
              <w:t>Utskottet fortsatte beredningen av skrivelse 2024/25:130 och motioner.</w:t>
            </w:r>
            <w:r>
              <w:br/>
            </w:r>
          </w:p>
          <w:p w14:paraId="45FA8DC7" w14:textId="5C5C2EFF" w:rsidR="006A74AC" w:rsidRPr="00132491" w:rsidRDefault="00132491" w:rsidP="00132491">
            <w:pPr>
              <w:outlineLvl w:val="0"/>
            </w:pPr>
            <w:r>
              <w:t>Utskottet justerade betänkande 2025/26:FiU6.</w:t>
            </w:r>
            <w:r>
              <w:br/>
            </w:r>
            <w:r w:rsidR="009E7DBA">
              <w:br/>
              <w:t>V-</w:t>
            </w:r>
            <w:r w:rsidR="00514945">
              <w:t xml:space="preserve"> </w:t>
            </w:r>
            <w:r w:rsidR="009E7DBA">
              <w:t>och MP-ledamöterna anmälde särskilda yttranden.</w:t>
            </w:r>
            <w:r w:rsidR="007834CF">
              <w:br/>
            </w:r>
            <w:r w:rsidR="009E7DBA">
              <w:br/>
            </w:r>
          </w:p>
        </w:tc>
      </w:tr>
      <w:tr w:rsidR="006A74AC" w14:paraId="20B894FB" w14:textId="77777777" w:rsidTr="008035C8">
        <w:tc>
          <w:tcPr>
            <w:tcW w:w="567" w:type="dxa"/>
          </w:tcPr>
          <w:p w14:paraId="34A9F0DB" w14:textId="70B6E09C" w:rsidR="006A74AC" w:rsidRDefault="006A74AC" w:rsidP="002A3730">
            <w:pPr>
              <w:tabs>
                <w:tab w:val="left" w:pos="1701"/>
              </w:tabs>
              <w:rPr>
                <w:b/>
                <w:snapToGrid w:val="0"/>
              </w:rPr>
            </w:pPr>
            <w:r w:rsidRPr="00C92C53">
              <w:rPr>
                <w:b/>
              </w:rPr>
              <w:lastRenderedPageBreak/>
              <w:t>§</w:t>
            </w:r>
            <w:r w:rsidR="007834CF">
              <w:rPr>
                <w:b/>
              </w:rPr>
              <w:t xml:space="preserve"> 6</w:t>
            </w:r>
          </w:p>
        </w:tc>
        <w:tc>
          <w:tcPr>
            <w:tcW w:w="7655" w:type="dxa"/>
          </w:tcPr>
          <w:p w14:paraId="7381826B" w14:textId="61B59F66" w:rsidR="006A74AC" w:rsidRPr="00132491" w:rsidRDefault="00132491" w:rsidP="002A3730">
            <w:pPr>
              <w:outlineLvl w:val="0"/>
              <w:rPr>
                <w:b/>
                <w:bCs/>
              </w:rPr>
            </w:pPr>
            <w:r>
              <w:rPr>
                <w:b/>
              </w:rPr>
              <w:t>Uppföljning av riksdagens tillämpning av subsidiaritetsprincipen (FiU1y)</w:t>
            </w:r>
            <w:r>
              <w:rPr>
                <w:b/>
              </w:rPr>
              <w:br/>
            </w:r>
            <w:r w:rsidRPr="00132491">
              <w:rPr>
                <w:bCs/>
              </w:rPr>
              <w:t>Utskottet fortsatte</w:t>
            </w:r>
            <w:r>
              <w:rPr>
                <w:b/>
                <w:bCs/>
              </w:rPr>
              <w:t xml:space="preserve"> </w:t>
            </w:r>
            <w:r w:rsidRPr="00132491">
              <w:rPr>
                <w:bCs/>
              </w:rPr>
              <w:t>beredningen av yttrande till konstitutionsutskottet över PM om uppföljning av</w:t>
            </w:r>
            <w:r>
              <w:rPr>
                <w:b/>
                <w:bCs/>
              </w:rPr>
              <w:t xml:space="preserve"> </w:t>
            </w:r>
            <w:r>
              <w:rPr>
                <w:bCs/>
                <w:color w:val="000000"/>
              </w:rPr>
              <w:t>riksdagens tillämpning av subsidiaritetsprincipen.</w:t>
            </w:r>
            <w:r>
              <w:rPr>
                <w:bCs/>
                <w:color w:val="000000"/>
              </w:rPr>
              <w:br/>
            </w:r>
            <w:r>
              <w:rPr>
                <w:bCs/>
                <w:color w:val="000000"/>
              </w:rPr>
              <w:br/>
              <w:t>Utskottet justerade yttrande 2025/26:FiU1y.</w:t>
            </w:r>
            <w:r w:rsidRPr="00132491">
              <w:rPr>
                <w:b/>
                <w:bCs/>
              </w:rPr>
              <w:br/>
            </w:r>
          </w:p>
          <w:p w14:paraId="7689D4E0" w14:textId="2D32089F" w:rsidR="006A74AC" w:rsidRDefault="006A74AC" w:rsidP="002A3730">
            <w:pPr>
              <w:outlineLvl w:val="0"/>
              <w:rPr>
                <w:b/>
                <w:bCs/>
              </w:rPr>
            </w:pPr>
          </w:p>
        </w:tc>
      </w:tr>
      <w:tr w:rsidR="004E667D" w14:paraId="1202F1E9" w14:textId="77777777" w:rsidTr="008035C8">
        <w:tc>
          <w:tcPr>
            <w:tcW w:w="567" w:type="dxa"/>
          </w:tcPr>
          <w:p w14:paraId="1CA70E9A" w14:textId="35616993" w:rsidR="004E667D" w:rsidRPr="00C92C53" w:rsidRDefault="004E667D" w:rsidP="002A3730">
            <w:pPr>
              <w:tabs>
                <w:tab w:val="left" w:pos="1701"/>
              </w:tabs>
              <w:rPr>
                <w:b/>
              </w:rPr>
            </w:pPr>
            <w:r>
              <w:rPr>
                <w:b/>
              </w:rPr>
              <w:t>§</w:t>
            </w:r>
            <w:r w:rsidR="007834CF">
              <w:rPr>
                <w:b/>
              </w:rPr>
              <w:t xml:space="preserve"> 7</w:t>
            </w:r>
          </w:p>
        </w:tc>
        <w:tc>
          <w:tcPr>
            <w:tcW w:w="7655" w:type="dxa"/>
          </w:tcPr>
          <w:p w14:paraId="4FE7FDDD" w14:textId="56C1B339" w:rsidR="004E667D" w:rsidRPr="004E667D" w:rsidRDefault="004E667D" w:rsidP="002A3730">
            <w:pPr>
              <w:outlineLvl w:val="0"/>
              <w:rPr>
                <w:bCs/>
              </w:rPr>
            </w:pPr>
            <w:r>
              <w:rPr>
                <w:b/>
              </w:rPr>
              <w:t>Ett effektivt straffrättsligt skydd för statliga stöd till företag (FiU12)</w:t>
            </w:r>
            <w:r>
              <w:rPr>
                <w:b/>
              </w:rPr>
              <w:br/>
            </w:r>
            <w:r>
              <w:rPr>
                <w:bCs/>
              </w:rPr>
              <w:t>Utskottet fortsatte beredningen av proposition 2024/25:187.</w:t>
            </w:r>
            <w:r>
              <w:rPr>
                <w:bCs/>
              </w:rPr>
              <w:br/>
            </w:r>
            <w:r>
              <w:rPr>
                <w:bCs/>
              </w:rPr>
              <w:br/>
              <w:t>Ärendet bordlades.</w:t>
            </w:r>
            <w:r>
              <w:rPr>
                <w:bCs/>
              </w:rPr>
              <w:br/>
            </w:r>
          </w:p>
        </w:tc>
      </w:tr>
      <w:tr w:rsidR="00B628D9" w14:paraId="3CDE8FB0" w14:textId="77777777" w:rsidTr="008035C8">
        <w:tc>
          <w:tcPr>
            <w:tcW w:w="567" w:type="dxa"/>
          </w:tcPr>
          <w:p w14:paraId="6E012119" w14:textId="4DA15BC8" w:rsidR="00B628D9" w:rsidRDefault="00B628D9" w:rsidP="002A3730">
            <w:pPr>
              <w:tabs>
                <w:tab w:val="left" w:pos="1701"/>
              </w:tabs>
              <w:rPr>
                <w:b/>
              </w:rPr>
            </w:pPr>
            <w:r>
              <w:rPr>
                <w:b/>
              </w:rPr>
              <w:t>§</w:t>
            </w:r>
            <w:r w:rsidR="007834CF">
              <w:rPr>
                <w:b/>
              </w:rPr>
              <w:t xml:space="preserve"> 8</w:t>
            </w:r>
          </w:p>
        </w:tc>
        <w:tc>
          <w:tcPr>
            <w:tcW w:w="7655" w:type="dxa"/>
          </w:tcPr>
          <w:p w14:paraId="3C5FA8E1" w14:textId="5CFB6412" w:rsidR="00B628D9" w:rsidRPr="00B628D9" w:rsidRDefault="00B628D9" w:rsidP="002A3730">
            <w:pPr>
              <w:outlineLvl w:val="0"/>
              <w:rPr>
                <w:bCs/>
              </w:rPr>
            </w:pPr>
            <w:r>
              <w:rPr>
                <w:b/>
              </w:rPr>
              <w:t>Fråga om utskottsinitiativ om att använda återvandringsbidraget för att satsa på glesbygdskommunerna</w:t>
            </w:r>
            <w:r>
              <w:rPr>
                <w:b/>
              </w:rPr>
              <w:br/>
            </w:r>
            <w:r>
              <w:rPr>
                <w:bCs/>
              </w:rPr>
              <w:t xml:space="preserve">Utskottet fortsatte behandlingen av frågan om ett initiativ om </w:t>
            </w:r>
            <w:r w:rsidRPr="00B628D9">
              <w:rPr>
                <w:bCs/>
              </w:rPr>
              <w:t>att använda återvandringsbidraget för att satsa på glesbygdskommunerna</w:t>
            </w:r>
            <w:r>
              <w:rPr>
                <w:bCs/>
              </w:rPr>
              <w:t>.</w:t>
            </w:r>
            <w:r>
              <w:rPr>
                <w:bCs/>
              </w:rPr>
              <w:br/>
            </w:r>
            <w:r>
              <w:rPr>
                <w:bCs/>
              </w:rPr>
              <w:br/>
            </w:r>
            <w:r w:rsidRPr="007834CF">
              <w:rPr>
                <w:bCs/>
              </w:rPr>
              <w:t>Utskottet beslutade att inte ta något initiativ.</w:t>
            </w:r>
            <w:r w:rsidRPr="00B628D9">
              <w:rPr>
                <w:bCs/>
              </w:rPr>
              <w:br/>
            </w:r>
          </w:p>
        </w:tc>
      </w:tr>
      <w:tr w:rsidR="002A3730" w14:paraId="448AFCE1" w14:textId="77777777" w:rsidTr="008035C8">
        <w:tc>
          <w:tcPr>
            <w:tcW w:w="567" w:type="dxa"/>
          </w:tcPr>
          <w:p w14:paraId="265C4579" w14:textId="424AF893" w:rsidR="002A3730" w:rsidRDefault="002A3730" w:rsidP="002A3730">
            <w:pPr>
              <w:tabs>
                <w:tab w:val="left" w:pos="1701"/>
              </w:tabs>
              <w:rPr>
                <w:b/>
                <w:snapToGrid w:val="0"/>
              </w:rPr>
            </w:pPr>
            <w:r>
              <w:rPr>
                <w:b/>
                <w:snapToGrid w:val="0"/>
              </w:rPr>
              <w:t xml:space="preserve">§ </w:t>
            </w:r>
            <w:r w:rsidR="007834CF">
              <w:rPr>
                <w:b/>
                <w:snapToGrid w:val="0"/>
              </w:rPr>
              <w:t>9</w:t>
            </w:r>
          </w:p>
        </w:tc>
        <w:tc>
          <w:tcPr>
            <w:tcW w:w="7655" w:type="dxa"/>
          </w:tcPr>
          <w:p w14:paraId="00914D18" w14:textId="44BCFF8B" w:rsidR="002A3730" w:rsidRPr="006637A3" w:rsidRDefault="002A3730" w:rsidP="002A3730">
            <w:pPr>
              <w:outlineLvl w:val="0"/>
              <w:rPr>
                <w:bCs/>
              </w:rPr>
            </w:pPr>
            <w:r>
              <w:rPr>
                <w:b/>
              </w:rPr>
              <w:t>Nästa sammanträde</w:t>
            </w:r>
            <w:r w:rsidR="006637A3">
              <w:rPr>
                <w:b/>
              </w:rPr>
              <w:br/>
            </w:r>
            <w:r w:rsidR="006637A3">
              <w:rPr>
                <w:bCs/>
              </w:rPr>
              <w:t>Tisdag 11 november kl. 11.00.</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B13580B" w14:textId="0EAA3655" w:rsidR="002A3730" w:rsidRPr="00BD39D1" w:rsidRDefault="002A3730" w:rsidP="002A3730">
            <w:pPr>
              <w:outlineLvl w:val="0"/>
            </w:pPr>
            <w:r>
              <w:t>Justera</w:t>
            </w:r>
            <w:r w:rsidR="00457D8D">
              <w:t>t</w:t>
            </w:r>
            <w:r>
              <w:t xml:space="preserve"> den </w:t>
            </w:r>
            <w:r w:rsidR="006637A3">
              <w:t>11 november 2025</w:t>
            </w:r>
            <w:r w:rsidR="006637A3">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6C4C6D38"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4B3113">
        <w:rPr>
          <w:sz w:val="22"/>
          <w:szCs w:val="22"/>
        </w:rPr>
        <w:t>12</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63513706" w:rsidR="00EF6F88" w:rsidRPr="000E151F" w:rsidRDefault="004B3113" w:rsidP="002B2C82">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53BAD281" w:rsidR="00EF6F88" w:rsidRPr="000E151F" w:rsidRDefault="004B3113" w:rsidP="002B2C82">
            <w:pPr>
              <w:rPr>
                <w:sz w:val="22"/>
                <w:szCs w:val="22"/>
              </w:rPr>
            </w:pPr>
            <w:r>
              <w:rPr>
                <w:sz w:val="22"/>
                <w:szCs w:val="22"/>
              </w:rPr>
              <w:t>§2-7</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1C47B57F" w:rsidR="00EF6F88" w:rsidRPr="000E151F" w:rsidRDefault="004B3113" w:rsidP="002B2C82">
            <w:pPr>
              <w:rPr>
                <w:sz w:val="22"/>
                <w:szCs w:val="22"/>
              </w:rPr>
            </w:pPr>
            <w:r>
              <w:rPr>
                <w:sz w:val="22"/>
                <w:szCs w:val="22"/>
              </w:rPr>
              <w:t>§8-9</w:t>
            </w: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4B3113"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4B3113" w:rsidRPr="000E151F" w:rsidRDefault="004B3113" w:rsidP="004B3113">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3DB8DA1D"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A7B948D"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3F455F3F"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4B3113" w:rsidRPr="000E151F" w:rsidRDefault="004B3113" w:rsidP="004B3113">
            <w:pPr>
              <w:rPr>
                <w:sz w:val="22"/>
                <w:szCs w:val="22"/>
              </w:rPr>
            </w:pPr>
          </w:p>
        </w:tc>
      </w:tr>
      <w:tr w:rsidR="004B3113"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4B3113" w:rsidRPr="00A946FF" w:rsidRDefault="004B3113" w:rsidP="004B3113">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2CBBED3"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1FEE6EC"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6363C0C3"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4B3113" w:rsidRPr="000E151F" w:rsidRDefault="004B3113" w:rsidP="004B3113">
            <w:pPr>
              <w:rPr>
                <w:sz w:val="22"/>
                <w:szCs w:val="22"/>
              </w:rPr>
            </w:pPr>
          </w:p>
        </w:tc>
      </w:tr>
      <w:tr w:rsidR="004B3113"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4B3113" w:rsidRPr="00A946FF" w:rsidRDefault="004B3113" w:rsidP="004B3113">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5D646457"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5AEDD5C2"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04E6E09F"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4B3113" w:rsidRPr="000E151F" w:rsidRDefault="004B3113" w:rsidP="004B3113">
            <w:pPr>
              <w:rPr>
                <w:sz w:val="22"/>
                <w:szCs w:val="22"/>
              </w:rPr>
            </w:pPr>
          </w:p>
        </w:tc>
      </w:tr>
      <w:tr w:rsidR="004B3113"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4B3113" w:rsidRPr="000E151F" w:rsidRDefault="004B3113" w:rsidP="004B3113">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F6A4694"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12E4E36"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2843D6D4"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4B3113" w:rsidRPr="000E151F" w:rsidRDefault="004B3113" w:rsidP="004B3113">
            <w:pPr>
              <w:rPr>
                <w:sz w:val="22"/>
                <w:szCs w:val="22"/>
              </w:rPr>
            </w:pPr>
          </w:p>
        </w:tc>
      </w:tr>
      <w:tr w:rsidR="004B3113"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4B3113" w:rsidRDefault="004B3113" w:rsidP="004B3113">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5B229EF7"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187B6C8C"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4D955D27"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4B3113" w:rsidRPr="000E151F" w:rsidRDefault="004B3113" w:rsidP="004B3113">
            <w:pPr>
              <w:rPr>
                <w:sz w:val="22"/>
                <w:szCs w:val="22"/>
              </w:rPr>
            </w:pPr>
          </w:p>
        </w:tc>
      </w:tr>
      <w:tr w:rsidR="004B3113"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4B3113" w:rsidRDefault="004B3113" w:rsidP="004B3113">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5A3945AB"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5200054F"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6238EB6"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4B3113" w:rsidRPr="000E151F" w:rsidRDefault="004B3113" w:rsidP="004B3113">
            <w:pPr>
              <w:rPr>
                <w:sz w:val="22"/>
                <w:szCs w:val="22"/>
              </w:rPr>
            </w:pPr>
          </w:p>
        </w:tc>
      </w:tr>
      <w:tr w:rsidR="004B3113"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4B3113" w:rsidRDefault="004B3113" w:rsidP="004B3113">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62328617"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65D8885B"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4D26CB63"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4B3113" w:rsidRPr="000E151F" w:rsidRDefault="004B3113" w:rsidP="004B3113">
            <w:pPr>
              <w:rPr>
                <w:sz w:val="22"/>
                <w:szCs w:val="22"/>
              </w:rPr>
            </w:pPr>
          </w:p>
        </w:tc>
      </w:tr>
      <w:tr w:rsidR="004B3113"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4B3113" w:rsidRDefault="004B3113" w:rsidP="004B3113">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474EF972"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3EF3F109"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645564C3"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4B3113" w:rsidRPr="000E151F" w:rsidRDefault="004B3113" w:rsidP="004B3113">
            <w:pPr>
              <w:rPr>
                <w:sz w:val="22"/>
                <w:szCs w:val="22"/>
              </w:rPr>
            </w:pPr>
          </w:p>
        </w:tc>
      </w:tr>
      <w:tr w:rsidR="004B3113"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4B3113" w:rsidRDefault="004B3113" w:rsidP="004B3113">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3BC46321"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2F72C847"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3B0777D7"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4B3113" w:rsidRPr="000E151F" w:rsidRDefault="004B3113" w:rsidP="004B3113">
            <w:pPr>
              <w:rPr>
                <w:sz w:val="22"/>
                <w:szCs w:val="22"/>
              </w:rPr>
            </w:pPr>
          </w:p>
        </w:tc>
      </w:tr>
      <w:tr w:rsidR="004B3113"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4B3113" w:rsidRDefault="004B3113" w:rsidP="004B3113">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781BC539"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617A15BF"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288D3545"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4B3113" w:rsidRPr="000E151F" w:rsidRDefault="004B3113" w:rsidP="004B3113">
            <w:pPr>
              <w:rPr>
                <w:sz w:val="22"/>
                <w:szCs w:val="22"/>
              </w:rPr>
            </w:pPr>
          </w:p>
        </w:tc>
      </w:tr>
      <w:tr w:rsidR="004B3113"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4B3113" w:rsidRPr="000E151F" w:rsidRDefault="004B3113" w:rsidP="004B3113">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5C6A0C8C"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23A124F1"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4C415A74"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4B3113" w:rsidRPr="000E151F" w:rsidRDefault="004B3113" w:rsidP="004B3113">
            <w:pPr>
              <w:rPr>
                <w:sz w:val="22"/>
                <w:szCs w:val="22"/>
              </w:rPr>
            </w:pPr>
          </w:p>
        </w:tc>
      </w:tr>
      <w:tr w:rsidR="004B3113"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4B3113" w:rsidRPr="000E151F" w:rsidRDefault="004B3113" w:rsidP="004B3113">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6B7045FA"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7813023F"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0237EB70"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4B3113" w:rsidRPr="000E151F" w:rsidRDefault="004B3113" w:rsidP="004B3113">
            <w:pPr>
              <w:rPr>
                <w:sz w:val="22"/>
                <w:szCs w:val="22"/>
              </w:rPr>
            </w:pPr>
          </w:p>
        </w:tc>
      </w:tr>
      <w:tr w:rsidR="004B3113"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4B3113" w:rsidRPr="000E151F" w:rsidRDefault="004B3113" w:rsidP="004B3113">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4D396FF8"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0C4A1CC8"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364FCC41"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4B3113" w:rsidRPr="000E151F" w:rsidRDefault="004B3113" w:rsidP="004B3113">
            <w:pPr>
              <w:rPr>
                <w:sz w:val="22"/>
                <w:szCs w:val="22"/>
              </w:rPr>
            </w:pPr>
          </w:p>
        </w:tc>
      </w:tr>
      <w:tr w:rsidR="004B3113"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4B3113" w:rsidRPr="000E151F" w:rsidRDefault="004B3113" w:rsidP="004B3113">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2F896984"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123EDBBB"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2E5BA5AB"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4B3113" w:rsidRPr="000E151F" w:rsidRDefault="004B3113" w:rsidP="004B3113">
            <w:pPr>
              <w:rPr>
                <w:sz w:val="22"/>
                <w:szCs w:val="22"/>
              </w:rPr>
            </w:pPr>
          </w:p>
        </w:tc>
      </w:tr>
      <w:tr w:rsidR="004B3113"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4B3113" w:rsidRPr="000E151F" w:rsidRDefault="004B3113" w:rsidP="004B3113">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45A1C06C"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10805BD2"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0CEF699D"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4B3113" w:rsidRPr="000E151F" w:rsidRDefault="004B3113" w:rsidP="004B3113">
            <w:pPr>
              <w:rPr>
                <w:sz w:val="22"/>
                <w:szCs w:val="22"/>
              </w:rPr>
            </w:pPr>
          </w:p>
        </w:tc>
      </w:tr>
      <w:tr w:rsidR="004B3113"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4B3113" w:rsidRDefault="004B3113" w:rsidP="004B3113">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4970E00" w:rsidR="004B3113" w:rsidRPr="000E151F" w:rsidRDefault="004B3113" w:rsidP="004B31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274F3453"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57B3735E"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4B3113" w:rsidRPr="000E151F" w:rsidRDefault="004B3113" w:rsidP="004B3113">
            <w:pPr>
              <w:rPr>
                <w:sz w:val="22"/>
                <w:szCs w:val="22"/>
              </w:rPr>
            </w:pPr>
          </w:p>
        </w:tc>
      </w:tr>
      <w:tr w:rsidR="00EF6F88"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EF6F88" w:rsidRPr="000E151F" w:rsidRDefault="00EA10A5" w:rsidP="002B2C82">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13532CE2"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EF6F88" w:rsidRPr="000E151F" w:rsidRDefault="00EF6F88" w:rsidP="002B2C82">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1A5DB3FE" w:rsidR="000E2953" w:rsidRPr="000E151F" w:rsidRDefault="004B3113"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17CEDEC2" w:rsidR="000E2953" w:rsidRPr="000E151F" w:rsidRDefault="004B3113"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64476E4" w:rsidR="000E2953" w:rsidRPr="000E151F" w:rsidRDefault="004B3113"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3B91EE6E" w:rsidR="000E2953" w:rsidRPr="000E151F" w:rsidRDefault="004B3113"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4B311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4B3113" w:rsidRPr="000E151F" w:rsidRDefault="004B3113" w:rsidP="004B3113">
            <w:pPr>
              <w:tabs>
                <w:tab w:val="left" w:pos="497"/>
              </w:tabs>
              <w:rPr>
                <w:snapToGrid w:val="0"/>
                <w:sz w:val="22"/>
                <w:szCs w:val="22"/>
              </w:rPr>
            </w:pPr>
            <w:r w:rsidRPr="00A946FF">
              <w:rPr>
                <w:snapToGrid w:val="0"/>
                <w:sz w:val="22"/>
                <w:szCs w:val="22"/>
              </w:rPr>
              <w:t>An</w:t>
            </w:r>
            <w:r>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17B794F2" w:rsidR="004B3113" w:rsidRPr="000E151F" w:rsidRDefault="004B3113" w:rsidP="004B31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17528382"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32A6FFF" w:rsidR="004B3113" w:rsidRPr="000E151F" w:rsidRDefault="004B3113" w:rsidP="004B311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4B3113" w:rsidRPr="000E151F" w:rsidRDefault="004B3113" w:rsidP="004B3113">
            <w:pPr>
              <w:rPr>
                <w:sz w:val="22"/>
                <w:szCs w:val="22"/>
              </w:rPr>
            </w:pPr>
          </w:p>
        </w:tc>
      </w:tr>
      <w:tr w:rsidR="004B311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4B3113" w:rsidRPr="000E151F" w:rsidRDefault="004B3113" w:rsidP="004B311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4B3113" w:rsidRPr="000E151F" w:rsidRDefault="004B3113" w:rsidP="004B31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4B3113" w:rsidRPr="000E151F" w:rsidRDefault="004B3113" w:rsidP="004B3113">
            <w:pPr>
              <w:rPr>
                <w:sz w:val="22"/>
                <w:szCs w:val="22"/>
              </w:rPr>
            </w:pPr>
          </w:p>
        </w:tc>
      </w:tr>
      <w:tr w:rsidR="004B311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4B3113" w:rsidRPr="000E151F" w:rsidRDefault="004B3113" w:rsidP="004B311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4B3113" w:rsidRPr="000E151F" w:rsidRDefault="004B3113" w:rsidP="004B31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4B3113" w:rsidRPr="000E151F" w:rsidRDefault="004B3113" w:rsidP="004B3113">
            <w:pPr>
              <w:rPr>
                <w:sz w:val="22"/>
                <w:szCs w:val="22"/>
              </w:rPr>
            </w:pPr>
          </w:p>
        </w:tc>
      </w:tr>
      <w:tr w:rsidR="004B3113"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4B3113" w:rsidRDefault="004B3113" w:rsidP="004B311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6874D77D" w:rsidR="004B3113" w:rsidRPr="000E151F" w:rsidRDefault="004B3113" w:rsidP="004B311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657BB4F8" w:rsidR="004B3113" w:rsidRPr="000E151F" w:rsidRDefault="004B3113" w:rsidP="004B311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55DA70C6" w:rsidR="004B3113" w:rsidRPr="000E151F" w:rsidRDefault="004B3113" w:rsidP="004B311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4B3113" w:rsidRPr="000E151F" w:rsidRDefault="004B3113" w:rsidP="004B3113">
            <w:pPr>
              <w:rPr>
                <w:sz w:val="22"/>
                <w:szCs w:val="22"/>
              </w:rPr>
            </w:pPr>
          </w:p>
        </w:tc>
      </w:tr>
      <w:tr w:rsidR="004B311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4B3113" w:rsidRDefault="004B3113" w:rsidP="004B311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4B3113" w:rsidRPr="000E151F" w:rsidRDefault="004B3113" w:rsidP="004B31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4B3113" w:rsidRPr="000E151F" w:rsidRDefault="004B3113" w:rsidP="004B3113">
            <w:pPr>
              <w:rPr>
                <w:sz w:val="22"/>
                <w:szCs w:val="22"/>
              </w:rPr>
            </w:pPr>
          </w:p>
        </w:tc>
      </w:tr>
      <w:tr w:rsidR="004B3113"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4B3113" w:rsidRDefault="004B3113" w:rsidP="004B311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38253E3D" w:rsidR="004B3113" w:rsidRPr="000E151F" w:rsidRDefault="004B3113" w:rsidP="004B311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07D169A1" w:rsidR="004B3113" w:rsidRPr="000E151F" w:rsidRDefault="004B3113" w:rsidP="004B311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07CDF333" w:rsidR="004B3113" w:rsidRPr="000E151F" w:rsidRDefault="004B3113" w:rsidP="004B311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4B3113" w:rsidRPr="000E151F" w:rsidRDefault="004B3113" w:rsidP="004B3113">
            <w:pPr>
              <w:rPr>
                <w:sz w:val="22"/>
                <w:szCs w:val="22"/>
              </w:rPr>
            </w:pPr>
          </w:p>
        </w:tc>
      </w:tr>
      <w:tr w:rsidR="004B3113"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4B3113" w:rsidRDefault="004B3113" w:rsidP="004B311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4B3113" w:rsidRPr="000E151F" w:rsidRDefault="004B3113" w:rsidP="004B31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4B3113" w:rsidRPr="000E151F" w:rsidRDefault="004B3113" w:rsidP="004B31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4B3113" w:rsidRPr="000E151F" w:rsidRDefault="004B3113" w:rsidP="004B31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4B3113" w:rsidRPr="000E151F" w:rsidRDefault="004B3113" w:rsidP="004B31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4B3113" w:rsidRPr="000E151F" w:rsidRDefault="004B3113" w:rsidP="004B311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77777777"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860963">
    <w:abstractNumId w:val="0"/>
  </w:num>
  <w:num w:numId="2" w16cid:durableId="1976249286">
    <w:abstractNumId w:val="1"/>
  </w:num>
  <w:num w:numId="3" w16cid:durableId="1201433452">
    <w:abstractNumId w:val="6"/>
  </w:num>
  <w:num w:numId="4" w16cid:durableId="1331373860">
    <w:abstractNumId w:val="3"/>
  </w:num>
  <w:num w:numId="5" w16cid:durableId="660889232">
    <w:abstractNumId w:val="12"/>
  </w:num>
  <w:num w:numId="6" w16cid:durableId="590697081">
    <w:abstractNumId w:val="2"/>
  </w:num>
  <w:num w:numId="7" w16cid:durableId="350422675">
    <w:abstractNumId w:val="8"/>
  </w:num>
  <w:num w:numId="8" w16cid:durableId="12809657">
    <w:abstractNumId w:val="4"/>
  </w:num>
  <w:num w:numId="9" w16cid:durableId="2106877222">
    <w:abstractNumId w:val="5"/>
  </w:num>
  <w:num w:numId="10" w16cid:durableId="1802772436">
    <w:abstractNumId w:val="13"/>
  </w:num>
  <w:num w:numId="11" w16cid:durableId="1215197049">
    <w:abstractNumId w:val="9"/>
  </w:num>
  <w:num w:numId="12" w16cid:durableId="1986425886">
    <w:abstractNumId w:val="7"/>
  </w:num>
  <w:num w:numId="13" w16cid:durableId="1770151719">
    <w:abstractNumId w:val="11"/>
  </w:num>
  <w:num w:numId="14" w16cid:durableId="1672176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491"/>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C6E"/>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74E3F"/>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57D8D"/>
    <w:rsid w:val="00461C67"/>
    <w:rsid w:val="00462AC9"/>
    <w:rsid w:val="00470350"/>
    <w:rsid w:val="0047175B"/>
    <w:rsid w:val="0047277D"/>
    <w:rsid w:val="00474848"/>
    <w:rsid w:val="00490AF3"/>
    <w:rsid w:val="0049357F"/>
    <w:rsid w:val="004A0267"/>
    <w:rsid w:val="004A0CDF"/>
    <w:rsid w:val="004A36BA"/>
    <w:rsid w:val="004A4171"/>
    <w:rsid w:val="004A41BC"/>
    <w:rsid w:val="004B1312"/>
    <w:rsid w:val="004B3113"/>
    <w:rsid w:val="004C6601"/>
    <w:rsid w:val="004C6A09"/>
    <w:rsid w:val="004D4929"/>
    <w:rsid w:val="004E2BD4"/>
    <w:rsid w:val="004E667D"/>
    <w:rsid w:val="004F1B55"/>
    <w:rsid w:val="004F2904"/>
    <w:rsid w:val="004F32F1"/>
    <w:rsid w:val="004F680C"/>
    <w:rsid w:val="005017B0"/>
    <w:rsid w:val="0050317D"/>
    <w:rsid w:val="00504616"/>
    <w:rsid w:val="00514945"/>
    <w:rsid w:val="00520187"/>
    <w:rsid w:val="005228C9"/>
    <w:rsid w:val="005345E8"/>
    <w:rsid w:val="005355B6"/>
    <w:rsid w:val="00537FF9"/>
    <w:rsid w:val="00540493"/>
    <w:rsid w:val="00540593"/>
    <w:rsid w:val="00541406"/>
    <w:rsid w:val="00541EF8"/>
    <w:rsid w:val="00543E57"/>
    <w:rsid w:val="0054604E"/>
    <w:rsid w:val="0055672C"/>
    <w:rsid w:val="00562EF7"/>
    <w:rsid w:val="00570236"/>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6EF1"/>
    <w:rsid w:val="006375F0"/>
    <w:rsid w:val="00641E11"/>
    <w:rsid w:val="00643E28"/>
    <w:rsid w:val="006457B3"/>
    <w:rsid w:val="006572A3"/>
    <w:rsid w:val="006637A3"/>
    <w:rsid w:val="00667E9B"/>
    <w:rsid w:val="00674AF0"/>
    <w:rsid w:val="00685BB7"/>
    <w:rsid w:val="006921D0"/>
    <w:rsid w:val="00692522"/>
    <w:rsid w:val="006A0738"/>
    <w:rsid w:val="006A1A13"/>
    <w:rsid w:val="006A74AC"/>
    <w:rsid w:val="006B7B0C"/>
    <w:rsid w:val="006C1499"/>
    <w:rsid w:val="006C21FA"/>
    <w:rsid w:val="006D0D77"/>
    <w:rsid w:val="006D3126"/>
    <w:rsid w:val="006D3360"/>
    <w:rsid w:val="006D5482"/>
    <w:rsid w:val="006E04F7"/>
    <w:rsid w:val="00701F1D"/>
    <w:rsid w:val="007055E3"/>
    <w:rsid w:val="00723D66"/>
    <w:rsid w:val="007243F5"/>
    <w:rsid w:val="00725B05"/>
    <w:rsid w:val="0073105D"/>
    <w:rsid w:val="0073741E"/>
    <w:rsid w:val="00743A44"/>
    <w:rsid w:val="00750FF0"/>
    <w:rsid w:val="00751AFD"/>
    <w:rsid w:val="00755F03"/>
    <w:rsid w:val="00761D68"/>
    <w:rsid w:val="00767BDA"/>
    <w:rsid w:val="00774482"/>
    <w:rsid w:val="007773C2"/>
    <w:rsid w:val="007826B0"/>
    <w:rsid w:val="007826C0"/>
    <w:rsid w:val="007834CF"/>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8F7E48"/>
    <w:rsid w:val="00901730"/>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E7DBA"/>
    <w:rsid w:val="009F15A5"/>
    <w:rsid w:val="009F5E2E"/>
    <w:rsid w:val="009F69BC"/>
    <w:rsid w:val="00A016D3"/>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93D95"/>
    <w:rsid w:val="00AA0DFB"/>
    <w:rsid w:val="00AA2873"/>
    <w:rsid w:val="00AB4139"/>
    <w:rsid w:val="00AC283D"/>
    <w:rsid w:val="00AC4586"/>
    <w:rsid w:val="00AD0133"/>
    <w:rsid w:val="00AD47F5"/>
    <w:rsid w:val="00AE5BBD"/>
    <w:rsid w:val="00AE7247"/>
    <w:rsid w:val="00AF3CA6"/>
    <w:rsid w:val="00B054F1"/>
    <w:rsid w:val="00B33983"/>
    <w:rsid w:val="00B36495"/>
    <w:rsid w:val="00B44E5B"/>
    <w:rsid w:val="00B523F7"/>
    <w:rsid w:val="00B54410"/>
    <w:rsid w:val="00B547D0"/>
    <w:rsid w:val="00B55F04"/>
    <w:rsid w:val="00B628D9"/>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17131"/>
    <w:rsid w:val="00C33C35"/>
    <w:rsid w:val="00C3449C"/>
    <w:rsid w:val="00C35200"/>
    <w:rsid w:val="00C3579D"/>
    <w:rsid w:val="00C4286E"/>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E3126"/>
    <w:rsid w:val="00DE54FF"/>
    <w:rsid w:val="00DF06AE"/>
    <w:rsid w:val="00E0219D"/>
    <w:rsid w:val="00E15BE8"/>
    <w:rsid w:val="00E16DC2"/>
    <w:rsid w:val="00E2015B"/>
    <w:rsid w:val="00E264E7"/>
    <w:rsid w:val="00E27E50"/>
    <w:rsid w:val="00E43F8A"/>
    <w:rsid w:val="00E443F3"/>
    <w:rsid w:val="00E4502B"/>
    <w:rsid w:val="00E5492F"/>
    <w:rsid w:val="00E653E8"/>
    <w:rsid w:val="00E67EBA"/>
    <w:rsid w:val="00E7062C"/>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48E6"/>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044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645</Words>
  <Characters>4439</Characters>
  <Application>Microsoft Office Word</Application>
  <DocSecurity>0</DocSecurity>
  <Lines>1109</Lines>
  <Paragraphs>211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22</cp:revision>
  <cp:lastPrinted>2018-10-02T11:13:00Z</cp:lastPrinted>
  <dcterms:created xsi:type="dcterms:W3CDTF">2025-11-03T09:27:00Z</dcterms:created>
  <dcterms:modified xsi:type="dcterms:W3CDTF">2025-11-11T13:55:00Z</dcterms:modified>
</cp:coreProperties>
</file>