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4A6D" w:rsidRPr="003F45E5" w:rsidRDefault="00B04A6D">
      <w:pPr>
        <w:pStyle w:val="Frslagsrubrik"/>
        <w:shd w:val="clear" w:color="000000" w:fill="auto"/>
      </w:pPr>
      <w:r w:rsidRPr="003F45E5">
        <w:t>Förslag till riksdagsbeslut</w:t>
      </w:r>
    </w:p>
    <w:p w:rsidR="00B04A6D" w:rsidRPr="003F45E5" w:rsidRDefault="00B04A6D">
      <w:pPr>
        <w:pStyle w:val="Hemstlatt"/>
        <w:shd w:val="clear" w:color="000000" w:fill="auto"/>
        <w:ind w:left="0"/>
      </w:pPr>
      <w:r w:rsidRPr="003F45E5">
        <w:t>Riksdagen anvisar med följande ändringar i förhålla</w:t>
      </w:r>
      <w:r w:rsidRPr="003F45E5">
        <w:t>n</w:t>
      </w:r>
      <w:r w:rsidRPr="003F45E5">
        <w:t xml:space="preserve">de till regeringens förslag anslagen under utgiftsområde 24 Näringsliv enligt uppställning: </w:t>
      </w:r>
    </w:p>
    <w:tbl>
      <w:tblPr>
        <w:tblpPr w:leftFromText="141" w:rightFromText="141" w:vertAnchor="text" w:horzAnchor="margin" w:tblpXSpec="center" w:tblpY="290"/>
        <w:tblW w:w="595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9"/>
        <w:gridCol w:w="1691"/>
        <w:gridCol w:w="1680"/>
        <w:gridCol w:w="1440"/>
      </w:tblGrid>
      <w:tr w:rsidR="00000000" w:rsidRPr="003F45E5"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A6D" w:rsidRPr="003F45E5" w:rsidRDefault="00B04A6D">
            <w:pPr>
              <w:shd w:val="clear" w:color="000000" w:fill="auto"/>
              <w:spacing w:before="60" w:line="200" w:lineRule="exact"/>
              <w:rPr>
                <w:b/>
                <w:sz w:val="16"/>
                <w:szCs w:val="16"/>
              </w:rPr>
            </w:pPr>
            <w:r w:rsidRPr="003F45E5">
              <w:rPr>
                <w:b/>
                <w:sz w:val="16"/>
                <w:szCs w:val="16"/>
              </w:rPr>
              <w:t>Anslag 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A6D" w:rsidRPr="003F45E5" w:rsidRDefault="00B04A6D">
            <w:pPr>
              <w:shd w:val="clear" w:color="000000" w:fill="auto"/>
              <w:spacing w:before="60" w:line="200" w:lineRule="exact"/>
              <w:rPr>
                <w:b/>
                <w:sz w:val="16"/>
                <w:szCs w:val="16"/>
              </w:rPr>
            </w:pPr>
            <w:r w:rsidRPr="003F45E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A6D" w:rsidRPr="003F45E5" w:rsidRDefault="00B04A6D">
            <w:pPr>
              <w:shd w:val="clear" w:color="000000" w:fill="auto"/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3F45E5">
              <w:rPr>
                <w:b/>
                <w:sz w:val="16"/>
                <w:szCs w:val="16"/>
              </w:rPr>
              <w:t>Regeringens förslag (tkr)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A6D" w:rsidRPr="003F45E5" w:rsidRDefault="00B04A6D">
            <w:pPr>
              <w:shd w:val="clear" w:color="000000" w:fill="auto"/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3F45E5">
              <w:rPr>
                <w:b/>
                <w:sz w:val="16"/>
                <w:szCs w:val="16"/>
              </w:rPr>
              <w:t>Anslagsförändring (tkr)</w:t>
            </w:r>
          </w:p>
        </w:tc>
      </w:tr>
      <w:tr w:rsidR="00000000" w:rsidRPr="003F45E5">
        <w:tc>
          <w:tcPr>
            <w:tcW w:w="1139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A6D" w:rsidRPr="003F45E5" w:rsidRDefault="00B04A6D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3F45E5">
              <w:rPr>
                <w:sz w:val="16"/>
                <w:szCs w:val="16"/>
              </w:rPr>
              <w:t xml:space="preserve">2:7 Nytt anslag 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4A6D" w:rsidRPr="003F45E5" w:rsidRDefault="00B04A6D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3F45E5">
              <w:rPr>
                <w:sz w:val="16"/>
                <w:szCs w:val="16"/>
              </w:rPr>
              <w:t>Strategisk samverkan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4A6D" w:rsidRPr="003F45E5" w:rsidRDefault="00B04A6D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4A6D" w:rsidRPr="003F45E5" w:rsidRDefault="00B04A6D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3F45E5">
              <w:rPr>
                <w:sz w:val="16"/>
                <w:szCs w:val="16"/>
              </w:rPr>
              <w:t>500 000</w:t>
            </w:r>
          </w:p>
        </w:tc>
      </w:tr>
      <w:tr w:rsidR="00000000" w:rsidRPr="003F45E5"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A6D" w:rsidRPr="003F45E5" w:rsidRDefault="00B04A6D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169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4A6D" w:rsidRPr="003F45E5" w:rsidRDefault="00B04A6D">
            <w:pPr>
              <w:shd w:val="clear" w:color="000000" w:fill="auto"/>
              <w:spacing w:before="60" w:line="200" w:lineRule="exact"/>
              <w:rPr>
                <w:b/>
                <w:sz w:val="16"/>
                <w:szCs w:val="16"/>
              </w:rPr>
            </w:pPr>
            <w:r w:rsidRPr="003F45E5">
              <w:rPr>
                <w:b/>
                <w:sz w:val="16"/>
                <w:szCs w:val="16"/>
              </w:rPr>
              <w:t>Summa för utgiftso</w:t>
            </w:r>
            <w:r w:rsidRPr="003F45E5">
              <w:rPr>
                <w:b/>
                <w:sz w:val="16"/>
                <w:szCs w:val="16"/>
              </w:rPr>
              <w:t>m</w:t>
            </w:r>
            <w:r w:rsidRPr="003F45E5">
              <w:rPr>
                <w:b/>
                <w:sz w:val="16"/>
                <w:szCs w:val="16"/>
              </w:rPr>
              <w:t>rådet</w:t>
            </w:r>
          </w:p>
        </w:tc>
        <w:tc>
          <w:tcPr>
            <w:tcW w:w="16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4A6D" w:rsidRPr="003F45E5" w:rsidRDefault="00B04A6D">
            <w:pPr>
              <w:shd w:val="clear" w:color="000000" w:fill="auto"/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3F45E5">
              <w:rPr>
                <w:b/>
                <w:sz w:val="16"/>
                <w:szCs w:val="16"/>
              </w:rPr>
              <w:t>6 011 914</w:t>
            </w:r>
          </w:p>
        </w:tc>
        <w:tc>
          <w:tcPr>
            <w:tcW w:w="14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4A6D" w:rsidRPr="003F45E5" w:rsidRDefault="00B04A6D">
            <w:pPr>
              <w:shd w:val="clear" w:color="000000" w:fill="auto"/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3F45E5">
              <w:rPr>
                <w:b/>
                <w:sz w:val="16"/>
                <w:szCs w:val="16"/>
              </w:rPr>
              <w:t>500 000</w:t>
            </w:r>
          </w:p>
        </w:tc>
      </w:tr>
    </w:tbl>
    <w:p w:rsidR="00B04A6D" w:rsidRPr="003F45E5" w:rsidRDefault="00B04A6D">
      <w:pPr>
        <w:pStyle w:val="Rubrik1"/>
        <w:shd w:val="clear" w:color="000000" w:fill="auto"/>
      </w:pPr>
      <w:r w:rsidRPr="003F45E5">
        <w:t>Strategisk samverkan</w:t>
      </w:r>
    </w:p>
    <w:p w:rsidR="00B04A6D" w:rsidRPr="003F45E5" w:rsidRDefault="00B04A6D">
      <w:pPr>
        <w:pStyle w:val="Normaltindrag"/>
        <w:shd w:val="clear" w:color="000000" w:fill="auto"/>
        <w:ind w:firstLine="0"/>
      </w:pPr>
      <w:r w:rsidRPr="003F45E5">
        <w:t>Vi vill inrätta strategiska samverkansformer med forskning och näringsliv för att stärka svensk konkurrenskraft. För detta avsätter vi 500 miljoner kronor per år under fyra år.</w:t>
      </w:r>
    </w:p>
    <w:p w:rsidR="00B04A6D" w:rsidRPr="003F45E5" w:rsidRDefault="00B04A6D">
      <w:pPr>
        <w:pStyle w:val="Rubrik2"/>
        <w:shd w:val="clear" w:color="000000" w:fill="auto"/>
      </w:pPr>
      <w:r w:rsidRPr="003F45E5">
        <w:t>Inrättande av riskkapitalfond</w:t>
      </w:r>
    </w:p>
    <w:p w:rsidR="00B04A6D" w:rsidRPr="003F45E5" w:rsidRDefault="00B04A6D">
      <w:pPr>
        <w:shd w:val="clear" w:color="000000" w:fill="auto"/>
        <w:rPr>
          <w:szCs w:val="24"/>
        </w:rPr>
      </w:pPr>
      <w:r w:rsidRPr="003F45E5">
        <w:rPr>
          <w:szCs w:val="24"/>
        </w:rPr>
        <w:t>Det finns goda argument för att under de kommande åren öka de statliga insatserna på riskkapitalområdet. Mot den bakgrunden vi vill skapa en riskk</w:t>
      </w:r>
      <w:r w:rsidRPr="003F45E5">
        <w:rPr>
          <w:szCs w:val="24"/>
        </w:rPr>
        <w:t>a</w:t>
      </w:r>
      <w:r w:rsidRPr="003F45E5">
        <w:rPr>
          <w:szCs w:val="24"/>
        </w:rPr>
        <w:t xml:space="preserve">pitalfond med en total initial investeringsportfölj på </w:t>
      </w:r>
      <w:r w:rsidRPr="003F45E5">
        <w:rPr>
          <w:bCs/>
          <w:szCs w:val="24"/>
        </w:rPr>
        <w:t>3 miljarder kronor</w:t>
      </w:r>
      <w:r w:rsidRPr="003F45E5">
        <w:rPr>
          <w:szCs w:val="24"/>
        </w:rPr>
        <w:t>. Fo</w:t>
      </w:r>
      <w:r w:rsidRPr="003F45E5">
        <w:rPr>
          <w:szCs w:val="24"/>
        </w:rPr>
        <w:t>n</w:t>
      </w:r>
      <w:r w:rsidRPr="003F45E5">
        <w:rPr>
          <w:szCs w:val="24"/>
        </w:rPr>
        <w:t>den ska ha ett särskilt fokus på innovativa små och medelstora industri- och tjänsteföretag. Fonden ska agera marknadskompletterande, vilket innebär att enskilda engagemang ska avslutas när företaget nått en mognad som möjli</w:t>
      </w:r>
      <w:r w:rsidRPr="003F45E5">
        <w:rPr>
          <w:szCs w:val="24"/>
        </w:rPr>
        <w:t>g</w:t>
      </w:r>
      <w:r w:rsidRPr="003F45E5">
        <w:rPr>
          <w:szCs w:val="24"/>
        </w:rPr>
        <w:t>gör privat finansiering. Fonden finansieras genom en avveckling av det statl</w:t>
      </w:r>
      <w:r w:rsidRPr="003F45E5">
        <w:rPr>
          <w:szCs w:val="24"/>
        </w:rPr>
        <w:t>i</w:t>
      </w:r>
      <w:r w:rsidRPr="003F45E5">
        <w:rPr>
          <w:szCs w:val="24"/>
        </w:rPr>
        <w:t>ga venture capital-bolaget Fouriertransform. Detta redovisas i den sociald</w:t>
      </w:r>
      <w:r w:rsidRPr="003F45E5">
        <w:rPr>
          <w:szCs w:val="24"/>
        </w:rPr>
        <w:t>e</w:t>
      </w:r>
      <w:r w:rsidRPr="003F45E5">
        <w:rPr>
          <w:szCs w:val="24"/>
        </w:rPr>
        <w:t>mokratiska budgetmotionen.</w:t>
      </w:r>
    </w:p>
    <w:p w:rsidR="00B04A6D" w:rsidRPr="003F45E5" w:rsidRDefault="00B04A6D">
      <w:pPr>
        <w:pStyle w:val="Rubrik2"/>
        <w:shd w:val="clear" w:color="000000" w:fill="auto"/>
      </w:pPr>
      <w:r w:rsidRPr="003F45E5">
        <w:lastRenderedPageBreak/>
        <w:t>Införande av ett nytt riskkap</w:t>
      </w:r>
      <w:r w:rsidRPr="003F45E5">
        <w:t>italavdrag</w:t>
      </w:r>
    </w:p>
    <w:p w:rsidR="00B04A6D" w:rsidRPr="003F45E5" w:rsidRDefault="00B04A6D">
      <w:pPr>
        <w:shd w:val="clear" w:color="000000" w:fill="auto"/>
      </w:pPr>
      <w:r w:rsidRPr="003F45E5">
        <w:rPr>
          <w:szCs w:val="24"/>
        </w:rPr>
        <w:t>Vi</w:t>
      </w:r>
      <w:r w:rsidRPr="003F45E5">
        <w:t xml:space="preserve"> vill inrätta ett riskkapitalavdrag för dem som investerar i ett mindre företag upp till 100 000 kronor. Vi vill avsätta en halv miljard för detta, vilket redov</w:t>
      </w:r>
      <w:r w:rsidRPr="003F45E5">
        <w:t>i</w:t>
      </w:r>
      <w:r w:rsidRPr="003F45E5">
        <w:t>sas på inkomstsidan i den socialdemokratiska budgetmotionen.</w:t>
      </w:r>
    </w:p>
    <w:p w:rsidR="00B04A6D" w:rsidRPr="003F45E5" w:rsidRDefault="00B04A6D">
      <w:pPr>
        <w:pStyle w:val="Rubrik2"/>
        <w:shd w:val="clear" w:color="000000" w:fill="auto"/>
      </w:pPr>
      <w:r w:rsidRPr="003F45E5">
        <w:t>Sänkta arbetsgivaravgifter för småföretag</w:t>
      </w:r>
    </w:p>
    <w:p w:rsidR="00B04A6D" w:rsidRPr="003F45E5" w:rsidRDefault="00B04A6D">
      <w:pPr>
        <w:pStyle w:val="Normaltindrag"/>
        <w:shd w:val="clear" w:color="000000" w:fill="auto"/>
        <w:ind w:firstLine="0"/>
      </w:pPr>
      <w:r w:rsidRPr="003F45E5">
        <w:rPr>
          <w:szCs w:val="23"/>
        </w:rPr>
        <w:t xml:space="preserve">De små- och medelstora företagen står för nästan hela nettotillskottet av nya jobb i ekonomin. Att få dessa företag att fortsätta växa och anställa är helt centralt. Vi föreslår därför en nedsättning av arbetsgivaravgiften riktad mot mindre företag. Arbetsgivaravgiften sänks från år 2012 med </w:t>
      </w:r>
      <w:r w:rsidRPr="003F45E5">
        <w:rPr>
          <w:bCs/>
          <w:szCs w:val="23"/>
        </w:rPr>
        <w:t>3 procent på lönesummor upp till 900 000 kronor.</w:t>
      </w:r>
      <w:r w:rsidRPr="003F45E5">
        <w:rPr>
          <w:b/>
          <w:bCs/>
          <w:szCs w:val="23"/>
        </w:rPr>
        <w:t xml:space="preserve"> </w:t>
      </w:r>
      <w:r w:rsidRPr="003F45E5">
        <w:rPr>
          <w:szCs w:val="23"/>
        </w:rPr>
        <w:t xml:space="preserve">Statens nettokostnad för denna reform är </w:t>
      </w:r>
      <w:r w:rsidRPr="003F45E5">
        <w:rPr>
          <w:bCs/>
          <w:szCs w:val="23"/>
        </w:rPr>
        <w:t>3 miljarder kronor, vilket redovisas på inkomstsidan i den socialdemokratiska budgetmotionen.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F45E5">
        <w:trPr>
          <w:cantSplit/>
        </w:trPr>
        <w:tc>
          <w:tcPr>
            <w:tcW w:w="3046" w:type="dxa"/>
          </w:tcPr>
          <w:p w:rsidR="00B04A6D" w:rsidRPr="003F45E5" w:rsidRDefault="00B04A6D">
            <w:pPr>
              <w:pStyle w:val="UnderskriftDatum"/>
              <w:shd w:val="clear" w:color="000000" w:fill="auto"/>
              <w:spacing w:before="240"/>
            </w:pPr>
            <w:r w:rsidRPr="003F45E5">
              <w:t>Stockholm den 2 oktober 2011</w:t>
            </w:r>
          </w:p>
        </w:tc>
        <w:tc>
          <w:tcPr>
            <w:tcW w:w="3047" w:type="dxa"/>
          </w:tcPr>
          <w:p w:rsidR="00B04A6D" w:rsidRPr="003F45E5" w:rsidRDefault="00B04A6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F45E5">
        <w:trPr>
          <w:cantSplit/>
        </w:trPr>
        <w:tc>
          <w:tcPr>
            <w:tcW w:w="3046" w:type="dxa"/>
          </w:tcPr>
          <w:p w:rsidR="00B04A6D" w:rsidRPr="003F45E5" w:rsidRDefault="00B04A6D">
            <w:pPr>
              <w:pStyle w:val="Underskrifter"/>
              <w:shd w:val="clear" w:color="000000" w:fill="auto"/>
            </w:pPr>
            <w:r w:rsidRPr="003F45E5">
              <w:t>Lars Johansson (S)</w:t>
            </w:r>
          </w:p>
        </w:tc>
        <w:tc>
          <w:tcPr>
            <w:tcW w:w="3046" w:type="dxa"/>
          </w:tcPr>
          <w:p w:rsidR="00B04A6D" w:rsidRPr="003F45E5" w:rsidRDefault="00B04A6D">
            <w:pPr>
              <w:pStyle w:val="Underskrifter"/>
              <w:shd w:val="clear" w:color="000000" w:fill="auto"/>
            </w:pPr>
          </w:p>
        </w:tc>
      </w:tr>
      <w:tr w:rsidR="00000000" w:rsidRPr="003F45E5">
        <w:trPr>
          <w:cantSplit/>
        </w:trPr>
        <w:tc>
          <w:tcPr>
            <w:tcW w:w="3046" w:type="dxa"/>
          </w:tcPr>
          <w:p w:rsidR="00B04A6D" w:rsidRPr="003F45E5" w:rsidRDefault="00B04A6D">
            <w:pPr>
              <w:pStyle w:val="Underskrifter"/>
              <w:shd w:val="clear" w:color="000000" w:fill="auto"/>
            </w:pPr>
            <w:r w:rsidRPr="003F45E5">
              <w:t>Carina Adolfsson Elgestam (S)</w:t>
            </w:r>
          </w:p>
        </w:tc>
        <w:tc>
          <w:tcPr>
            <w:tcW w:w="3046" w:type="dxa"/>
          </w:tcPr>
          <w:p w:rsidR="00B04A6D" w:rsidRPr="003F45E5" w:rsidRDefault="00B04A6D">
            <w:pPr>
              <w:pStyle w:val="Underskrifter"/>
              <w:shd w:val="clear" w:color="000000" w:fill="auto"/>
            </w:pPr>
            <w:r w:rsidRPr="003F45E5">
              <w:t>Ann-Kristine Johansson (S)</w:t>
            </w:r>
          </w:p>
        </w:tc>
      </w:tr>
      <w:tr w:rsidR="00000000" w:rsidRPr="003F45E5">
        <w:trPr>
          <w:cantSplit/>
        </w:trPr>
        <w:tc>
          <w:tcPr>
            <w:tcW w:w="3046" w:type="dxa"/>
          </w:tcPr>
          <w:p w:rsidR="00B04A6D" w:rsidRPr="003F45E5" w:rsidRDefault="00B04A6D">
            <w:pPr>
              <w:pStyle w:val="Underskrifter"/>
              <w:shd w:val="clear" w:color="000000" w:fill="auto"/>
            </w:pPr>
            <w:r w:rsidRPr="003F45E5">
              <w:t>Börje Vestlund (S)</w:t>
            </w:r>
          </w:p>
        </w:tc>
        <w:tc>
          <w:tcPr>
            <w:tcW w:w="3046" w:type="dxa"/>
          </w:tcPr>
          <w:p w:rsidR="00B04A6D" w:rsidRPr="003F45E5" w:rsidRDefault="00B04A6D">
            <w:pPr>
              <w:pStyle w:val="Underskrifter"/>
              <w:shd w:val="clear" w:color="000000" w:fill="auto"/>
            </w:pPr>
            <w:r w:rsidRPr="003F45E5">
              <w:t>Karin Åström (S)</w:t>
            </w:r>
          </w:p>
        </w:tc>
      </w:tr>
      <w:tr w:rsidR="00000000" w:rsidRPr="003F45E5">
        <w:trPr>
          <w:cantSplit/>
        </w:trPr>
        <w:tc>
          <w:tcPr>
            <w:tcW w:w="3046" w:type="dxa"/>
          </w:tcPr>
          <w:p w:rsidR="00B04A6D" w:rsidRPr="003F45E5" w:rsidRDefault="00B04A6D">
            <w:pPr>
              <w:pStyle w:val="Underskrifter"/>
              <w:shd w:val="clear" w:color="000000" w:fill="auto"/>
            </w:pPr>
            <w:r w:rsidRPr="003F45E5">
              <w:t>Krister Örnfjäder (S)</w:t>
            </w:r>
          </w:p>
        </w:tc>
        <w:tc>
          <w:tcPr>
            <w:tcW w:w="3046" w:type="dxa"/>
          </w:tcPr>
          <w:p w:rsidR="00B04A6D" w:rsidRPr="003F45E5" w:rsidRDefault="00B04A6D">
            <w:pPr>
              <w:pStyle w:val="Underskrifter"/>
              <w:shd w:val="clear" w:color="000000" w:fill="auto"/>
            </w:pPr>
            <w:r w:rsidRPr="003F45E5">
              <w:t>Ingemar Nilsson (S)</w:t>
            </w:r>
          </w:p>
        </w:tc>
      </w:tr>
      <w:tr w:rsidR="00000000" w:rsidRPr="003F45E5">
        <w:trPr>
          <w:cantSplit/>
        </w:trPr>
        <w:tc>
          <w:tcPr>
            <w:tcW w:w="3046" w:type="dxa"/>
          </w:tcPr>
          <w:p w:rsidR="00B04A6D" w:rsidRPr="003F45E5" w:rsidRDefault="00B04A6D">
            <w:pPr>
              <w:pStyle w:val="Underskrifter"/>
              <w:shd w:val="clear" w:color="000000" w:fill="auto"/>
            </w:pPr>
            <w:r w:rsidRPr="003F45E5">
              <w:t>Ingela Nylund Watz (S)</w:t>
            </w:r>
          </w:p>
        </w:tc>
        <w:tc>
          <w:tcPr>
            <w:tcW w:w="3046" w:type="dxa"/>
          </w:tcPr>
          <w:p w:rsidR="00B04A6D" w:rsidRPr="003F45E5" w:rsidRDefault="00B04A6D">
            <w:pPr>
              <w:pStyle w:val="Underskrifter"/>
              <w:shd w:val="clear" w:color="000000" w:fill="auto"/>
            </w:pPr>
          </w:p>
        </w:tc>
      </w:tr>
    </w:tbl>
    <w:p w:rsidR="00B04A6D" w:rsidRPr="003F45E5" w:rsidRDefault="00B04A6D">
      <w:pPr>
        <w:pStyle w:val="Normaltindrag"/>
        <w:shd w:val="clear" w:color="000000" w:fill="auto"/>
      </w:pPr>
    </w:p>
    <w:sectPr w:rsidR="00B04A6D" w:rsidRPr="003F45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4A6D" w:rsidRPr="003F45E5" w:rsidRDefault="00B04A6D">
      <w:r w:rsidRPr="003F45E5">
        <w:separator/>
      </w:r>
    </w:p>
  </w:endnote>
  <w:endnote w:type="continuationSeparator" w:id="0">
    <w:p w:rsidR="00B04A6D" w:rsidRPr="003F45E5" w:rsidRDefault="00B04A6D">
      <w:r w:rsidRPr="003F45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LT Pro">
    <w:altName w:val="Avenir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A6D" w:rsidRPr="003F45E5" w:rsidRDefault="003F45E5">
    <w:pPr>
      <w:pStyle w:val="Sidfot"/>
    </w:pPr>
    <w:r w:rsidRPr="003F45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97089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A6D" w:rsidRDefault="00B04A6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4A6D" w:rsidRDefault="00B04A6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A6D" w:rsidRPr="003F45E5" w:rsidRDefault="003F45E5">
    <w:pPr>
      <w:pStyle w:val="Sidfot"/>
    </w:pPr>
    <w:r w:rsidRPr="003F45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493742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A6D" w:rsidRDefault="00B04A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4A6D" w:rsidRDefault="00B04A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A6D" w:rsidRPr="003F45E5" w:rsidRDefault="003F45E5">
    <w:pPr>
      <w:pStyle w:val="Sidfot"/>
    </w:pPr>
    <w:r w:rsidRPr="003F45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54830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A6D" w:rsidRDefault="00B04A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4A6D" w:rsidRDefault="00B04A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4A6D" w:rsidRPr="003F45E5" w:rsidRDefault="00B04A6D">
      <w:r w:rsidRPr="003F45E5">
        <w:separator/>
      </w:r>
    </w:p>
  </w:footnote>
  <w:footnote w:type="continuationSeparator" w:id="0">
    <w:p w:rsidR="00B04A6D" w:rsidRPr="003F45E5" w:rsidRDefault="00B04A6D">
      <w:r w:rsidRPr="003F45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A6D" w:rsidRPr="003F45E5" w:rsidRDefault="003F45E5">
    <w:pPr>
      <w:pStyle w:val="Sidhuvud"/>
    </w:pPr>
    <w:r w:rsidRPr="003F45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29506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A6D" w:rsidRDefault="00B04A6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4A6D" w:rsidRDefault="00B04A6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A6D" w:rsidRPr="003F45E5" w:rsidRDefault="003F45E5">
    <w:pPr>
      <w:pStyle w:val="Sidhuvud"/>
    </w:pPr>
    <w:r w:rsidRPr="003F45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51402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A6D" w:rsidRDefault="00B04A6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4A6D" w:rsidRDefault="00B04A6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A6D" w:rsidRPr="003F45E5" w:rsidRDefault="00B04A6D">
    <w:pPr>
      <w:pStyle w:val="FSHNormal"/>
      <w:tabs>
        <w:tab w:val="right" w:pos="5840"/>
      </w:tabs>
    </w:pPr>
    <w:r w:rsidRPr="003F45E5">
      <w:br/>
    </w:r>
    <w:r w:rsidRPr="003F45E5">
      <w:fldChar w:fldCharType="begin" w:fldLock="1"/>
    </w:r>
    <w:r w:rsidRPr="003F45E5">
      <w:instrText xml:space="preserve"> DOCPROPERTY</w:instrText>
    </w:r>
    <w:r w:rsidRPr="003F45E5">
      <w:rPr>
        <w:sz w:val="18"/>
      </w:rPr>
      <w:instrText xml:space="preserve"> "YearUser" *\charformat </w:instrText>
    </w:r>
    <w:r w:rsidRPr="003F45E5">
      <w:fldChar w:fldCharType="separate"/>
    </w:r>
    <w:r w:rsidRPr="003F45E5">
      <w:t>2011/12</w:t>
    </w:r>
    <w:r w:rsidRPr="003F45E5">
      <w:fldChar w:fldCharType="end"/>
    </w:r>
    <w:r w:rsidRPr="003F45E5">
      <w:t xml:space="preserve"> </w:t>
    </w:r>
    <w:r w:rsidRPr="003F45E5">
      <w:tab/>
      <w:t xml:space="preserve">mnr: </w:t>
    </w:r>
    <w:r w:rsidRPr="003F45E5">
      <w:fldChar w:fldCharType="begin" w:fldLock="1"/>
    </w:r>
    <w:r w:rsidRPr="003F45E5">
      <w:instrText xml:space="preserve"> DOCPROPERTY</w:instrText>
    </w:r>
    <w:r w:rsidRPr="003F45E5">
      <w:rPr>
        <w:sz w:val="18"/>
      </w:rPr>
      <w:instrText xml:space="preserve"> "Motionsnummer" *\charformat </w:instrText>
    </w:r>
    <w:r w:rsidRPr="003F45E5">
      <w:fldChar w:fldCharType="separate"/>
    </w:r>
    <w:r w:rsidRPr="003F45E5">
      <w:t>N348</w:t>
    </w:r>
    <w:r w:rsidRPr="003F45E5">
      <w:fldChar w:fldCharType="end"/>
    </w:r>
    <w:r w:rsidRPr="003F45E5">
      <w:br/>
    </w:r>
    <w:r w:rsidRPr="003F45E5">
      <w:fldChar w:fldCharType="begin" w:fldLock="1"/>
    </w:r>
    <w:r w:rsidRPr="003F45E5">
      <w:instrText xml:space="preserve"> DOCPROPERTY</w:instrText>
    </w:r>
    <w:r w:rsidRPr="003F45E5">
      <w:rPr>
        <w:sz w:val="18"/>
      </w:rPr>
      <w:instrText xml:space="preserve"> "Samling" *\charformat </w:instrText>
    </w:r>
    <w:r w:rsidRPr="003F45E5">
      <w:fldChar w:fldCharType="end"/>
    </w:r>
    <w:r w:rsidRPr="003F45E5">
      <w:tab/>
      <w:t xml:space="preserve">pnr: </w:t>
    </w:r>
    <w:r w:rsidRPr="003F45E5">
      <w:fldChar w:fldCharType="begin" w:fldLock="1"/>
    </w:r>
    <w:r w:rsidRPr="003F45E5">
      <w:instrText xml:space="preserve"> DOCPROPERTY</w:instrText>
    </w:r>
    <w:r w:rsidRPr="003F45E5">
      <w:rPr>
        <w:sz w:val="18"/>
      </w:rPr>
      <w:instrText xml:space="preserve"> "Partinummer" *\charformat </w:instrText>
    </w:r>
    <w:r w:rsidRPr="003F45E5">
      <w:fldChar w:fldCharType="separate"/>
    </w:r>
    <w:r w:rsidRPr="003F45E5">
      <w:t>S4010</w:t>
    </w:r>
    <w:r w:rsidRPr="003F45E5">
      <w:fldChar w:fldCharType="end"/>
    </w:r>
  </w:p>
  <w:p w:rsidR="00B04A6D" w:rsidRPr="003F45E5" w:rsidRDefault="00B04A6D">
    <w:pPr>
      <w:pStyle w:val="FSHRub1"/>
    </w:pPr>
    <w:r w:rsidRPr="003F45E5">
      <w:t>Motion till riksdagen</w:t>
    </w:r>
    <w:r w:rsidRPr="003F45E5">
      <w:br/>
    </w:r>
    <w:r w:rsidRPr="003F45E5">
      <w:fldChar w:fldCharType="begin" w:fldLock="1"/>
    </w:r>
    <w:r w:rsidRPr="003F45E5">
      <w:instrText xml:space="preserve"> DOCPROPERTY "YearUser" *\charformat </w:instrText>
    </w:r>
    <w:r w:rsidRPr="003F45E5">
      <w:fldChar w:fldCharType="separate"/>
    </w:r>
    <w:r w:rsidRPr="003F45E5">
      <w:t>2011/12</w:t>
    </w:r>
    <w:r w:rsidRPr="003F45E5">
      <w:fldChar w:fldCharType="end"/>
    </w:r>
    <w:r w:rsidRPr="003F45E5">
      <w:t>:</w:t>
    </w:r>
    <w:r w:rsidRPr="003F45E5">
      <w:fldChar w:fldCharType="begin" w:fldLock="1"/>
    </w:r>
    <w:r w:rsidRPr="003F45E5">
      <w:instrText xml:space="preserve"> DOCPROPERTY "Motionsnummer" *\charformat </w:instrText>
    </w:r>
    <w:r w:rsidRPr="003F45E5">
      <w:fldChar w:fldCharType="separate"/>
    </w:r>
    <w:r w:rsidRPr="003F45E5">
      <w:t>N348</w:t>
    </w:r>
    <w:r w:rsidRPr="003F45E5">
      <w:fldChar w:fldCharType="end"/>
    </w:r>
  </w:p>
  <w:p w:rsidR="00B04A6D" w:rsidRPr="003F45E5" w:rsidRDefault="00B04A6D">
    <w:pPr>
      <w:pStyle w:val="FSHNormalS5"/>
    </w:pPr>
    <w:r w:rsidRPr="003F45E5">
      <w:fldChar w:fldCharType="begin" w:fldLock="1"/>
    </w:r>
    <w:r w:rsidRPr="003F45E5">
      <w:instrText xml:space="preserve"> DOCPROPERTY "MotionarText" *\charformat </w:instrText>
    </w:r>
    <w:r w:rsidRPr="003F45E5">
      <w:fldChar w:fldCharType="separate"/>
    </w:r>
    <w:r w:rsidRPr="003F45E5">
      <w:t>av Lars Johansson m.fl. (S)</w:t>
    </w:r>
    <w:r w:rsidRPr="003F45E5">
      <w:fldChar w:fldCharType="end"/>
    </w:r>
    <w:r w:rsidRPr="003F45E5">
      <w:br/>
    </w:r>
    <w:r w:rsidRPr="003F45E5">
      <w:fldChar w:fldCharType="begin" w:fldLock="1"/>
    </w:r>
    <w:r w:rsidRPr="003F45E5">
      <w:instrText xml:space="preserve"> DOCPROPERTY "SvarFrasKort" *\charformat </w:instrText>
    </w:r>
    <w:r w:rsidRPr="003F45E5">
      <w:fldChar w:fldCharType="end"/>
    </w:r>
  </w:p>
  <w:p w:rsidR="00B04A6D" w:rsidRPr="003F45E5" w:rsidRDefault="00B04A6D">
    <w:pPr>
      <w:pStyle w:val="FSHTitel"/>
    </w:pPr>
    <w:r w:rsidRPr="003F45E5">
      <w:fldChar w:fldCharType="begin" w:fldLock="1"/>
    </w:r>
    <w:r w:rsidRPr="003F45E5">
      <w:instrText xml:space="preserve"> DOCPROPERTY</w:instrText>
    </w:r>
    <w:r w:rsidRPr="003F45E5">
      <w:rPr>
        <w:sz w:val="18"/>
      </w:rPr>
      <w:instrText xml:space="preserve"> "RubrikSvar" *\charformat </w:instrText>
    </w:r>
    <w:r w:rsidRPr="003F45E5">
      <w:fldChar w:fldCharType="separate"/>
    </w:r>
    <w:r w:rsidRPr="003F45E5">
      <w:t>Ugiftsområde 24 Näringsliv</w:t>
    </w:r>
    <w:r w:rsidRPr="003F45E5">
      <w:fldChar w:fldCharType="end"/>
    </w:r>
  </w:p>
  <w:p w:rsidR="00B04A6D" w:rsidRPr="003F45E5" w:rsidRDefault="00B04A6D">
    <w:pPr>
      <w:pStyle w:val="Normal00"/>
    </w:pPr>
  </w:p>
  <w:p w:rsidR="00B04A6D" w:rsidRPr="003F45E5" w:rsidRDefault="00B04A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896016D"/>
    <w:multiLevelType w:val="hybridMultilevel"/>
    <w:tmpl w:val="95F08A0C"/>
    <w:lvl w:ilvl="0" w:tplc="70981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10355821">
    <w:abstractNumId w:val="3"/>
  </w:num>
  <w:num w:numId="2" w16cid:durableId="834764691">
    <w:abstractNumId w:val="2"/>
  </w:num>
  <w:num w:numId="3" w16cid:durableId="52893614">
    <w:abstractNumId w:val="1"/>
  </w:num>
  <w:num w:numId="4" w16cid:durableId="822549666">
    <w:abstractNumId w:val="0"/>
  </w:num>
  <w:num w:numId="5" w16cid:durableId="808519922">
    <w:abstractNumId w:val="7"/>
  </w:num>
  <w:num w:numId="6" w16cid:durableId="1584483798">
    <w:abstractNumId w:val="6"/>
  </w:num>
  <w:num w:numId="7" w16cid:durableId="1466269267">
    <w:abstractNumId w:val="5"/>
  </w:num>
  <w:num w:numId="8" w16cid:durableId="8679123">
    <w:abstractNumId w:val="4"/>
  </w:num>
  <w:num w:numId="9" w16cid:durableId="1814519901">
    <w:abstractNumId w:val="8"/>
  </w:num>
  <w:num w:numId="10" w16cid:durableId="638730257">
    <w:abstractNumId w:val="9"/>
  </w:num>
  <w:num w:numId="11" w16cid:durableId="375087962">
    <w:abstractNumId w:val="10"/>
  </w:num>
  <w:num w:numId="12" w16cid:durableId="1350253942">
    <w:abstractNumId w:val="14"/>
  </w:num>
  <w:num w:numId="13" w16cid:durableId="235019538">
    <w:abstractNumId w:val="16"/>
  </w:num>
  <w:num w:numId="14" w16cid:durableId="2049523597">
    <w:abstractNumId w:val="17"/>
  </w:num>
  <w:num w:numId="15" w16cid:durableId="1102337441">
    <w:abstractNumId w:val="12"/>
  </w:num>
  <w:num w:numId="16" w16cid:durableId="1162233746">
    <w:abstractNumId w:val="19"/>
  </w:num>
  <w:num w:numId="17" w16cid:durableId="2048483315">
    <w:abstractNumId w:val="18"/>
  </w:num>
  <w:num w:numId="18" w16cid:durableId="1256018352">
    <w:abstractNumId w:val="15"/>
  </w:num>
  <w:num w:numId="19" w16cid:durableId="426848977">
    <w:abstractNumId w:val="13"/>
  </w:num>
  <w:num w:numId="20" w16cid:durableId="1270359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A5FD479D-7B1D-4149-A949-BD9CC9D47A21},{D5C07C81-85A2-4A77-9EA7-95BF2E6091CD},{C0175783-C0E5-4966-B8E8-1DBAD9A35C9A},{392718BA-4C56-4CF1-9F5D-BFB44667E03D},{E954FE74-C856-472A-91F0-9EBDC78CBAB7},{0D5154F2-1568-4B4A-87D8-4B7FABF18F22},{1D963EC1-580B-4CFE-8CAB-FB67D61C9B39},{0783B3C1-8F86-4DA1-A19E-068F907E9CB5}"/>
  </w:docVars>
  <w:rsids>
    <w:rsidRoot w:val="005370C1"/>
    <w:rsid w:val="003F45E5"/>
    <w:rsid w:val="005370C1"/>
    <w:rsid w:val="00B0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FBD792F-B15C-44DA-8B04-8A6CA0E6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venir LT Pro" w:hAnsi="Avenir LT Pro" w:cs="Avenir LT Pro"/>
      <w:color w:val="000000"/>
      <w:sz w:val="24"/>
      <w:szCs w:val="24"/>
      <w:lang w:val="sv-SE" w:eastAsia="sv-SE"/>
    </w:rPr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Rubrik1Char"/>
    <w:link w:val="Rubrik2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Rubrik2Char"/>
    <w:link w:val="Rubrik3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Rubrik3Char"/>
    <w:link w:val="Rubrik4"/>
    <w:rPr>
      <w:b w:val="0"/>
      <w:i/>
      <w:sz w:val="21"/>
      <w:lang w:val="sv-SE" w:eastAsia="sv-SE" w:bidi="ar-SA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1881</Characters>
  <Application>Microsoft Office Word</Application>
  <DocSecurity>4</DocSecurity>
  <Lines>57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S4010</vt:lpstr>
    </vt:vector>
  </TitlesOfParts>
  <Company>Riksdagen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S4010</dc:title>
  <dc:subject>S4010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2011-10-29T11:03:00Z</cp:lastPrinted>
  <dcterms:created xsi:type="dcterms:W3CDTF">2025-12-17T19:42:00Z</dcterms:created>
  <dcterms:modified xsi:type="dcterms:W3CDTF">2025-12-17T19:42:00Z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EGA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Ugiftsområde 24 Näringsliv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Ugiftsområde 24 Näringsliv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S4010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Lars Johansson m.fl. (S)</vt:lpwstr>
  </property>
  <property fmtid="{D5CDD505-2E9C-101B-9397-08002B2CF9AE}" pid="26" name="MotionarLista">
    <vt:lpwstr>Johansson, Lars (S)\Adolfsson Elgestam, Carina (S)\Johansson, Ann-Kristine (S)\Vestlund, Börje (S)\Åström, Karin (S)\Örnfjäder, Krister (S)\Nilsson, Ingemar (S)\Nylund Watz, Ingela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Johansson (S), Carina Adolfsson Elgestam (S), Ann-Kristine Johansson (S), Börje Vestlund (S), Karin Åström (S), Krister Örnfjäder (S), Ingemar Nilsson (S), Ingela Nylund Watz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2011</vt:lpwstr>
  </property>
  <property fmtid="{D5CDD505-2E9C-101B-9397-08002B2CF9AE}" pid="44" name="NotesUID">
    <vt:lpwstr>erik.gutierrez.aranda@riksdagen.se</vt:lpwstr>
  </property>
  <property fmtid="{D5CDD505-2E9C-101B-9397-08002B2CF9AE}" pid="45" name="ReservUID">
    <vt:lpwstr>ek0702aa</vt:lpwstr>
  </property>
  <property fmtid="{D5CDD505-2E9C-101B-9397-08002B2CF9AE}" pid="46" name="MotionID">
    <vt:lpwstr>20112012000000000083000040100075</vt:lpwstr>
  </property>
  <property fmtid="{D5CDD505-2E9C-101B-9397-08002B2CF9AE}" pid="47" name="datum">
    <vt:lpwstr>111002</vt:lpwstr>
  </property>
  <property fmtid="{D5CDD505-2E9C-101B-9397-08002B2CF9AE}" pid="48" name="avsändar-e-post">
    <vt:lpwstr>erik.gutierrez.aranda@riksdagen.se</vt:lpwstr>
  </property>
  <property fmtid="{D5CDD505-2E9C-101B-9397-08002B2CF9AE}" pid="49" name="id">
    <vt:lpwstr>20112012000000000083000040100075</vt:lpwstr>
  </property>
  <property fmtid="{D5CDD505-2E9C-101B-9397-08002B2CF9AE}" pid="50" name="nummer">
    <vt:lpwstr>348</vt:lpwstr>
  </property>
  <property fmtid="{D5CDD505-2E9C-101B-9397-08002B2CF9AE}" pid="51" name="utskottsbeteckning">
    <vt:lpwstr>N</vt:lpwstr>
  </property>
  <property fmtid="{D5CDD505-2E9C-101B-9397-08002B2CF9AE}" pid="52" name="GlobalUID">
    <vt:lpwstr>{D462C0D4-FDF0-48C5-A840-D30C7123EEF6}</vt:lpwstr>
  </property>
  <property fmtid="{D5CDD505-2E9C-101B-9397-08002B2CF9AE}" pid="53" name="Överföringar">
    <vt:i4>1</vt:i4>
  </property>
  <property fmtid="{D5CDD505-2E9C-101B-9397-08002B2CF9AE}" pid="54" name="Checksum">
    <vt:lpwstr>*0021181418941*</vt:lpwstr>
  </property>
  <property fmtid="{D5CDD505-2E9C-101B-9397-08002B2CF9AE}" pid="55" name="skuggnummer">
    <vt:lpwstr>2238</vt:lpwstr>
  </property>
  <property fmtid="{D5CDD505-2E9C-101B-9397-08002B2CF9AE}" pid="56" name="urixVersion">
    <vt:lpwstr>4.5.0.25</vt:lpwstr>
  </property>
  <property fmtid="{D5CDD505-2E9C-101B-9397-08002B2CF9AE}" pid="57" name="urixOrigin">
    <vt:lpwstr>111130 10:04:37.102</vt:lpwstr>
  </property>
  <property fmtid="{D5CDD505-2E9C-101B-9397-08002B2CF9AE}" pid="58" name="urixGuid">
    <vt:lpwstr>{B134CD07-319C-4290-8B21-BBD2AEED2A8A}</vt:lpwstr>
  </property>
</Properties>
</file>