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05FBA-B5C7-4790-9575-A779B8294745}"/>
</file>

<file path=customXml/itemProps2.xml><?xml version="1.0" encoding="utf-8"?>
<ds:datastoreItem xmlns:ds="http://schemas.openxmlformats.org/officeDocument/2006/customXml" ds:itemID="{BD8703CD-75F8-4772-B0D5-EEE3D6ACFB7B}"/>
</file>

<file path=customXml/itemProps3.xml><?xml version="1.0" encoding="utf-8"?>
<ds:datastoreItem xmlns:ds="http://schemas.openxmlformats.org/officeDocument/2006/customXml" ds:itemID="{D8E30F27-7F6D-42B0-B625-60E269A53FFC}"/>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