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214C6">
        <w:tblPrEx>
          <w:tblCellMar>
            <w:top w:w="0" w:type="dxa"/>
            <w:left w:w="0" w:type="dxa"/>
            <w:bottom w:w="0" w:type="dxa"/>
            <w:right w:w="0" w:type="dxa"/>
          </w:tblCellMar>
        </w:tblPrEx>
        <w:trPr>
          <w:gridAfter w:val="2"/>
          <w:wAfter w:w="1758" w:type="dxa"/>
          <w:cantSplit/>
          <w:trHeight w:val="1320"/>
        </w:trPr>
        <w:tc>
          <w:tcPr>
            <w:tcW w:w="5897" w:type="dxa"/>
          </w:tcPr>
          <w:p w:rsidR="00930553" w:rsidRPr="007214C6" w:rsidRDefault="00930553">
            <w:pPr>
              <w:pStyle w:val="HuvudRubrik"/>
            </w:pPr>
            <w:r w:rsidRPr="007214C6">
              <w:t>Regeringskansliet</w:t>
            </w:r>
          </w:p>
          <w:p w:rsidR="00930553" w:rsidRPr="007214C6" w:rsidRDefault="00930553">
            <w:pPr>
              <w:pStyle w:val="HuvudRubrik"/>
            </w:pPr>
            <w:r w:rsidRPr="007214C6">
              <w:t>Faktapromemoria  2011/12:FPM51</w:t>
            </w:r>
          </w:p>
        </w:tc>
      </w:tr>
      <w:tr w:rsidR="00000000" w:rsidRPr="007214C6">
        <w:tblPrEx>
          <w:tblCellMar>
            <w:top w:w="0" w:type="dxa"/>
            <w:left w:w="0" w:type="dxa"/>
            <w:bottom w:w="0" w:type="dxa"/>
            <w:right w:w="0" w:type="dxa"/>
          </w:tblCellMar>
        </w:tblPrEx>
        <w:trPr>
          <w:gridAfter w:val="2"/>
          <w:wAfter w:w="1758" w:type="dxa"/>
          <w:cantSplit/>
          <w:trHeight w:val="240"/>
        </w:trPr>
        <w:tc>
          <w:tcPr>
            <w:tcW w:w="5897" w:type="dxa"/>
          </w:tcPr>
          <w:p w:rsidR="00930553" w:rsidRPr="007214C6" w:rsidRDefault="00930553">
            <w:pPr>
              <w:pStyle w:val="HuvudRubrik"/>
              <w:rPr>
                <w:sz w:val="28"/>
              </w:rPr>
            </w:pPr>
            <w:r w:rsidRPr="007214C6">
              <w:t>Viseringsförenklingsavtal mellan EU och Azerbajdzjan</w:t>
            </w:r>
          </w:p>
        </w:tc>
      </w:tr>
      <w:tr w:rsidR="00000000" w:rsidRPr="007214C6">
        <w:tblPrEx>
          <w:tblCellMar>
            <w:top w:w="0" w:type="dxa"/>
            <w:left w:w="0" w:type="dxa"/>
            <w:bottom w:w="0" w:type="dxa"/>
            <w:right w:w="0" w:type="dxa"/>
          </w:tblCellMar>
        </w:tblPrEx>
        <w:trPr>
          <w:cantSplit/>
          <w:trHeight w:val="285"/>
        </w:trPr>
        <w:tc>
          <w:tcPr>
            <w:tcW w:w="7655" w:type="dxa"/>
            <w:gridSpan w:val="3"/>
          </w:tcPr>
          <w:p w:rsidR="00930553" w:rsidRPr="007214C6" w:rsidRDefault="00930553">
            <w:pPr>
              <w:pStyle w:val="Departement"/>
              <w:rPr>
                <w:sz w:val="28"/>
              </w:rPr>
            </w:pPr>
            <w:r w:rsidRPr="007214C6">
              <w:t>Justitiedepartementet</w:t>
            </w:r>
          </w:p>
        </w:tc>
      </w:tr>
      <w:tr w:rsidR="00000000" w:rsidRPr="007214C6">
        <w:tblPrEx>
          <w:tblCellMar>
            <w:top w:w="0" w:type="dxa"/>
            <w:left w:w="0" w:type="dxa"/>
            <w:bottom w:w="0" w:type="dxa"/>
            <w:right w:w="0" w:type="dxa"/>
          </w:tblCellMar>
        </w:tblPrEx>
        <w:trPr>
          <w:cantSplit/>
          <w:trHeight w:val="240"/>
        </w:trPr>
        <w:tc>
          <w:tcPr>
            <w:tcW w:w="7655" w:type="dxa"/>
            <w:gridSpan w:val="3"/>
          </w:tcPr>
          <w:p w:rsidR="00930553" w:rsidRPr="007214C6" w:rsidRDefault="00930553">
            <w:pPr>
              <w:pStyle w:val="Dokumentdatum"/>
            </w:pPr>
            <w:r w:rsidRPr="007214C6">
              <w:t>2011-12-13</w:t>
            </w:r>
          </w:p>
        </w:tc>
      </w:tr>
      <w:tr w:rsidR="00000000" w:rsidRPr="007214C6">
        <w:tblPrEx>
          <w:tblCellMar>
            <w:top w:w="0" w:type="dxa"/>
            <w:left w:w="0" w:type="dxa"/>
            <w:bottom w:w="0" w:type="dxa"/>
            <w:right w:w="0" w:type="dxa"/>
          </w:tblCellMar>
        </w:tblPrEx>
        <w:trPr>
          <w:cantSplit/>
          <w:trHeight w:val="726"/>
        </w:trPr>
        <w:tc>
          <w:tcPr>
            <w:tcW w:w="7655" w:type="dxa"/>
            <w:gridSpan w:val="3"/>
            <w:vAlign w:val="bottom"/>
          </w:tcPr>
          <w:p w:rsidR="00930553" w:rsidRPr="007214C6" w:rsidRDefault="00930553">
            <w:pPr>
              <w:pStyle w:val="Dokumentbeteckning"/>
            </w:pPr>
            <w:r w:rsidRPr="007214C6">
              <w:t>Dokumentbeteckning</w:t>
            </w:r>
          </w:p>
        </w:tc>
      </w:tr>
      <w:tr w:rsidR="00000000" w:rsidRPr="007214C6">
        <w:tblPrEx>
          <w:tblCellMar>
            <w:top w:w="0" w:type="dxa"/>
            <w:left w:w="0" w:type="dxa"/>
            <w:bottom w:w="0" w:type="dxa"/>
            <w:right w:w="0" w:type="dxa"/>
          </w:tblCellMar>
        </w:tblPrEx>
        <w:trPr>
          <w:gridAfter w:val="1"/>
          <w:wAfter w:w="1560" w:type="dxa"/>
          <w:trHeight w:val="120"/>
        </w:trPr>
        <w:tc>
          <w:tcPr>
            <w:tcW w:w="6095" w:type="dxa"/>
            <w:gridSpan w:val="2"/>
          </w:tcPr>
          <w:p w:rsidR="00930553" w:rsidRPr="007214C6" w:rsidRDefault="00930553">
            <w:bookmarkStart w:id="0" w:name="KomNr"/>
            <w:bookmarkEnd w:id="0"/>
            <w:r w:rsidRPr="007214C6">
              <w:t>SEK(2011) 1050</w:t>
            </w:r>
          </w:p>
        </w:tc>
      </w:tr>
      <w:tr w:rsidR="00000000" w:rsidRPr="007214C6">
        <w:tblPrEx>
          <w:tblCellMar>
            <w:top w:w="0" w:type="dxa"/>
            <w:left w:w="0" w:type="dxa"/>
            <w:bottom w:w="0" w:type="dxa"/>
            <w:right w:w="0" w:type="dxa"/>
          </w:tblCellMar>
        </w:tblPrEx>
        <w:trPr>
          <w:gridAfter w:val="1"/>
          <w:wAfter w:w="1560" w:type="dxa"/>
          <w:trHeight w:val="120"/>
        </w:trPr>
        <w:tc>
          <w:tcPr>
            <w:tcW w:w="6095" w:type="dxa"/>
            <w:gridSpan w:val="2"/>
          </w:tcPr>
          <w:p w:rsidR="00930553" w:rsidRPr="007214C6" w:rsidRDefault="00930553">
            <w:pPr>
              <w:pStyle w:val="Dokumentbeteckning-titel"/>
            </w:pPr>
            <w:r w:rsidRPr="007214C6">
              <w:t>Rekommendation från kommissionen till rådet om att bemyndiga kommissionen att inleda förhandlingar om ingående av ett avtal mellan Europeiska unionen och Azerbajdzjan om förenklat utfärdande av viseringar för kortare vistelse</w:t>
            </w:r>
          </w:p>
        </w:tc>
      </w:tr>
      <w:tr w:rsidR="00000000" w:rsidRPr="007214C6">
        <w:tblPrEx>
          <w:tblCellMar>
            <w:top w:w="0" w:type="dxa"/>
            <w:left w:w="0" w:type="dxa"/>
            <w:bottom w:w="0" w:type="dxa"/>
            <w:right w:w="0" w:type="dxa"/>
          </w:tblCellMar>
        </w:tblPrEx>
        <w:trPr>
          <w:gridAfter w:val="1"/>
          <w:wAfter w:w="1560" w:type="dxa"/>
          <w:trHeight w:val="120"/>
        </w:trPr>
        <w:tc>
          <w:tcPr>
            <w:tcW w:w="6095" w:type="dxa"/>
            <w:gridSpan w:val="2"/>
          </w:tcPr>
          <w:p w:rsidR="00930553" w:rsidRPr="007214C6" w:rsidRDefault="00930553">
            <w:r w:rsidRPr="007214C6">
              <w:t>Faktapromemoria 2011/12:FPM13</w:t>
            </w:r>
          </w:p>
        </w:tc>
      </w:tr>
      <w:tr w:rsidR="00000000" w:rsidRPr="007214C6">
        <w:tblPrEx>
          <w:tblCellMar>
            <w:top w:w="0" w:type="dxa"/>
            <w:left w:w="0" w:type="dxa"/>
            <w:bottom w:w="0" w:type="dxa"/>
            <w:right w:w="0" w:type="dxa"/>
          </w:tblCellMar>
        </w:tblPrEx>
        <w:trPr>
          <w:gridAfter w:val="1"/>
          <w:wAfter w:w="1560" w:type="dxa"/>
          <w:trHeight w:val="120"/>
        </w:trPr>
        <w:tc>
          <w:tcPr>
            <w:tcW w:w="6095" w:type="dxa"/>
            <w:gridSpan w:val="2"/>
          </w:tcPr>
          <w:p w:rsidR="00930553" w:rsidRPr="007214C6" w:rsidRDefault="00930553">
            <w:pPr>
              <w:pStyle w:val="Dokumentbeteckning-titel"/>
            </w:pPr>
            <w:r w:rsidRPr="007214C6">
              <w:t>Faktapromemoria om återtagandeavtal mellan EU och Azerbajdzjan</w:t>
            </w:r>
          </w:p>
        </w:tc>
      </w:tr>
    </w:tbl>
    <w:p w:rsidR="00930553" w:rsidRPr="007214C6" w:rsidRDefault="00930553"/>
    <w:p w:rsidR="00930553" w:rsidRPr="007214C6" w:rsidRDefault="00930553">
      <w:pPr>
        <w:pStyle w:val="Rubrik1"/>
        <w:numPr>
          <w:ilvl w:val="0"/>
          <w:numId w:val="0"/>
        </w:numPr>
      </w:pPr>
      <w:r w:rsidRPr="007214C6">
        <w:t>Sammanfattning</w:t>
      </w:r>
    </w:p>
    <w:p w:rsidR="00930553" w:rsidRPr="007214C6" w:rsidRDefault="00930553"/>
    <w:p w:rsidR="00930553" w:rsidRPr="007214C6" w:rsidRDefault="00930553">
      <w:r w:rsidRPr="007214C6">
        <w:t>Den 16 september 2011 presenterade kommissionen en rekommendation till rådet om att bemyndiga kommissionen att inleda förhandlingar om ett viseringsförenklingsavtal med Azerbajdzjan. Rekommendationen innehåller bland annat förslag till bestämmelser om sänkta viseringsavgifter, kortare handläggningstid för utfärdande av viseringar och bestämmelser som möjliggör att i större utsträckning utfärda viseringar som kan användas för flera inresor. Regeringen är positiv till förslaget.</w:t>
      </w:r>
    </w:p>
    <w:p w:rsidR="00930553" w:rsidRPr="007214C6" w:rsidRDefault="00930553"/>
    <w:p w:rsidR="00930553" w:rsidRPr="007214C6" w:rsidRDefault="00930553">
      <w:pPr>
        <w:pStyle w:val="Rubrik1"/>
      </w:pPr>
      <w:r w:rsidRPr="007214C6">
        <w:t>Förslaget</w:t>
      </w:r>
    </w:p>
    <w:p w:rsidR="00930553" w:rsidRPr="007214C6" w:rsidRDefault="00930553">
      <w:pPr>
        <w:pStyle w:val="Rubrik2"/>
      </w:pPr>
      <w:r w:rsidRPr="007214C6">
        <w:t>Ärendets bakgrund</w:t>
      </w:r>
    </w:p>
    <w:p w:rsidR="00930553" w:rsidRPr="007214C6" w:rsidRDefault="00930553">
      <w:pPr>
        <w:autoSpaceDE w:val="0"/>
        <w:autoSpaceDN w:val="0"/>
        <w:adjustRightInd w:val="0"/>
        <w:spacing w:before="0" w:line="240" w:lineRule="auto"/>
        <w:jc w:val="left"/>
        <w:rPr>
          <w:sz w:val="20"/>
        </w:rPr>
      </w:pPr>
    </w:p>
    <w:p w:rsidR="00930553" w:rsidRPr="007214C6" w:rsidRDefault="00930553">
      <w:r w:rsidRPr="007214C6">
        <w:t xml:space="preserve">I en enlighet med målsättningarna inom ramen för EU:s östliga partnerskap har EU förbundit sig att främja rörlighet för personer genom avtal om förenklade viseringsförfaranden och återtagandeavtal. </w:t>
      </w:r>
    </w:p>
    <w:p w:rsidR="00930553" w:rsidRPr="007214C6" w:rsidRDefault="00930553">
      <w:pPr>
        <w:rPr>
          <w:szCs w:val="19"/>
        </w:rPr>
      </w:pPr>
      <w:r w:rsidRPr="007214C6">
        <w:rPr>
          <w:szCs w:val="19"/>
        </w:rPr>
        <w:lastRenderedPageBreak/>
        <w:t xml:space="preserve">EU har hittills ingått viseringsförenklingsavtal med Ryssland, Ukraina, Moldavien, länderna på västra Balkan och Georgien. </w:t>
      </w:r>
    </w:p>
    <w:p w:rsidR="00930553" w:rsidRPr="007214C6" w:rsidRDefault="00930553">
      <w:pPr>
        <w:pStyle w:val="Rubrik2"/>
      </w:pPr>
      <w:r w:rsidRPr="007214C6">
        <w:t>Förslagets innehåll</w:t>
      </w:r>
    </w:p>
    <w:p w:rsidR="00930553" w:rsidRPr="007214C6" w:rsidRDefault="00930553"/>
    <w:p w:rsidR="00930553" w:rsidRPr="007214C6" w:rsidRDefault="00930553">
      <w:r w:rsidRPr="007214C6">
        <w:t>Rekommendationen som kommissionen presenterat innehåller förslag till mandat till kommissionen att förhandla fram ett viseringsförenklingsavtal mellan EU och Azerbajdzjan samt förhandlingsdirektiv om vad avtalet ska omfatta. Huvudelementen i förhandlingsdirektivet är följande:</w:t>
      </w:r>
    </w:p>
    <w:p w:rsidR="00930553" w:rsidRPr="007214C6" w:rsidRDefault="00930553">
      <w:r w:rsidRPr="007214C6">
        <w:t>- Sänkning av ansökningsavgiften för en schengenvisering från 60 till 35 Euro</w:t>
      </w:r>
    </w:p>
    <w:p w:rsidR="00930553" w:rsidRPr="007214C6" w:rsidRDefault="00930553">
      <w:r w:rsidRPr="007214C6">
        <w:t>- Fastställande av kategorier som är helt avgiftsbefriade (med utgångspunkt att detta främst ska gälla för journalister, företrädare för det civila samhället liksom personer som deltar i vetenskapliga, kulturella eller konstnärliga utbytesprogram)</w:t>
      </w:r>
    </w:p>
    <w:p w:rsidR="00930553" w:rsidRPr="007214C6" w:rsidRDefault="00930553">
      <w:r w:rsidRPr="007214C6">
        <w:t>- Bestämmelser som möjliggör att i större utsträckning utfärda viseringar som kan användas för flera inresor</w:t>
      </w:r>
    </w:p>
    <w:p w:rsidR="00930553" w:rsidRPr="007214C6" w:rsidRDefault="00930553">
      <w:r w:rsidRPr="007214C6">
        <w:t>- Förkortade handläggningstider för viseringsansökningar</w:t>
      </w:r>
    </w:p>
    <w:p w:rsidR="00930553" w:rsidRPr="007214C6" w:rsidRDefault="00930553"/>
    <w:p w:rsidR="00930553" w:rsidRPr="007214C6" w:rsidRDefault="00930553">
      <w:r w:rsidRPr="007214C6">
        <w:t xml:space="preserve">Därutöver finns förslag till bestämmelser om att viseringsförenklingsavtalet ska träda i kraft samma dag som ett återtagandeavtal med Azerbajdzjan träder i kraft, liksom bestämmelser om att viseringsförenklingsavtalet tillfälligt eller definitivt ska upphöra att gälla om återtagandeavtalet tillfälligt eller definitivt sätts ur spel. </w:t>
      </w:r>
    </w:p>
    <w:p w:rsidR="00930553" w:rsidRPr="007214C6" w:rsidRDefault="00930553"/>
    <w:p w:rsidR="00930553" w:rsidRPr="007214C6" w:rsidRDefault="00930553">
      <w:pPr>
        <w:pStyle w:val="Rubrik2"/>
      </w:pPr>
      <w:r w:rsidRPr="007214C6">
        <w:t>Gällande svenska regler och förslagets effekt på dessa</w:t>
      </w:r>
    </w:p>
    <w:p w:rsidR="00930553" w:rsidRPr="007214C6" w:rsidRDefault="00930553"/>
    <w:p w:rsidR="00930553" w:rsidRPr="007214C6" w:rsidRDefault="00930553">
      <w:pPr>
        <w:rPr>
          <w:sz w:val="20"/>
        </w:rPr>
      </w:pPr>
      <w:r w:rsidRPr="007214C6">
        <w:rPr>
          <w:sz w:val="20"/>
        </w:rPr>
        <w:t>Förslaget påverkar inte gällande svenska regler.</w:t>
      </w:r>
    </w:p>
    <w:p w:rsidR="00930553" w:rsidRPr="007214C6" w:rsidRDefault="00930553"/>
    <w:p w:rsidR="00930553" w:rsidRPr="007214C6" w:rsidRDefault="00930553">
      <w:pPr>
        <w:pStyle w:val="Rubrik2"/>
      </w:pPr>
      <w:r w:rsidRPr="007214C6">
        <w:t>Budgetära konsekvenser / Konsekvensanalys</w:t>
      </w:r>
    </w:p>
    <w:p w:rsidR="00930553" w:rsidRPr="007214C6" w:rsidRDefault="00930553">
      <w:pPr>
        <w:spacing w:line="240" w:lineRule="auto"/>
        <w:ind w:right="-284"/>
        <w:rPr>
          <w:sz w:val="20"/>
        </w:rPr>
      </w:pPr>
    </w:p>
    <w:p w:rsidR="00930553" w:rsidRPr="007214C6" w:rsidRDefault="00930553">
      <w:pPr>
        <w:rPr>
          <w:szCs w:val="19"/>
        </w:rPr>
      </w:pPr>
      <w:r w:rsidRPr="007214C6">
        <w:t xml:space="preserve">Viseringsförenklingsavtal kan innebära inkomstbortfall på grund av sänkta </w:t>
      </w:r>
      <w:r w:rsidRPr="007214C6">
        <w:rPr>
          <w:szCs w:val="19"/>
        </w:rPr>
        <w:t>eller helt borttagna viseringsavgifter.</w:t>
      </w:r>
    </w:p>
    <w:p w:rsidR="00930553" w:rsidRPr="007214C6" w:rsidRDefault="00930553">
      <w:pPr>
        <w:rPr>
          <w:szCs w:val="19"/>
        </w:rPr>
      </w:pPr>
      <w:r w:rsidRPr="007214C6">
        <w:rPr>
          <w:szCs w:val="19"/>
        </w:rPr>
        <w:t xml:space="preserve">Sverige har ingen viseringshantering i Azerbajdzjan. Sverige representeras i Baku av Norge. Detta innebär att inkomstbortfallet inte får några större budgetära konsekvenser för Sverige. </w:t>
      </w:r>
      <w:r w:rsidRPr="007214C6">
        <w:rPr>
          <w:color w:val="000000"/>
          <w:szCs w:val="19"/>
        </w:rPr>
        <w:t>Eventuella framtida ekonomiska konsekvenser ska finansieras inom ramen för Utrikesdepartementets budget.</w:t>
      </w:r>
    </w:p>
    <w:p w:rsidR="00930553" w:rsidRPr="007214C6" w:rsidRDefault="00930553">
      <w:pPr>
        <w:pStyle w:val="Rubrik1"/>
      </w:pPr>
      <w:r w:rsidRPr="007214C6">
        <w:t>Ståndpunkter</w:t>
      </w:r>
    </w:p>
    <w:p w:rsidR="00930553" w:rsidRPr="007214C6" w:rsidRDefault="00930553">
      <w:pPr>
        <w:pStyle w:val="Rubrik2"/>
      </w:pPr>
      <w:r w:rsidRPr="007214C6">
        <w:t>Preliminär svensk ståndpunkt</w:t>
      </w:r>
    </w:p>
    <w:p w:rsidR="00930553" w:rsidRPr="007214C6" w:rsidRDefault="00930553">
      <w:pPr>
        <w:rPr>
          <w:rFonts w:cs="Helv"/>
          <w:color w:val="000000"/>
        </w:rPr>
      </w:pPr>
      <w:r w:rsidRPr="007214C6">
        <w:t xml:space="preserve">Regeringen är positiv till att EU ingår ett </w:t>
      </w:r>
      <w:r w:rsidRPr="007214C6">
        <w:rPr>
          <w:sz w:val="20"/>
        </w:rPr>
        <w:t>viseringsförenklingsavtal</w:t>
      </w:r>
      <w:r w:rsidRPr="007214C6">
        <w:t xml:space="preserve"> med Azerbajdzjan. Ett sådant avtal ligger i linje med svenska strävanden att underlätta resande för den enskilde individen och att stärka de mellanfolkliga kontakterna mellan Azerbajdzjan och EU. </w:t>
      </w:r>
    </w:p>
    <w:p w:rsidR="00930553" w:rsidRPr="007214C6" w:rsidRDefault="00930553">
      <w:pPr>
        <w:pStyle w:val="Rubrik2"/>
      </w:pPr>
      <w:r w:rsidRPr="007214C6">
        <w:t>Medlemsstaternas ståndpunkter</w:t>
      </w:r>
    </w:p>
    <w:p w:rsidR="00930553" w:rsidRPr="007214C6" w:rsidRDefault="00930553">
      <w:r w:rsidRPr="007214C6">
        <w:t>Rådet står bakom förslaget.</w:t>
      </w:r>
    </w:p>
    <w:p w:rsidR="00930553" w:rsidRPr="007214C6" w:rsidRDefault="00930553">
      <w:pPr>
        <w:pStyle w:val="Rubrik2"/>
      </w:pPr>
      <w:r w:rsidRPr="007214C6">
        <w:t>Institutionernas ståndpunkter</w:t>
      </w:r>
    </w:p>
    <w:p w:rsidR="00930553" w:rsidRPr="007214C6" w:rsidRDefault="00930553">
      <w:r w:rsidRPr="007214C6">
        <w:t xml:space="preserve">Europaparlamentets syn är ännu inte känd. </w:t>
      </w:r>
    </w:p>
    <w:p w:rsidR="00930553" w:rsidRPr="007214C6" w:rsidRDefault="00930553">
      <w:pPr>
        <w:pStyle w:val="Rubrik2"/>
      </w:pPr>
      <w:r w:rsidRPr="007214C6">
        <w:t>Remissinstansernas ståndpunkter</w:t>
      </w:r>
    </w:p>
    <w:p w:rsidR="00930553" w:rsidRPr="007214C6" w:rsidRDefault="00930553">
      <w:r w:rsidRPr="007214C6">
        <w:t>Rekommendationen har inte remitterats. Regelbundet informationsutbyte med berörda svenska myndigheter sker.</w:t>
      </w:r>
    </w:p>
    <w:p w:rsidR="00930553" w:rsidRPr="007214C6" w:rsidRDefault="00930553"/>
    <w:p w:rsidR="00930553" w:rsidRPr="007214C6" w:rsidRDefault="00930553">
      <w:pPr>
        <w:pStyle w:val="Rubrik1"/>
      </w:pPr>
      <w:r w:rsidRPr="007214C6">
        <w:t>Förslagets förutsättningar</w:t>
      </w:r>
    </w:p>
    <w:p w:rsidR="00930553" w:rsidRPr="007214C6" w:rsidRDefault="00930553">
      <w:pPr>
        <w:pStyle w:val="Rubrik2"/>
      </w:pPr>
      <w:r w:rsidRPr="007214C6">
        <w:t>Rättslig grund och beslutsförfarande</w:t>
      </w:r>
    </w:p>
    <w:p w:rsidR="00930553" w:rsidRPr="007214C6" w:rsidRDefault="00930553">
      <w:r w:rsidRPr="007214C6">
        <w:t>Den rättsliga grunden utgörs av artikel 77.2 a i EUF-fördraget. Rådet fattar beslut med kvalificerad majoritet om undertecknande och ingående av avtalet. Europaparlamentet är medbeslutande i fråga om ingående av avtalet.</w:t>
      </w:r>
    </w:p>
    <w:p w:rsidR="00930553" w:rsidRPr="007214C6" w:rsidRDefault="00930553"/>
    <w:p w:rsidR="00930553" w:rsidRPr="007214C6" w:rsidRDefault="00930553">
      <w:pPr>
        <w:pStyle w:val="Rubrik2"/>
      </w:pPr>
      <w:r w:rsidRPr="007214C6">
        <w:t>Subsidiaritets- och proportionalitetsprincipen</w:t>
      </w:r>
    </w:p>
    <w:p w:rsidR="00930553" w:rsidRPr="007214C6" w:rsidRDefault="00930553">
      <w:pPr>
        <w:rPr>
          <w:szCs w:val="19"/>
        </w:rPr>
      </w:pPr>
      <w:r w:rsidRPr="007214C6">
        <w:rPr>
          <w:szCs w:val="19"/>
        </w:rPr>
        <w:t>Regeringen bedömer att rekommendationen är förenlig med subsidiaritetsprincipen. EU har exklusiv kompetens i frågor som rör Schengensamarbetet, såsom utfärdande av schengenviseringar och ingående av bilaterala avtal på viseringsområdet (se artikel 77.2 a i EUF-fördraget).</w:t>
      </w:r>
    </w:p>
    <w:p w:rsidR="00930553" w:rsidRPr="007214C6" w:rsidRDefault="00930553"/>
    <w:p w:rsidR="00930553" w:rsidRPr="007214C6" w:rsidRDefault="00930553">
      <w:pPr>
        <w:pStyle w:val="Rubrik1"/>
      </w:pPr>
      <w:r w:rsidRPr="007214C6">
        <w:t>Övrigt</w:t>
      </w:r>
    </w:p>
    <w:p w:rsidR="00930553" w:rsidRPr="007214C6" w:rsidRDefault="00930553">
      <w:pPr>
        <w:pStyle w:val="Rubrik2"/>
      </w:pPr>
      <w:r w:rsidRPr="007214C6">
        <w:t>Fortsatt behandling av ärendet</w:t>
      </w:r>
    </w:p>
    <w:p w:rsidR="00930553" w:rsidRPr="007214C6" w:rsidRDefault="00930553">
      <w:pPr>
        <w:rPr>
          <w:i/>
        </w:rPr>
      </w:pPr>
      <w:r w:rsidRPr="007214C6">
        <w:t xml:space="preserve">När förhandlingsmandatet är färdigförhandlat och antaget kommer kommissionen att inleda förhandlingar om ett viseringsförenklingsavtal med Azerbajdzjan. Parallellt kommer man att förhandla ett återtagandeavtal. </w:t>
      </w:r>
      <w:r w:rsidRPr="007214C6">
        <w:rPr>
          <w:color w:val="000000"/>
        </w:rPr>
        <w:t xml:space="preserve">Efter avslutade förhandlingar ska rådet fatta beslut om undertecknande av avtalet. </w:t>
      </w:r>
      <w:r w:rsidRPr="007214C6">
        <w:t>Europaparlamentet är sedan medbeslutande i fråga om ingående av avtalet.</w:t>
      </w:r>
    </w:p>
    <w:p w:rsidR="00930553" w:rsidRPr="007214C6" w:rsidRDefault="00930553"/>
    <w:p w:rsidR="00930553" w:rsidRPr="007214C6" w:rsidRDefault="00930553">
      <w:pPr>
        <w:pStyle w:val="Rubrik2"/>
      </w:pPr>
      <w:r w:rsidRPr="007214C6">
        <w:t>Fackuttryck/termer</w:t>
      </w:r>
    </w:p>
    <w:p w:rsidR="00930553" w:rsidRPr="007214C6" w:rsidRDefault="00930553"/>
    <w:sectPr w:rsidR="00930553" w:rsidRPr="007214C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553" w:rsidRPr="007214C6" w:rsidRDefault="00930553">
      <w:r w:rsidRPr="007214C6">
        <w:separator/>
      </w:r>
    </w:p>
  </w:endnote>
  <w:endnote w:type="continuationSeparator" w:id="0">
    <w:p w:rsidR="00930553" w:rsidRPr="007214C6" w:rsidRDefault="00930553">
      <w:r w:rsidRPr="00721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53" w:rsidRPr="007214C6" w:rsidRDefault="009305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53" w:rsidRPr="007214C6" w:rsidRDefault="00930553">
    <w:pPr>
      <w:pStyle w:val="SidfotH"/>
      <w:framePr w:wrap="around"/>
    </w:pPr>
    <w:r w:rsidRPr="007214C6">
      <w:fldChar w:fldCharType="begin" w:fldLock="1"/>
    </w:r>
    <w:r w:rsidRPr="007214C6">
      <w:instrText xml:space="preserve"> PAGE </w:instrText>
    </w:r>
    <w:r w:rsidRPr="007214C6">
      <w:fldChar w:fldCharType="separate"/>
    </w:r>
    <w:r w:rsidRPr="007214C6">
      <w:t>4</w:t>
    </w:r>
    <w:r w:rsidRPr="007214C6">
      <w:fldChar w:fldCharType="end"/>
    </w:r>
  </w:p>
  <w:p w:rsidR="00930553" w:rsidRPr="007214C6" w:rsidRDefault="0093055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53" w:rsidRPr="007214C6" w:rsidRDefault="00930553">
    <w:pPr>
      <w:pStyle w:val="SidfotH"/>
      <w:framePr w:wrap="around"/>
    </w:pPr>
    <w:r w:rsidRPr="007214C6">
      <w:fldChar w:fldCharType="begin" w:fldLock="1"/>
    </w:r>
    <w:r w:rsidRPr="007214C6">
      <w:instrText xml:space="preserve"> PAGE </w:instrText>
    </w:r>
    <w:r w:rsidRPr="007214C6">
      <w:fldChar w:fldCharType="separate"/>
    </w:r>
    <w:r w:rsidRPr="007214C6">
      <w:t>1</w:t>
    </w:r>
    <w:r w:rsidRPr="007214C6">
      <w:fldChar w:fldCharType="end"/>
    </w:r>
  </w:p>
  <w:p w:rsidR="00930553" w:rsidRPr="007214C6" w:rsidRDefault="009305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553" w:rsidRPr="007214C6" w:rsidRDefault="00930553">
      <w:r w:rsidRPr="007214C6">
        <w:separator/>
      </w:r>
    </w:p>
  </w:footnote>
  <w:footnote w:type="continuationSeparator" w:id="0">
    <w:p w:rsidR="00930553" w:rsidRPr="007214C6" w:rsidRDefault="00930553">
      <w:r w:rsidRPr="007214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53" w:rsidRPr="007214C6" w:rsidRDefault="009305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53" w:rsidRPr="007214C6" w:rsidRDefault="00930553">
    <w:pPr>
      <w:pStyle w:val="Kantrubrik"/>
      <w:framePr w:h="1157" w:hRule="exact" w:wrap="around" w:y="738"/>
    </w:pPr>
    <w:r w:rsidRPr="007214C6">
      <w:t>2011/12:FPM51</w:t>
    </w:r>
  </w:p>
  <w:p w:rsidR="00930553" w:rsidRPr="007214C6" w:rsidRDefault="0093055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53" w:rsidRPr="007214C6" w:rsidRDefault="007214C6">
    <w:pPr>
      <w:pStyle w:val="Sidhuvud"/>
    </w:pPr>
    <w:r w:rsidRPr="007214C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6675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0553" w:rsidRDefault="0093055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9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30553" w:rsidRDefault="00930553">
                    <w:pPr>
                      <w:pStyle w:val="Logo"/>
                    </w:pPr>
                    <w:r>
                      <w:object w:dxaOrig="840" w:dyaOrig="1545">
                        <v:shape id="_x0000_i1025" type="#_x0000_t75" style="width:42pt;height:77.15pt" filled="t">
                          <v:imagedata r:id="rId1" o:title=""/>
                        </v:shape>
                        <o:OLEObject Type="Embed" ProgID="Word.Picture.8" ShapeID="_x0000_i1025" DrawAspect="Content" ObjectID="_182751699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33106235">
    <w:abstractNumId w:val="4"/>
  </w:num>
  <w:num w:numId="2" w16cid:durableId="524634190">
    <w:abstractNumId w:val="1"/>
  </w:num>
  <w:num w:numId="3" w16cid:durableId="431822783">
    <w:abstractNumId w:val="2"/>
  </w:num>
  <w:num w:numId="4" w16cid:durableId="500924203">
    <w:abstractNumId w:val="3"/>
  </w:num>
  <w:num w:numId="5" w16cid:durableId="1950310537">
    <w:abstractNumId w:val="5"/>
  </w:num>
  <w:num w:numId="6" w16cid:durableId="98273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13"/>
    <w:docVar w:name="Ar" w:val="2011/12"/>
    <w:docVar w:name="Dep" w:val="Justitiedepartementet"/>
    <w:docVar w:name="DepWeb" w:val="Justitiedepartementet"/>
    <w:docVar w:name="GDB1" w:val="SEK(2011) 1050"/>
    <w:docVar w:name="GDB10" w:val=" "/>
    <w:docVar w:name="GDB11" w:val=" "/>
    <w:docVar w:name="GDB12" w:val=" "/>
    <w:docVar w:name="GDB13" w:val=" "/>
    <w:docVar w:name="GDB2" w:val="Faktapromemoria 2011/12:FPM13"/>
    <w:docVar w:name="GDB3" w:val=" "/>
    <w:docVar w:name="GDB4" w:val=" "/>
    <w:docVar w:name="GDB5" w:val=" "/>
    <w:docVar w:name="GDB6" w:val=" "/>
    <w:docVar w:name="GDB7" w:val=" "/>
    <w:docVar w:name="GDB8" w:val=" "/>
    <w:docVar w:name="GDB9" w:val=" "/>
    <w:docVar w:name="GDT1" w:val="Rekommendation från kommissionen till rådet om att bemyndiga kommissionen att inleda förhandlingar om ingående av ett avtal mellan Europeiska unionen och Azerbajdzjan om förenklat utfärdande av viseringar för kortare vistelse"/>
    <w:docVar w:name="GDT10" w:val=" "/>
    <w:docVar w:name="GDT11" w:val=" "/>
    <w:docVar w:name="GDT12" w:val=" "/>
    <w:docVar w:name="GDT13" w:val=" "/>
    <w:docVar w:name="GDT2" w:val="Faktapromemoria om återtagandeavtal mellan EU och Azerbajdzjan"/>
    <w:docVar w:name="GDT3" w:val=" "/>
    <w:docVar w:name="GDT4" w:val=" "/>
    <w:docVar w:name="GDT5" w:val=" "/>
    <w:docVar w:name="GDT6" w:val=" "/>
    <w:docVar w:name="GDT7" w:val=" "/>
    <w:docVar w:name="GDT8" w:val=" "/>
    <w:docVar w:name="GDT9" w:val=" "/>
    <w:docVar w:name="GDTWeb" w:val="SEK(2011) 1050, Faktapromemoria 2011/12:FPM13"/>
    <w:docVar w:name="Nr" w:val="51"/>
    <w:docVar w:name="RD_APPVERSION" w:val="3.00"/>
    <w:docVar w:name="Rub" w:val="Viseringsförenklingsavtal mellan EU och Azerbajdzjan"/>
    <w:docVar w:name="UppDat" w:val="2011-12-13"/>
    <w:docVar w:name="Utsk" w:val="Socialförsäkringsutskottet"/>
  </w:docVars>
  <w:rsids>
    <w:rsidRoot w:val="00BB5667"/>
    <w:rsid w:val="007214C6"/>
    <w:rsid w:val="00930553"/>
    <w:rsid w:val="00BB56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E96E07-B7C2-4F6F-94C0-56B43A75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567</Words>
  <Characters>4079</Characters>
  <Application>Microsoft Office Word</Application>
  <DocSecurity>4</DocSecurity>
  <Lines>101</Lines>
  <Paragraphs>51</Paragraphs>
  <ScaleCrop>false</ScaleCrop>
  <HeadingPairs>
    <vt:vector size="2" baseType="variant">
      <vt:variant>
        <vt:lpstr>Rubrik</vt:lpstr>
      </vt:variant>
      <vt:variant>
        <vt:i4>1</vt:i4>
      </vt:variant>
    </vt:vector>
  </HeadingPairs>
  <TitlesOfParts>
    <vt:vector size="1" baseType="lpstr">
      <vt:lpstr>FPM_201112__51</vt:lpstr>
    </vt:vector>
  </TitlesOfParts>
  <Company>RD-DTSL</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FPM_201112__51</dc:title>
  <dc:subject>FPM_201112__51</dc:subject>
  <dc:creator>Riksdagen</dc:creator>
  <cp:keywords>Riksdagen</cp:keywords>
  <dc:description>KP2004-version.  Ändringarna påverkar enbart användningen inom Riksdagen. 050429 nya departement DTSL.</dc:description>
  <cp:lastModifiedBy>Lars Brink</cp:lastModifiedBy>
  <cp:revision>2</cp:revision>
  <cp:lastPrinted>2011-12-13T10:05:00Z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51</vt:lpwstr>
  </property>
  <property fmtid="{D5CDD505-2E9C-101B-9397-08002B2CF9AE}" pid="4" name="GDB1">
    <vt:lpwstr>SEK(2011) 1050</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Viseringsförenklingsavtal mellan EU och Azerbajdzjan</vt:lpwstr>
  </property>
  <property fmtid="{D5CDD505-2E9C-101B-9397-08002B2CF9AE}" pid="8" name="UppDat">
    <vt:lpwstr>2011-12-13</vt:lpwstr>
  </property>
  <property fmtid="{D5CDD505-2E9C-101B-9397-08002B2CF9AE}" pid="9" name="AnkDat">
    <vt:lpwstr>2011-12-13</vt:lpwstr>
  </property>
  <property fmtid="{D5CDD505-2E9C-101B-9397-08002B2CF9AE}" pid="10" name="Utsk">
    <vt:lpwstr>Socialförsäkringsutskottet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Faktapromemoria 2011/12:FPM13</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2;0;0;443</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Miljödepartementet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