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1C8" w:rsidRPr="001023A8" w:rsidRDefault="006E51C8">
      <w:pPr>
        <w:pStyle w:val="Hemstlrubrik"/>
        <w:shd w:val="clear" w:color="000000" w:fill="auto"/>
      </w:pPr>
      <w:r w:rsidRPr="001023A8">
        <w:t>Förslag till riksdagsbeslut</w:t>
      </w:r>
    </w:p>
    <w:p w:rsidR="00EB5A4A" w:rsidRPr="001023A8" w:rsidRDefault="00EB5A4A">
      <w:pPr>
        <w:pStyle w:val="Hemstlatt"/>
        <w:numPr>
          <w:ilvl w:val="0"/>
          <w:numId w:val="1"/>
        </w:numPr>
        <w:shd w:val="clear" w:color="000000" w:fill="auto"/>
      </w:pPr>
      <w:r w:rsidRPr="001023A8">
        <w:t>Riksdagen anvisar för budgetåret 2007 anslagen under utgiftsområde 15 Studiestöd med de ändringar i förhållande till r</w:t>
      </w:r>
      <w:r w:rsidRPr="001023A8">
        <w:t>e</w:t>
      </w:r>
      <w:r w:rsidRPr="001023A8">
        <w:t>geringens förslag som framgår av i motionen redovisad uppstäl</w:t>
      </w:r>
      <w:r w:rsidRPr="001023A8">
        <w:t>l</w:t>
      </w:r>
      <w:r w:rsidRPr="001023A8">
        <w:t>ning.</w:t>
      </w:r>
    </w:p>
    <w:tbl>
      <w:tblPr>
        <w:tblW w:w="5613" w:type="dxa"/>
        <w:tblInd w:w="468" w:type="dxa"/>
        <w:tblLook w:val="01E0" w:firstRow="1" w:lastRow="1" w:firstColumn="1" w:lastColumn="1" w:noHBand="0" w:noVBand="0"/>
      </w:tblPr>
      <w:tblGrid>
        <w:gridCol w:w="2601"/>
        <w:gridCol w:w="1004"/>
        <w:gridCol w:w="1004"/>
        <w:gridCol w:w="1004"/>
      </w:tblGrid>
      <w:tr w:rsidR="006A4837" w:rsidRPr="001023A8">
        <w:tc>
          <w:tcPr>
            <w:tcW w:w="2495" w:type="dxa"/>
            <w:tcBorders>
              <w:top w:val="single" w:sz="4" w:space="0" w:color="auto"/>
              <w:bottom w:val="single" w:sz="4" w:space="0" w:color="auto"/>
            </w:tcBorders>
          </w:tcPr>
          <w:p w:rsidR="00EB5A4A" w:rsidRPr="001023A8" w:rsidRDefault="00EB5A4A">
            <w:pPr>
              <w:shd w:val="clear" w:color="000000" w:fill="auto"/>
              <w:spacing w:line="200" w:lineRule="exact"/>
              <w:rPr>
                <w:b/>
                <w:sz w:val="16"/>
                <w:szCs w:val="16"/>
              </w:rPr>
            </w:pPr>
            <w:r w:rsidRPr="001023A8">
              <w:rPr>
                <w:b/>
                <w:sz w:val="16"/>
                <w:szCs w:val="16"/>
              </w:rPr>
              <w:t>Anslag</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2007</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2008</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2009</w:t>
            </w:r>
          </w:p>
        </w:tc>
      </w:tr>
      <w:tr w:rsidR="006A4837" w:rsidRPr="001023A8">
        <w:tc>
          <w:tcPr>
            <w:tcW w:w="2495" w:type="dxa"/>
            <w:tcBorders>
              <w:top w:val="single" w:sz="4" w:space="0" w:color="auto"/>
              <w:bottom w:val="single" w:sz="4" w:space="0" w:color="auto"/>
            </w:tcBorders>
          </w:tcPr>
          <w:p w:rsidR="00EB5A4A" w:rsidRPr="001023A8" w:rsidRDefault="00EB5A4A">
            <w:pPr>
              <w:shd w:val="clear" w:color="000000" w:fill="auto"/>
              <w:spacing w:before="60" w:line="200" w:lineRule="exact"/>
              <w:rPr>
                <w:sz w:val="16"/>
                <w:szCs w:val="16"/>
              </w:rPr>
            </w:pPr>
            <w:r w:rsidRPr="001023A8">
              <w:rPr>
                <w:sz w:val="16"/>
                <w:szCs w:val="16"/>
              </w:rPr>
              <w:t>25:2 Studiemedel m.m.</w:t>
            </w:r>
          </w:p>
        </w:tc>
        <w:tc>
          <w:tcPr>
            <w:tcW w:w="964" w:type="dxa"/>
            <w:tcBorders>
              <w:top w:val="single" w:sz="4" w:space="0" w:color="auto"/>
              <w:bottom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+2 265 500</w:t>
            </w:r>
          </w:p>
        </w:tc>
        <w:tc>
          <w:tcPr>
            <w:tcW w:w="964" w:type="dxa"/>
            <w:tcBorders>
              <w:top w:val="single" w:sz="4" w:space="0" w:color="auto"/>
              <w:bottom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+4 343 000</w:t>
            </w:r>
          </w:p>
        </w:tc>
        <w:tc>
          <w:tcPr>
            <w:tcW w:w="964" w:type="dxa"/>
            <w:tcBorders>
              <w:top w:val="single" w:sz="4" w:space="0" w:color="auto"/>
              <w:bottom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+4 155 000</w:t>
            </w:r>
          </w:p>
        </w:tc>
      </w:tr>
    </w:tbl>
    <w:p w:rsidR="00EB5A4A" w:rsidRPr="001023A8" w:rsidRDefault="00EB5A4A">
      <w:pPr>
        <w:pStyle w:val="Hemstlatt"/>
        <w:numPr>
          <w:ilvl w:val="0"/>
          <w:numId w:val="1"/>
        </w:numPr>
        <w:shd w:val="clear" w:color="000000" w:fill="auto"/>
      </w:pPr>
      <w:r w:rsidRPr="001023A8">
        <w:t>Riksdagen anvisar för budgetåret 2007 anslagen under utgift</w:t>
      </w:r>
      <w:r w:rsidRPr="001023A8">
        <w:t>s</w:t>
      </w:r>
      <w:r w:rsidRPr="001023A8">
        <w:t>område 16 Utbildning och universitetsforskning med de ändringar i fö</w:t>
      </w:r>
      <w:r w:rsidRPr="001023A8">
        <w:t>r</w:t>
      </w:r>
      <w:r w:rsidRPr="001023A8">
        <w:t>hållande till regeringens förslag som framgår av i motionen redovisad uppställning.</w:t>
      </w:r>
    </w:p>
    <w:tbl>
      <w:tblPr>
        <w:tblW w:w="5613" w:type="dxa"/>
        <w:tblInd w:w="468" w:type="dxa"/>
        <w:tblLook w:val="01E0" w:firstRow="1" w:lastRow="1" w:firstColumn="1" w:lastColumn="1" w:noHBand="0" w:noVBand="0"/>
      </w:tblPr>
      <w:tblGrid>
        <w:gridCol w:w="2601"/>
        <w:gridCol w:w="1004"/>
        <w:gridCol w:w="1004"/>
        <w:gridCol w:w="1004"/>
      </w:tblGrid>
      <w:tr w:rsidR="006A4837" w:rsidRPr="001023A8">
        <w:tc>
          <w:tcPr>
            <w:tcW w:w="2495" w:type="dxa"/>
            <w:tcBorders>
              <w:top w:val="single" w:sz="4" w:space="0" w:color="auto"/>
              <w:bottom w:val="single" w:sz="4" w:space="0" w:color="auto"/>
            </w:tcBorders>
          </w:tcPr>
          <w:p w:rsidR="00EB5A4A" w:rsidRPr="001023A8" w:rsidRDefault="00EB5A4A">
            <w:pPr>
              <w:shd w:val="clear" w:color="000000" w:fill="auto"/>
              <w:spacing w:line="200" w:lineRule="exact"/>
              <w:rPr>
                <w:b/>
                <w:sz w:val="16"/>
                <w:szCs w:val="16"/>
              </w:rPr>
            </w:pPr>
            <w:r w:rsidRPr="001023A8">
              <w:rPr>
                <w:b/>
                <w:sz w:val="16"/>
                <w:szCs w:val="16"/>
              </w:rPr>
              <w:t>Anslag</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2007</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2008</w:t>
            </w:r>
          </w:p>
        </w:tc>
        <w:tc>
          <w:tcPr>
            <w:tcW w:w="964" w:type="dxa"/>
            <w:tcBorders>
              <w:top w:val="single" w:sz="4" w:space="0" w:color="auto"/>
              <w:bottom w:val="single" w:sz="4" w:space="0" w:color="auto"/>
            </w:tcBorders>
          </w:tcPr>
          <w:p w:rsidR="00EB5A4A" w:rsidRPr="001023A8" w:rsidRDefault="00EB5A4A">
            <w:pPr>
              <w:shd w:val="clear" w:color="000000" w:fill="auto"/>
              <w:spacing w:line="200" w:lineRule="exact"/>
              <w:jc w:val="right"/>
              <w:rPr>
                <w:b/>
                <w:sz w:val="16"/>
                <w:szCs w:val="16"/>
              </w:rPr>
            </w:pPr>
            <w:r w:rsidRPr="001023A8">
              <w:rPr>
                <w:b/>
                <w:sz w:val="16"/>
                <w:szCs w:val="16"/>
              </w:rPr>
              <w:t>2009</w:t>
            </w:r>
          </w:p>
        </w:tc>
      </w:tr>
      <w:tr w:rsidR="006A4837" w:rsidRPr="001023A8">
        <w:tc>
          <w:tcPr>
            <w:tcW w:w="2495" w:type="dxa"/>
            <w:tcBorders>
              <w:top w:val="single" w:sz="4" w:space="0" w:color="auto"/>
            </w:tcBorders>
          </w:tcPr>
          <w:p w:rsidR="00EB5A4A" w:rsidRPr="001023A8" w:rsidRDefault="00EB5A4A">
            <w:pPr>
              <w:shd w:val="clear" w:color="000000" w:fill="auto"/>
              <w:spacing w:before="60" w:line="200" w:lineRule="exact"/>
              <w:rPr>
                <w:sz w:val="16"/>
                <w:szCs w:val="16"/>
              </w:rPr>
            </w:pPr>
            <w:r w:rsidRPr="001023A8">
              <w:rPr>
                <w:sz w:val="16"/>
                <w:szCs w:val="16"/>
              </w:rPr>
              <w:t>25:1 Statens skolverk</w:t>
            </w:r>
          </w:p>
        </w:tc>
        <w:tc>
          <w:tcPr>
            <w:tcW w:w="964" w:type="dxa"/>
            <w:tcBorders>
              <w:top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–50 000</w:t>
            </w:r>
          </w:p>
        </w:tc>
        <w:tc>
          <w:tcPr>
            <w:tcW w:w="964" w:type="dxa"/>
            <w:tcBorders>
              <w:top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–51 000</w:t>
            </w:r>
          </w:p>
        </w:tc>
        <w:tc>
          <w:tcPr>
            <w:tcW w:w="964" w:type="dxa"/>
            <w:tcBorders>
              <w:top w:val="single" w:sz="4" w:space="0" w:color="auto"/>
            </w:tcBorders>
          </w:tcPr>
          <w:p w:rsidR="00EB5A4A" w:rsidRPr="001023A8" w:rsidRDefault="00EB5A4A">
            <w:pPr>
              <w:shd w:val="clear" w:color="000000" w:fill="auto"/>
              <w:spacing w:before="60" w:line="200" w:lineRule="exact"/>
              <w:jc w:val="right"/>
              <w:rPr>
                <w:sz w:val="16"/>
                <w:szCs w:val="16"/>
              </w:rPr>
            </w:pPr>
            <w:r w:rsidRPr="001023A8">
              <w:rPr>
                <w:sz w:val="16"/>
                <w:szCs w:val="16"/>
              </w:rPr>
              <w:t>–52 000</w:t>
            </w:r>
          </w:p>
        </w:tc>
      </w:tr>
      <w:tr w:rsidR="006A4837" w:rsidRPr="001023A8">
        <w:tc>
          <w:tcPr>
            <w:tcW w:w="2495" w:type="dxa"/>
            <w:vAlign w:val="bottom"/>
          </w:tcPr>
          <w:p w:rsidR="00EB5A4A" w:rsidRPr="001023A8" w:rsidRDefault="00EB5A4A">
            <w:pPr>
              <w:shd w:val="clear" w:color="000000" w:fill="auto"/>
              <w:spacing w:before="60" w:line="200" w:lineRule="exact"/>
              <w:rPr>
                <w:sz w:val="16"/>
                <w:szCs w:val="16"/>
              </w:rPr>
            </w:pPr>
            <w:r w:rsidRPr="001023A8">
              <w:rPr>
                <w:sz w:val="16"/>
                <w:szCs w:val="16"/>
              </w:rPr>
              <w:t>25:3 Utveckling av skolväsende, för</w:t>
            </w:r>
            <w:r w:rsidRPr="001023A8">
              <w:rPr>
                <w:sz w:val="16"/>
                <w:szCs w:val="16"/>
              </w:rPr>
              <w:softHyphen/>
              <w:t>skole</w:t>
            </w:r>
            <w:r w:rsidRPr="001023A8">
              <w:rPr>
                <w:sz w:val="16"/>
                <w:szCs w:val="16"/>
              </w:rPr>
              <w:softHyphen/>
              <w:t>verksamhet och skol</w:t>
            </w:r>
            <w:r w:rsidRPr="001023A8">
              <w:rPr>
                <w:sz w:val="16"/>
                <w:szCs w:val="16"/>
              </w:rPr>
              <w:softHyphen/>
              <w:t>barns</w:t>
            </w:r>
            <w:r w:rsidRPr="001023A8">
              <w:rPr>
                <w:sz w:val="16"/>
                <w:szCs w:val="16"/>
              </w:rPr>
              <w:softHyphen/>
              <w:t>om</w:t>
            </w:r>
            <w:r w:rsidRPr="001023A8">
              <w:rPr>
                <w:sz w:val="16"/>
                <w:szCs w:val="16"/>
              </w:rPr>
              <w:softHyphen/>
              <w:t>sorg</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–26 000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–26 000</w:t>
            </w:r>
          </w:p>
        </w:tc>
        <w:tc>
          <w:tcPr>
            <w:tcW w:w="964" w:type="dxa"/>
            <w:vAlign w:val="bottom"/>
          </w:tcPr>
          <w:p w:rsidR="00EB5A4A" w:rsidRPr="001023A8" w:rsidRDefault="00EB5A4A">
            <w:pPr>
              <w:shd w:val="clear" w:color="000000" w:fill="auto"/>
              <w:spacing w:before="60" w:line="200" w:lineRule="exact"/>
              <w:jc w:val="right"/>
              <w:rPr>
                <w:sz w:val="16"/>
                <w:szCs w:val="16"/>
              </w:rPr>
            </w:pPr>
          </w:p>
        </w:tc>
      </w:tr>
      <w:tr w:rsidR="006A4837" w:rsidRPr="001023A8">
        <w:tc>
          <w:tcPr>
            <w:tcW w:w="2495" w:type="dxa"/>
            <w:vAlign w:val="bottom"/>
          </w:tcPr>
          <w:p w:rsidR="00EB5A4A" w:rsidRPr="001023A8" w:rsidRDefault="00EB5A4A">
            <w:pPr>
              <w:shd w:val="clear" w:color="000000" w:fill="auto"/>
              <w:spacing w:before="60" w:line="200" w:lineRule="exact"/>
              <w:rPr>
                <w:sz w:val="16"/>
                <w:szCs w:val="16"/>
              </w:rPr>
            </w:pPr>
            <w:r w:rsidRPr="001023A8">
              <w:rPr>
                <w:sz w:val="16"/>
                <w:szCs w:val="16"/>
              </w:rPr>
              <w:t xml:space="preserve">25:12 </w:t>
            </w:r>
            <w:r w:rsidRPr="001023A8">
              <w:rPr>
                <w:spacing w:val="-2"/>
                <w:sz w:val="16"/>
                <w:szCs w:val="16"/>
              </w:rPr>
              <w:t xml:space="preserve">Bidrag till viss verksamhet </w:t>
            </w:r>
            <w:r w:rsidRPr="001023A8">
              <w:rPr>
                <w:sz w:val="16"/>
                <w:szCs w:val="16"/>
              </w:rPr>
              <w:t>inom vuxenutbildning</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+50 000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+100 000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+100 000</w:t>
            </w:r>
          </w:p>
        </w:tc>
      </w:tr>
      <w:tr w:rsidR="006A4837" w:rsidRPr="001023A8">
        <w:tc>
          <w:tcPr>
            <w:tcW w:w="2495" w:type="dxa"/>
            <w:vAlign w:val="bottom"/>
          </w:tcPr>
          <w:p w:rsidR="00EB5A4A" w:rsidRPr="001023A8" w:rsidRDefault="00EB5A4A">
            <w:pPr>
              <w:shd w:val="clear" w:color="000000" w:fill="auto"/>
              <w:spacing w:before="60" w:line="200" w:lineRule="exact"/>
              <w:rPr>
                <w:sz w:val="16"/>
                <w:szCs w:val="16"/>
              </w:rPr>
            </w:pPr>
            <w:r w:rsidRPr="001023A8">
              <w:rPr>
                <w:sz w:val="16"/>
                <w:szCs w:val="16"/>
              </w:rPr>
              <w:t>25:13 Myndigheten för kvalificerad yrkes</w:t>
            </w:r>
            <w:r w:rsidRPr="001023A8">
              <w:rPr>
                <w:sz w:val="16"/>
                <w:szCs w:val="16"/>
              </w:rPr>
              <w:softHyphen/>
              <w:t>utbildning</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+4 500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+4 500</w:t>
            </w:r>
          </w:p>
        </w:tc>
      </w:tr>
      <w:tr w:rsidR="006A4837" w:rsidRPr="001023A8">
        <w:tc>
          <w:tcPr>
            <w:tcW w:w="2495" w:type="dxa"/>
            <w:vAlign w:val="bottom"/>
          </w:tcPr>
          <w:p w:rsidR="00EB5A4A" w:rsidRPr="001023A8" w:rsidRDefault="00EB5A4A">
            <w:pPr>
              <w:shd w:val="clear" w:color="000000" w:fill="auto"/>
              <w:spacing w:before="60" w:line="200" w:lineRule="exact"/>
              <w:rPr>
                <w:sz w:val="16"/>
                <w:szCs w:val="16"/>
              </w:rPr>
            </w:pPr>
            <w:r w:rsidRPr="001023A8">
              <w:rPr>
                <w:sz w:val="16"/>
                <w:szCs w:val="16"/>
              </w:rPr>
              <w:t>25:14 Bidrag till kvalificerad yrke</w:t>
            </w:r>
            <w:r w:rsidRPr="001023A8">
              <w:rPr>
                <w:sz w:val="16"/>
                <w:szCs w:val="16"/>
              </w:rPr>
              <w:t>s</w:t>
            </w:r>
            <w:r w:rsidRPr="001023A8">
              <w:rPr>
                <w:sz w:val="16"/>
                <w:szCs w:val="16"/>
              </w:rPr>
              <w:t>utbildning</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+ 45 000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+ 150 000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+ 180 000</w:t>
            </w:r>
          </w:p>
        </w:tc>
      </w:tr>
      <w:tr w:rsidR="006A4837" w:rsidRPr="001023A8">
        <w:tc>
          <w:tcPr>
            <w:tcW w:w="2495" w:type="dxa"/>
            <w:vAlign w:val="bottom"/>
          </w:tcPr>
          <w:p w:rsidR="00EB5A4A" w:rsidRPr="001023A8" w:rsidRDefault="00EB5A4A">
            <w:pPr>
              <w:shd w:val="clear" w:color="000000" w:fill="auto"/>
              <w:spacing w:before="60" w:line="200" w:lineRule="exact"/>
              <w:rPr>
                <w:sz w:val="16"/>
                <w:szCs w:val="16"/>
              </w:rPr>
            </w:pPr>
            <w:r w:rsidRPr="001023A8">
              <w:rPr>
                <w:sz w:val="16"/>
                <w:szCs w:val="16"/>
              </w:rPr>
              <w:t>25:70 Särskilda utgifter inom un</w:t>
            </w:r>
            <w:r w:rsidRPr="001023A8">
              <w:rPr>
                <w:sz w:val="16"/>
                <w:szCs w:val="16"/>
              </w:rPr>
              <w:t>i</w:t>
            </w:r>
            <w:r w:rsidRPr="001023A8">
              <w:rPr>
                <w:sz w:val="16"/>
                <w:szCs w:val="16"/>
              </w:rPr>
              <w:t>versitet och högskolor m.m.</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–100 000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–100 000</w:t>
            </w:r>
          </w:p>
        </w:tc>
        <w:tc>
          <w:tcPr>
            <w:tcW w:w="964" w:type="dxa"/>
            <w:vAlign w:val="bottom"/>
          </w:tcPr>
          <w:p w:rsidR="00EB5A4A" w:rsidRPr="001023A8" w:rsidRDefault="00EB5A4A">
            <w:pPr>
              <w:shd w:val="clear" w:color="000000" w:fill="auto"/>
              <w:spacing w:before="60" w:line="200" w:lineRule="exact"/>
              <w:jc w:val="right"/>
              <w:rPr>
                <w:sz w:val="16"/>
                <w:szCs w:val="16"/>
              </w:rPr>
            </w:pPr>
            <w:r w:rsidRPr="001023A8">
              <w:rPr>
                <w:sz w:val="16"/>
                <w:szCs w:val="16"/>
              </w:rPr>
              <w:t>–100 000</w:t>
            </w:r>
          </w:p>
        </w:tc>
      </w:tr>
      <w:tr w:rsidR="006A4837" w:rsidRPr="001023A8">
        <w:tc>
          <w:tcPr>
            <w:tcW w:w="2495" w:type="dxa"/>
            <w:tcBorders>
              <w:bottom w:val="single" w:sz="4" w:space="0" w:color="auto"/>
            </w:tcBorders>
            <w:vAlign w:val="bottom"/>
          </w:tcPr>
          <w:p w:rsidR="00EB5A4A" w:rsidRPr="001023A8" w:rsidRDefault="00EB5A4A">
            <w:pPr>
              <w:shd w:val="clear" w:color="000000" w:fill="auto"/>
              <w:tabs>
                <w:tab w:val="left" w:pos="342"/>
              </w:tabs>
              <w:spacing w:before="60" w:line="200" w:lineRule="exact"/>
              <w:rPr>
                <w:sz w:val="16"/>
                <w:szCs w:val="16"/>
              </w:rPr>
            </w:pPr>
            <w:r w:rsidRPr="001023A8">
              <w:rPr>
                <w:sz w:val="16"/>
                <w:szCs w:val="16"/>
              </w:rPr>
              <w:t>25:73 Högskoleverket</w:t>
            </w:r>
          </w:p>
        </w:tc>
        <w:tc>
          <w:tcPr>
            <w:tcW w:w="964" w:type="dxa"/>
            <w:tcBorders>
              <w:bottom w:val="single" w:sz="4" w:space="0" w:color="auto"/>
            </w:tcBorders>
            <w:vAlign w:val="bottom"/>
          </w:tcPr>
          <w:p w:rsidR="00EB5A4A" w:rsidRPr="001023A8" w:rsidRDefault="00EB5A4A">
            <w:pPr>
              <w:shd w:val="clear" w:color="000000" w:fill="auto"/>
              <w:spacing w:before="60" w:line="200" w:lineRule="exact"/>
              <w:jc w:val="right"/>
              <w:rPr>
                <w:sz w:val="16"/>
                <w:szCs w:val="16"/>
              </w:rPr>
            </w:pPr>
            <w:r w:rsidRPr="001023A8">
              <w:rPr>
                <w:sz w:val="16"/>
                <w:szCs w:val="16"/>
              </w:rPr>
              <w:t>+ 20 000</w:t>
            </w:r>
          </w:p>
        </w:tc>
        <w:tc>
          <w:tcPr>
            <w:tcW w:w="964" w:type="dxa"/>
            <w:tcBorders>
              <w:bottom w:val="single" w:sz="4" w:space="0" w:color="auto"/>
            </w:tcBorders>
            <w:vAlign w:val="bottom"/>
          </w:tcPr>
          <w:p w:rsidR="00EB5A4A" w:rsidRPr="001023A8" w:rsidRDefault="00EB5A4A">
            <w:pPr>
              <w:shd w:val="clear" w:color="000000" w:fill="auto"/>
              <w:spacing w:before="60" w:line="200" w:lineRule="exact"/>
              <w:jc w:val="right"/>
              <w:rPr>
                <w:sz w:val="16"/>
                <w:szCs w:val="16"/>
              </w:rPr>
            </w:pPr>
            <w:r w:rsidRPr="001023A8">
              <w:rPr>
                <w:sz w:val="16"/>
                <w:szCs w:val="16"/>
              </w:rPr>
              <w:t>+20 000</w:t>
            </w:r>
          </w:p>
        </w:tc>
        <w:tc>
          <w:tcPr>
            <w:tcW w:w="964" w:type="dxa"/>
            <w:tcBorders>
              <w:bottom w:val="single" w:sz="4" w:space="0" w:color="auto"/>
            </w:tcBorders>
            <w:vAlign w:val="bottom"/>
          </w:tcPr>
          <w:p w:rsidR="00EB5A4A" w:rsidRPr="001023A8" w:rsidRDefault="00EB5A4A">
            <w:pPr>
              <w:shd w:val="clear" w:color="000000" w:fill="auto"/>
              <w:spacing w:before="60" w:line="200" w:lineRule="exact"/>
              <w:jc w:val="right"/>
              <w:rPr>
                <w:sz w:val="16"/>
                <w:szCs w:val="16"/>
              </w:rPr>
            </w:pPr>
            <w:r w:rsidRPr="001023A8">
              <w:rPr>
                <w:sz w:val="16"/>
                <w:szCs w:val="16"/>
              </w:rPr>
              <w:t>+20 000</w:t>
            </w:r>
          </w:p>
        </w:tc>
      </w:tr>
    </w:tbl>
    <w:p w:rsidR="00EB5A4A" w:rsidRPr="001023A8" w:rsidRDefault="00EB5A4A">
      <w:pPr>
        <w:pStyle w:val="Hemstlatt"/>
        <w:numPr>
          <w:ilvl w:val="0"/>
          <w:numId w:val="1"/>
        </w:numPr>
        <w:shd w:val="clear" w:color="000000" w:fill="auto"/>
      </w:pPr>
      <w:r w:rsidRPr="001023A8">
        <w:t>Riksdagen tillkännager för regeringen som sin mening vad som i mot</w:t>
      </w:r>
      <w:r w:rsidRPr="001023A8">
        <w:rPr>
          <w:spacing w:val="-2"/>
        </w:rPr>
        <w:t>ionen anförs om nationella prov i svenska och obligatoriska ko</w:t>
      </w:r>
      <w:r w:rsidRPr="001023A8">
        <w:rPr>
          <w:spacing w:val="-2"/>
        </w:rPr>
        <w:t>n</w:t>
      </w:r>
      <w:r w:rsidRPr="001023A8">
        <w:rPr>
          <w:spacing w:val="-2"/>
        </w:rPr>
        <w:t>trollstationer.</w:t>
      </w:r>
    </w:p>
    <w:p w:rsidR="00EB5A4A" w:rsidRPr="001023A8" w:rsidRDefault="00EB5A4A">
      <w:pPr>
        <w:pStyle w:val="Hemstlatt"/>
        <w:numPr>
          <w:ilvl w:val="0"/>
          <w:numId w:val="1"/>
        </w:numPr>
        <w:shd w:val="clear" w:color="000000" w:fill="auto"/>
      </w:pPr>
      <w:r w:rsidRPr="001023A8">
        <w:t>Riksdagen tillkännager för regeringen som sin mening vad som i motionen anförs om att betyg inte ska ges i tidigare årskurser än i dag, dvs. från årskurs 8.</w:t>
      </w:r>
    </w:p>
    <w:p w:rsidR="00EB5A4A" w:rsidRPr="001023A8" w:rsidRDefault="00EB5A4A">
      <w:pPr>
        <w:pStyle w:val="Hemstlatt"/>
        <w:numPr>
          <w:ilvl w:val="0"/>
          <w:numId w:val="1"/>
        </w:numPr>
        <w:shd w:val="clear" w:color="000000" w:fill="auto"/>
      </w:pPr>
      <w:r w:rsidRPr="001023A8">
        <w:lastRenderedPageBreak/>
        <w:t>Riksdagen tillkännager för regeringen som sin mening vad som i motionen anförs om skriftliga omdömen i ordning och uppföra</w:t>
      </w:r>
      <w:r w:rsidRPr="001023A8">
        <w:t>n</w:t>
      </w:r>
      <w:r w:rsidRPr="001023A8">
        <w:t>de.</w:t>
      </w:r>
    </w:p>
    <w:p w:rsidR="00EB5A4A" w:rsidRPr="001023A8" w:rsidRDefault="00EB5A4A">
      <w:pPr>
        <w:pStyle w:val="Hemstlatt"/>
        <w:numPr>
          <w:ilvl w:val="0"/>
          <w:numId w:val="1"/>
        </w:numPr>
        <w:shd w:val="clear" w:color="000000" w:fill="auto"/>
      </w:pPr>
      <w:r w:rsidRPr="001023A8">
        <w:t>Riksdagen tillkännager för regeringen som sin mening vad som i motionen anförs om att förslagen om lärlings</w:t>
      </w:r>
      <w:r w:rsidRPr="001023A8">
        <w:softHyphen/>
        <w:t>utbildning, förstärkt kvalitet på yrkesutbildningen, frisök och att kärnämnena ska präglas av utbildningens inriktning ska genomföras som planerat.</w:t>
      </w:r>
    </w:p>
    <w:p w:rsidR="00EB5A4A" w:rsidRPr="001023A8" w:rsidRDefault="00EB5A4A">
      <w:pPr>
        <w:pStyle w:val="Hemstlatt"/>
        <w:numPr>
          <w:ilvl w:val="0"/>
          <w:numId w:val="1"/>
        </w:numPr>
        <w:shd w:val="clear" w:color="000000" w:fill="auto"/>
      </w:pPr>
      <w:r w:rsidRPr="001023A8">
        <w:t>Riksdagen tillkännager för regeringen som sin mening vad som i motionen anförs om att den s.k. 25:4-regeln ska finnas kvar.</w:t>
      </w:r>
    </w:p>
    <w:p w:rsidR="006E51C8" w:rsidRPr="001023A8" w:rsidRDefault="006E51C8">
      <w:pPr>
        <w:pStyle w:val="Rubrik1"/>
        <w:shd w:val="clear" w:color="000000" w:fill="auto"/>
      </w:pPr>
      <w:r w:rsidRPr="001023A8">
        <w:t>Utgiftsområde 15</w:t>
      </w:r>
      <w:r w:rsidR="008B3CA3" w:rsidRPr="001023A8">
        <w:t xml:space="preserve"> Studiestöd</w:t>
      </w:r>
    </w:p>
    <w:p w:rsidR="008B3CA3" w:rsidRPr="001023A8" w:rsidRDefault="008B3CA3">
      <w:pPr>
        <w:pStyle w:val="Rubrik2"/>
        <w:shd w:val="clear" w:color="000000" w:fill="auto"/>
        <w:spacing w:before="120"/>
      </w:pPr>
      <w:r w:rsidRPr="001023A8">
        <w:t>Studiemedel</w:t>
      </w:r>
    </w:p>
    <w:p w:rsidR="008B3CA3" w:rsidRPr="001023A8" w:rsidRDefault="00D35FE8">
      <w:pPr>
        <w:shd w:val="clear" w:color="000000" w:fill="auto"/>
      </w:pPr>
      <w:r w:rsidRPr="001023A8">
        <w:t xml:space="preserve">Regeringen minskar anslaget 25:2 med </w:t>
      </w:r>
      <w:r w:rsidR="008B3CA3" w:rsidRPr="001023A8">
        <w:t>240 miljoner</w:t>
      </w:r>
      <w:r w:rsidRPr="001023A8">
        <w:t xml:space="preserve"> </w:t>
      </w:r>
      <w:r w:rsidR="00DB62CC" w:rsidRPr="001023A8">
        <w:t xml:space="preserve">kronor </w:t>
      </w:r>
      <w:r w:rsidRPr="001023A8">
        <w:t>år 2007 och 2008</w:t>
      </w:r>
      <w:r w:rsidR="008B3CA3" w:rsidRPr="001023A8">
        <w:t xml:space="preserve">, eftersom </w:t>
      </w:r>
      <w:r w:rsidR="00E55409" w:rsidRPr="001023A8">
        <w:t>man</w:t>
      </w:r>
      <w:r w:rsidRPr="001023A8">
        <w:t xml:space="preserve"> beräknar att kostnaderna för studiemedel kommer att m</w:t>
      </w:r>
      <w:r w:rsidR="00701B98" w:rsidRPr="001023A8">
        <w:t xml:space="preserve">inska i och med att man reducerar </w:t>
      </w:r>
      <w:r w:rsidRPr="001023A8">
        <w:t>den riktade satsningen till kommunerna för vuxenutbildning med 600 miljoner kronor år 2007. Miljöpartiet anser inte att satsningen</w:t>
      </w:r>
      <w:r w:rsidR="00701B98" w:rsidRPr="001023A8">
        <w:t xml:space="preserve"> till vuxenutbildningen ska reduceras</w:t>
      </w:r>
      <w:r w:rsidRPr="001023A8">
        <w:t xml:space="preserve">, och därför inte heller att anslaget 25:2 ska minska med 240 miljoner kronor. </w:t>
      </w:r>
    </w:p>
    <w:p w:rsidR="008B3CA3" w:rsidRPr="001023A8" w:rsidRDefault="00701B98">
      <w:pPr>
        <w:pStyle w:val="Normaltindrag"/>
        <w:shd w:val="clear" w:color="000000" w:fill="auto"/>
      </w:pPr>
      <w:r w:rsidRPr="001023A8">
        <w:t xml:space="preserve">I dag ligger studiemedlet på cirka 7 250 kronor i månaden. Miljöpartiet fick i vårpropositionen </w:t>
      </w:r>
      <w:r w:rsidR="00DB62CC" w:rsidRPr="001023A8">
        <w:t xml:space="preserve">2006 </w:t>
      </w:r>
      <w:r w:rsidRPr="001023A8">
        <w:t>igenom en hö</w:t>
      </w:r>
      <w:r w:rsidR="00FA0575" w:rsidRPr="001023A8">
        <w:t>jning av studiebidraget med 300 </w:t>
      </w:r>
      <w:r w:rsidRPr="001023A8">
        <w:t>kronor, fördelat med 100 kronor i bidragsdelen och 200 kronor i låned</w:t>
      </w:r>
      <w:r w:rsidRPr="001023A8">
        <w:t>e</w:t>
      </w:r>
      <w:r w:rsidRPr="001023A8">
        <w:t xml:space="preserve">len. Det var ett steg i rätt riktning, men fortfarande är nivån alltför låg. Att få ekonomin att gå ihop med så knappa resurser till sitt förfogande är för många en utmaning. De flesta studenter klarar sig inte på detta belopp, utan tvingas att arbeta vid sidan av sina heltidsstudier. Många tvingas också låna pengar av familj och vänner. Miljöpartiet vill höja </w:t>
      </w:r>
      <w:r w:rsidR="00DB62CC" w:rsidRPr="001023A8">
        <w:t>bidragsdelen i studiemedlet med</w:t>
      </w:r>
      <w:r w:rsidRPr="001023A8">
        <w:t xml:space="preserve"> </w:t>
      </w:r>
      <w:r w:rsidR="00DB62CC" w:rsidRPr="001023A8">
        <w:t xml:space="preserve">ytterligare </w:t>
      </w:r>
      <w:r w:rsidRPr="001023A8">
        <w:t xml:space="preserve">900 kronor i månaden. Höjningen ska börja gälla från och med </w:t>
      </w:r>
      <w:r w:rsidR="000448E3" w:rsidRPr="001023A8">
        <w:t xml:space="preserve">den </w:t>
      </w:r>
      <w:r w:rsidRPr="001023A8">
        <w:t>1 juli 20</w:t>
      </w:r>
      <w:r w:rsidRPr="001023A8">
        <w:rPr>
          <w:spacing w:val="-2"/>
        </w:rPr>
        <w:t xml:space="preserve">07. Anslag 25:2 höjs för detta syfte med 2 miljarder </w:t>
      </w:r>
      <w:r w:rsidR="00DB62CC" w:rsidRPr="001023A8">
        <w:rPr>
          <w:spacing w:val="-2"/>
        </w:rPr>
        <w:t xml:space="preserve">kronor </w:t>
      </w:r>
      <w:r w:rsidRPr="001023A8">
        <w:rPr>
          <w:spacing w:val="-2"/>
        </w:rPr>
        <w:t>2007 och 4</w:t>
      </w:r>
      <w:r w:rsidR="000448E3" w:rsidRPr="001023A8">
        <w:rPr>
          <w:spacing w:val="-2"/>
        </w:rPr>
        <w:t> </w:t>
      </w:r>
      <w:r w:rsidRPr="001023A8">
        <w:t xml:space="preserve">miljarder </w:t>
      </w:r>
      <w:r w:rsidR="00DB62CC" w:rsidRPr="001023A8">
        <w:t xml:space="preserve">kronor </w:t>
      </w:r>
      <w:r w:rsidRPr="001023A8">
        <w:t>om året 2008 och 2009.</w:t>
      </w:r>
    </w:p>
    <w:p w:rsidR="008B3CA3" w:rsidRPr="001023A8" w:rsidRDefault="00E55409">
      <w:pPr>
        <w:pStyle w:val="Normaltindrag"/>
        <w:shd w:val="clear" w:color="000000" w:fill="auto"/>
      </w:pPr>
      <w:r w:rsidRPr="001023A8">
        <w:t>Anslag 25:</w:t>
      </w:r>
      <w:r w:rsidR="00D35FE8" w:rsidRPr="001023A8">
        <w:t xml:space="preserve">2 Studiemedel ökar ytterligare beroende på att vi permanentar den tillfälliga platsökningen på </w:t>
      </w:r>
      <w:r w:rsidR="00FD0F17" w:rsidRPr="001023A8">
        <w:t>Kvalificerad yrkesutbildning samt</w:t>
      </w:r>
      <w:r w:rsidR="00D35FE8" w:rsidRPr="001023A8">
        <w:t xml:space="preserve"> bygger ut med ytterligare 1</w:t>
      </w:r>
      <w:r w:rsidRPr="001023A8">
        <w:t> </w:t>
      </w:r>
      <w:r w:rsidR="00D35FE8" w:rsidRPr="001023A8">
        <w:t>000 p</w:t>
      </w:r>
      <w:r w:rsidR="00497E00" w:rsidRPr="001023A8">
        <w:t>latser per år. Höstterminen 2007 tillkommer 500</w:t>
      </w:r>
      <w:r w:rsidR="00D35FE8" w:rsidRPr="001023A8">
        <w:t xml:space="preserve"> </w:t>
      </w:r>
      <w:r w:rsidR="00FD0F17" w:rsidRPr="001023A8">
        <w:t xml:space="preserve">nya </w:t>
      </w:r>
      <w:r w:rsidR="00D35FE8" w:rsidRPr="001023A8">
        <w:t xml:space="preserve">platser </w:t>
      </w:r>
      <w:r w:rsidR="00D2312B" w:rsidRPr="001023A8">
        <w:t xml:space="preserve">och från och med 2008 ytterligare 500 platser. Detta innebär </w:t>
      </w:r>
      <w:r w:rsidR="00FD0F17" w:rsidRPr="001023A8">
        <w:t>25,5</w:t>
      </w:r>
      <w:r w:rsidR="00FA0575" w:rsidRPr="001023A8">
        <w:t> </w:t>
      </w:r>
      <w:r w:rsidR="00D35FE8" w:rsidRPr="001023A8">
        <w:t xml:space="preserve">miljoner </w:t>
      </w:r>
      <w:r w:rsidR="00DB62CC" w:rsidRPr="001023A8">
        <w:t xml:space="preserve">kronor </w:t>
      </w:r>
      <w:r w:rsidR="00D35FE8" w:rsidRPr="001023A8">
        <w:t>i ökade st</w:t>
      </w:r>
      <w:r w:rsidR="00497E00" w:rsidRPr="001023A8">
        <w:t>udiemedels</w:t>
      </w:r>
      <w:r w:rsidR="00E00E5E" w:rsidRPr="001023A8">
        <w:softHyphen/>
      </w:r>
      <w:r w:rsidR="00497E00" w:rsidRPr="001023A8">
        <w:t>kostnader år 2007</w:t>
      </w:r>
      <w:r w:rsidR="00D2312B" w:rsidRPr="001023A8">
        <w:t>,</w:t>
      </w:r>
      <w:r w:rsidR="00B6591A" w:rsidRPr="001023A8">
        <w:t xml:space="preserve"> 60</w:t>
      </w:r>
      <w:r w:rsidR="00D35FE8" w:rsidRPr="001023A8">
        <w:t xml:space="preserve"> mi</w:t>
      </w:r>
      <w:r w:rsidR="00B6591A" w:rsidRPr="001023A8">
        <w:t xml:space="preserve">ljoner </w:t>
      </w:r>
      <w:r w:rsidR="00DB62CC" w:rsidRPr="001023A8">
        <w:t xml:space="preserve">kronor </w:t>
      </w:r>
      <w:r w:rsidR="00D2312B" w:rsidRPr="001023A8">
        <w:t xml:space="preserve">år 2008 </w:t>
      </w:r>
      <w:r w:rsidR="00B6591A" w:rsidRPr="001023A8">
        <w:t xml:space="preserve">och 70 miljoner </w:t>
      </w:r>
      <w:r w:rsidR="00DB62CC" w:rsidRPr="001023A8">
        <w:t xml:space="preserve">kronor </w:t>
      </w:r>
      <w:r w:rsidRPr="001023A8">
        <w:t xml:space="preserve">år </w:t>
      </w:r>
      <w:r w:rsidR="00B6591A" w:rsidRPr="001023A8">
        <w:t>2009.</w:t>
      </w:r>
      <w:r w:rsidR="00D35FE8" w:rsidRPr="001023A8">
        <w:t xml:space="preserve"> </w:t>
      </w:r>
    </w:p>
    <w:p w:rsidR="008B3CA3" w:rsidRPr="001023A8" w:rsidRDefault="00E55409">
      <w:pPr>
        <w:pStyle w:val="Normaltindrag"/>
        <w:shd w:val="clear" w:color="000000" w:fill="auto"/>
      </w:pPr>
      <w:r w:rsidRPr="001023A8">
        <w:t>Anslaget 25:</w:t>
      </w:r>
      <w:r w:rsidR="001852AB" w:rsidRPr="001023A8">
        <w:t>2 ökar ytterligare på grund av satsningen på praktikplats</w:t>
      </w:r>
      <w:r w:rsidR="00B6591A" w:rsidRPr="001023A8">
        <w:t xml:space="preserve">er inom högskolan år 2008 med 43 miljoner </w:t>
      </w:r>
      <w:r w:rsidR="00DB62CC" w:rsidRPr="001023A8">
        <w:t xml:space="preserve">kronor </w:t>
      </w:r>
      <w:r w:rsidR="00B6591A" w:rsidRPr="001023A8">
        <w:t xml:space="preserve">och </w:t>
      </w:r>
      <w:r w:rsidRPr="001023A8">
        <w:t xml:space="preserve">år </w:t>
      </w:r>
      <w:r w:rsidR="00B6591A" w:rsidRPr="001023A8">
        <w:t>2009 med 85</w:t>
      </w:r>
      <w:r w:rsidR="001852AB" w:rsidRPr="001023A8">
        <w:t xml:space="preserve"> miljoner</w:t>
      </w:r>
      <w:r w:rsidR="00DB62CC" w:rsidRPr="001023A8">
        <w:t xml:space="preserve"> kronor</w:t>
      </w:r>
      <w:r w:rsidR="001852AB" w:rsidRPr="001023A8">
        <w:t xml:space="preserve">. </w:t>
      </w:r>
      <w:r w:rsidR="00497E00" w:rsidRPr="001023A8">
        <w:t xml:space="preserve">Se vidare om denna satsning under utgiftsområde 16 </w:t>
      </w:r>
      <w:r w:rsidRPr="001023A8">
        <w:t xml:space="preserve">Utbildning </w:t>
      </w:r>
      <w:r w:rsidR="00497E00" w:rsidRPr="001023A8">
        <w:t>och universitetsforskning.</w:t>
      </w:r>
    </w:p>
    <w:p w:rsidR="006E51C8" w:rsidRPr="001023A8" w:rsidRDefault="006E51C8">
      <w:pPr>
        <w:pStyle w:val="Rubrik1"/>
        <w:shd w:val="clear" w:color="000000" w:fill="auto"/>
      </w:pPr>
      <w:r w:rsidRPr="001023A8">
        <w:t>Utgiftsområde 16</w:t>
      </w:r>
    </w:p>
    <w:p w:rsidR="001852AB" w:rsidRPr="001023A8" w:rsidRDefault="001852AB">
      <w:pPr>
        <w:pStyle w:val="Rubrik2"/>
        <w:shd w:val="clear" w:color="000000" w:fill="auto"/>
        <w:spacing w:before="120"/>
      </w:pPr>
      <w:r w:rsidRPr="001023A8">
        <w:t>Statens skolverk</w:t>
      </w:r>
    </w:p>
    <w:p w:rsidR="00955D12" w:rsidRPr="001023A8" w:rsidRDefault="00ED5C50">
      <w:pPr>
        <w:shd w:val="clear" w:color="000000" w:fill="auto"/>
      </w:pPr>
      <w:r w:rsidRPr="001023A8">
        <w:t xml:space="preserve">Regeringen anser att ett nationellt prov i ämnet svenska bör införas i </w:t>
      </w:r>
      <w:r w:rsidR="00E55409" w:rsidRPr="001023A8">
        <w:t>årskurs</w:t>
      </w:r>
      <w:r w:rsidRPr="001023A8">
        <w:t xml:space="preserve"> 3 samt att skolorna ska inrätta obligatoriska kontrollstationer i </w:t>
      </w:r>
      <w:r w:rsidR="00E55409" w:rsidRPr="001023A8">
        <w:t>årskurs</w:t>
      </w:r>
      <w:r w:rsidRPr="001023A8">
        <w:t xml:space="preserve"> 3,</w:t>
      </w:r>
      <w:r w:rsidR="00E55409" w:rsidRPr="001023A8">
        <w:t xml:space="preserve"> </w:t>
      </w:r>
      <w:r w:rsidRPr="001023A8">
        <w:t xml:space="preserve">5 och 8. Därför föreslår de att 50 miljoner </w:t>
      </w:r>
      <w:r w:rsidR="00DB62CC" w:rsidRPr="001023A8">
        <w:t xml:space="preserve">kronor </w:t>
      </w:r>
      <w:r w:rsidRPr="001023A8">
        <w:t xml:space="preserve">om året ska överföras från anslag 25:3 till anslag 25:1 Statens skolverk. Detta vänder sig </w:t>
      </w:r>
      <w:r w:rsidR="00E55409" w:rsidRPr="001023A8">
        <w:t xml:space="preserve">Miljöpartiet </w:t>
      </w:r>
      <w:r w:rsidRPr="001023A8">
        <w:t>emot</w:t>
      </w:r>
      <w:r w:rsidR="00955D12" w:rsidRPr="001023A8">
        <w:t xml:space="preserve"> och minskar därför anslaget med 50 miljoner </w:t>
      </w:r>
      <w:r w:rsidR="00DB62CC" w:rsidRPr="001023A8">
        <w:t xml:space="preserve">kronor </w:t>
      </w:r>
      <w:r w:rsidR="00955D12" w:rsidRPr="001023A8">
        <w:t xml:space="preserve">årligen. </w:t>
      </w:r>
    </w:p>
    <w:p w:rsidR="00ED5C50" w:rsidRPr="001023A8" w:rsidRDefault="00ED5C50">
      <w:pPr>
        <w:pStyle w:val="Normaltindrag"/>
        <w:shd w:val="clear" w:color="000000" w:fill="auto"/>
      </w:pPr>
      <w:r w:rsidRPr="001023A8">
        <w:t>Den pedagogiska friheten i skolan måste bli större. Införande av kontrol</w:t>
      </w:r>
      <w:r w:rsidRPr="001023A8">
        <w:t>l</w:t>
      </w:r>
      <w:r w:rsidRPr="001023A8">
        <w:t>stationer som styr vid vilken tidpunkt eleverna ska ha utvecklat den ena eller den andra färdigheten riskerar att hindra kunskapsutvecklingen. Det är viktigt att undervisning individanpassas och att lärare har stora möjligheter att plan</w:t>
      </w:r>
      <w:r w:rsidRPr="001023A8">
        <w:t>e</w:t>
      </w:r>
      <w:r w:rsidRPr="001023A8">
        <w:t>ra och utforma sin undervisning på det sätt som denne anser vara bäst under omständigheterna. Att från regeringshåll komma med detaljerade pekpinnar om i vilken ordning elever ska lära sig saker och ting är sannolikt kontrapr</w:t>
      </w:r>
      <w:r w:rsidRPr="001023A8">
        <w:t>o</w:t>
      </w:r>
      <w:r w:rsidRPr="001023A8">
        <w:t>duktivt. Hur undervisningen är planerad varierar också efter vilken pedag</w:t>
      </w:r>
      <w:r w:rsidRPr="001023A8">
        <w:t>o</w:t>
      </w:r>
      <w:r w:rsidRPr="001023A8">
        <w:t xml:space="preserve">gisk inriktning skolan har. Detaljstyrning från centralt håll riskerar </w:t>
      </w:r>
      <w:r w:rsidR="00E55409" w:rsidRPr="001023A8">
        <w:t xml:space="preserve">att </w:t>
      </w:r>
      <w:r w:rsidRPr="001023A8">
        <w:t>slå undan fötterna på många framgångsrika skolor som arbetar med alternativ pedagogik.</w:t>
      </w:r>
      <w:r w:rsidR="009F473B" w:rsidRPr="001023A8">
        <w:t xml:space="preserve"> Miljöpartiet anser därför att riksdagen bör ge regeringen till</w:t>
      </w:r>
      <w:r w:rsidR="00E55409" w:rsidRPr="001023A8">
        <w:t xml:space="preserve"> </w:t>
      </w:r>
      <w:r w:rsidR="009F473B" w:rsidRPr="001023A8">
        <w:t>känna att obligatoriska kontrollstationer och fler nationella prov inte ska införas.</w:t>
      </w:r>
    </w:p>
    <w:p w:rsidR="001852AB" w:rsidRPr="001023A8" w:rsidRDefault="00774F09">
      <w:pPr>
        <w:pStyle w:val="Rubrik2"/>
        <w:shd w:val="clear" w:color="000000" w:fill="auto"/>
      </w:pPr>
      <w:r w:rsidRPr="001023A8">
        <w:t xml:space="preserve">Skolväsende, förskoleverksamhet </w:t>
      </w:r>
      <w:r w:rsidR="001852AB" w:rsidRPr="001023A8">
        <w:t>och skolbarn</w:t>
      </w:r>
      <w:r w:rsidR="00E55409" w:rsidRPr="001023A8">
        <w:t>s</w:t>
      </w:r>
      <w:r w:rsidR="001852AB" w:rsidRPr="001023A8">
        <w:t>omsorg</w:t>
      </w:r>
    </w:p>
    <w:p w:rsidR="00774F09" w:rsidRPr="001023A8" w:rsidRDefault="00774F09">
      <w:pPr>
        <w:pStyle w:val="Rubrik3"/>
        <w:shd w:val="clear" w:color="000000" w:fill="auto"/>
        <w:spacing w:before="120"/>
      </w:pPr>
      <w:r w:rsidRPr="001023A8">
        <w:t>Tidigare betyg</w:t>
      </w:r>
    </w:p>
    <w:p w:rsidR="00955D12" w:rsidRPr="001023A8" w:rsidRDefault="00955D12">
      <w:pPr>
        <w:shd w:val="clear" w:color="000000" w:fill="auto"/>
      </w:pPr>
      <w:r w:rsidRPr="001023A8">
        <w:t>Regeringen aviserar i budgetpropositionen ett antal förändringar rörande grundskolan. Regeringen har för avsikt att låta utreda frågan om obliga</w:t>
      </w:r>
      <w:r w:rsidR="0057382B" w:rsidRPr="001023A8">
        <w:t xml:space="preserve">toriska betyg från </w:t>
      </w:r>
      <w:r w:rsidR="00E55409" w:rsidRPr="001023A8">
        <w:t>årskurs</w:t>
      </w:r>
      <w:r w:rsidR="0057382B" w:rsidRPr="001023A8">
        <w:t xml:space="preserve"> 3. Att införa betyg så tidigt</w:t>
      </w:r>
      <w:r w:rsidRPr="001023A8">
        <w:t xml:space="preserve"> vore mycket olyckligt. Ku</w:t>
      </w:r>
      <w:r w:rsidRPr="001023A8">
        <w:t>n</w:t>
      </w:r>
      <w:r w:rsidRPr="001023A8">
        <w:t xml:space="preserve">skapsutvecklingen måste stå i fokus i skolan. Regler och planer som styr skolan ska gynna elevernas utveckling mot målen. Miljöpartiet är kritiskt mot dagens betygssystem just eftersom det leder bort ifrån just detta. Betygen är dåliga som pedagogiskt instrument eftersom de säger väldigt lite om vad en elev faktiskt kan och vilka utvecklingsmöjligheter eleven har. Däremot leder betygen till stress och prestationsångest. Särskilt sårbara är elever i lägre åldrar som inte ska behöva jämföra sina betyg med varandra. </w:t>
      </w:r>
    </w:p>
    <w:p w:rsidR="00E00E5E" w:rsidRPr="001023A8" w:rsidRDefault="00955D12">
      <w:pPr>
        <w:pStyle w:val="Normaltindrag"/>
        <w:shd w:val="clear" w:color="000000" w:fill="auto"/>
      </w:pPr>
      <w:r w:rsidRPr="001023A8">
        <w:t>Tidigare betyg leder också till minskad pedagogisk frihet i skolan. Med b</w:t>
      </w:r>
      <w:r w:rsidRPr="001023A8">
        <w:t>e</w:t>
      </w:r>
      <w:r w:rsidRPr="001023A8">
        <w:t xml:space="preserve">tygen kommer betygskriterier utefter vilka elevernas kunskaper ska bedömas. Undervisningen måste därmed anpassas efter dessa kriterier. I och med detta minskar utrymmet för lärarna </w:t>
      </w:r>
      <w:r w:rsidR="00E55409" w:rsidRPr="001023A8">
        <w:t>att lägga upp undervisningen så</w:t>
      </w:r>
      <w:r w:rsidRPr="001023A8">
        <w:t>som de bäst anser gagnar just deras elevers kunskapsutveckling. Många skolor som drivs utifrån alternativa pedagogik</w:t>
      </w:r>
      <w:r w:rsidR="00DB62CC" w:rsidRPr="001023A8">
        <w:t>er</w:t>
      </w:r>
      <w:r w:rsidRPr="001023A8">
        <w:t xml:space="preserve"> använder inte betyg. För dessa skolor vore ett beslut om tidigare betyg förödande. Likformigheten i skolan blir större </w:t>
      </w:r>
      <w:r w:rsidR="000C69BB" w:rsidRPr="001023A8">
        <w:t>trots att det vi behöver</w:t>
      </w:r>
      <w:r w:rsidRPr="001023A8">
        <w:t xml:space="preserve"> är större mångfald och ökad individ</w:t>
      </w:r>
      <w:r w:rsidR="00E00E5E" w:rsidRPr="001023A8">
        <w:softHyphen/>
      </w:r>
      <w:r w:rsidRPr="001023A8">
        <w:t>anpassning. Miljöpartiet anser att riksdagen ska ge regeringen till</w:t>
      </w:r>
      <w:r w:rsidR="00E55409" w:rsidRPr="001023A8">
        <w:t xml:space="preserve"> </w:t>
      </w:r>
      <w:r w:rsidRPr="001023A8">
        <w:t xml:space="preserve">känna att betyg inte ska ges i tidigare årskurser än i dag, det vill säga från </w:t>
      </w:r>
      <w:r w:rsidR="00E55409" w:rsidRPr="001023A8">
        <w:t>årskurs</w:t>
      </w:r>
      <w:r w:rsidRPr="001023A8">
        <w:t xml:space="preserve"> 8.</w:t>
      </w:r>
    </w:p>
    <w:p w:rsidR="00955D12" w:rsidRPr="001023A8" w:rsidRDefault="00955D12">
      <w:pPr>
        <w:pStyle w:val="Normaltindrag"/>
        <w:shd w:val="clear" w:color="000000" w:fill="auto"/>
      </w:pPr>
      <w:r w:rsidRPr="001023A8">
        <w:t>Reg</w:t>
      </w:r>
      <w:r w:rsidR="00DB62CC" w:rsidRPr="001023A8">
        <w:t xml:space="preserve">eringen </w:t>
      </w:r>
      <w:r w:rsidRPr="001023A8">
        <w:t xml:space="preserve">avsätter 26 miljoner </w:t>
      </w:r>
      <w:r w:rsidR="00DB62CC" w:rsidRPr="001023A8">
        <w:t xml:space="preserve">kronor </w:t>
      </w:r>
      <w:r w:rsidRPr="001023A8">
        <w:t>t</w:t>
      </w:r>
      <w:r w:rsidR="00DB62CC" w:rsidRPr="001023A8">
        <w:t xml:space="preserve">ill satsningar på utredning och </w:t>
      </w:r>
      <w:r w:rsidRPr="001023A8">
        <w:t>implementering av nya mål och betygskriterier, för utveckling och impleme</w:t>
      </w:r>
      <w:r w:rsidRPr="001023A8">
        <w:t>n</w:t>
      </w:r>
      <w:r w:rsidRPr="001023A8">
        <w:t xml:space="preserve">tering av kontrollstationer och likvärdiga betyg. Miljöpartiet motsätter sig dessa satsningar och minskar därför anslaget med 26 miljoner </w:t>
      </w:r>
      <w:r w:rsidR="00DB62CC" w:rsidRPr="001023A8">
        <w:t xml:space="preserve">kronor </w:t>
      </w:r>
      <w:r w:rsidRPr="001023A8">
        <w:t xml:space="preserve">2007 och 26 miljoner </w:t>
      </w:r>
      <w:r w:rsidR="00DB62CC" w:rsidRPr="001023A8">
        <w:t xml:space="preserve">kronor </w:t>
      </w:r>
      <w:r w:rsidRPr="001023A8">
        <w:t>2008.</w:t>
      </w:r>
    </w:p>
    <w:p w:rsidR="00774F09" w:rsidRPr="001023A8" w:rsidRDefault="00774F09">
      <w:pPr>
        <w:pStyle w:val="Rubrik3"/>
        <w:shd w:val="clear" w:color="000000" w:fill="auto"/>
      </w:pPr>
      <w:r w:rsidRPr="001023A8">
        <w:t>Skriftliga omdömen i ordning och uppförande</w:t>
      </w:r>
    </w:p>
    <w:p w:rsidR="00774F09" w:rsidRPr="001023A8" w:rsidRDefault="00774F09">
      <w:pPr>
        <w:shd w:val="clear" w:color="000000" w:fill="auto"/>
      </w:pPr>
      <w:r w:rsidRPr="001023A8">
        <w:t xml:space="preserve">Regeringen ger i budgetpropositionen utryck för åsikten att skolor som så önskar ska få ge skriftliga omdömen i ordning och uppförande. Detta är helt främmande för Miljöpartiet. Det är kunskapsutveckling och måluppfyllelse som ska stå i fokus i skolan. </w:t>
      </w:r>
      <w:r w:rsidR="0057382B" w:rsidRPr="001023A8">
        <w:t xml:space="preserve">Att elever och lärare visar varandra respekt är enormt viktigt, och alla i skolan ska verka för att det blir verklighet. Barn och unga ska få hjälp att utvecklas till trygga och ansvarstagande individer. Att lärare </w:t>
      </w:r>
      <w:r w:rsidRPr="001023A8">
        <w:t xml:space="preserve">ska betygssätta elevernas beteende är dumt och integritetskränkande. </w:t>
      </w:r>
      <w:r w:rsidR="005A301D" w:rsidRPr="001023A8">
        <w:t>Riksdagen bör därför ge regeringen tillkänna att det inte ska vara möjligt för skolorna att utfärda skriftliga omdömen i ordning och uppförande.</w:t>
      </w:r>
    </w:p>
    <w:p w:rsidR="00774F09" w:rsidRPr="001023A8" w:rsidRDefault="00774F09">
      <w:pPr>
        <w:pStyle w:val="Rubrik2"/>
        <w:shd w:val="clear" w:color="000000" w:fill="auto"/>
      </w:pPr>
      <w:r w:rsidRPr="001023A8">
        <w:t>Gymnasiereformen GY 07</w:t>
      </w:r>
    </w:p>
    <w:p w:rsidR="00774F09" w:rsidRPr="001023A8" w:rsidRDefault="00774F09">
      <w:pPr>
        <w:shd w:val="clear" w:color="000000" w:fill="auto"/>
      </w:pPr>
      <w:r w:rsidRPr="001023A8">
        <w:t>I budgetpropositionen föreslår regeringen riksdagen att den av riksdagen beslutade</w:t>
      </w:r>
      <w:r w:rsidR="00E55409" w:rsidRPr="001023A8">
        <w:t xml:space="preserve"> g</w:t>
      </w:r>
      <w:r w:rsidRPr="001023A8">
        <w:t>ymnasiereformen, GY</w:t>
      </w:r>
      <w:r w:rsidR="00E55409" w:rsidRPr="001023A8">
        <w:t> </w:t>
      </w:r>
      <w:r w:rsidRPr="001023A8">
        <w:t>07 ska återkallas. Miljöpartiet anser att detta är mycket olyckligt. GY</w:t>
      </w:r>
      <w:r w:rsidR="00E55409" w:rsidRPr="001023A8">
        <w:t> </w:t>
      </w:r>
      <w:r w:rsidRPr="001023A8">
        <w:t>07 innehåller viktiga reformer som behöver genomföras. En lärlings</w:t>
      </w:r>
      <w:r w:rsidR="00E00E5E" w:rsidRPr="001023A8">
        <w:softHyphen/>
      </w:r>
      <w:r w:rsidRPr="001023A8">
        <w:t>utbildning är på väg att införas, vilket ger nya möjli</w:t>
      </w:r>
      <w:r w:rsidRPr="001023A8">
        <w:t>g</w:t>
      </w:r>
      <w:r w:rsidRPr="001023A8">
        <w:t xml:space="preserve">heter för elever som vill ha en praktisk utbildning med stark förankring på arbetsmarknaden. Regeringen aviserar visserligen att en lärlingsutbildning ska </w:t>
      </w:r>
      <w:r w:rsidRPr="001023A8">
        <w:rPr>
          <w:spacing w:val="-2"/>
        </w:rPr>
        <w:t>införas i framtiden, men det kommer sannolikt inte att hinnas med inom ma</w:t>
      </w:r>
      <w:r w:rsidRPr="001023A8">
        <w:rPr>
          <w:spacing w:val="-2"/>
        </w:rPr>
        <w:t>n</w:t>
      </w:r>
      <w:r w:rsidRPr="001023A8">
        <w:rPr>
          <w:spacing w:val="-2"/>
        </w:rPr>
        <w:t>dat</w:t>
      </w:r>
      <w:r w:rsidR="00E55409" w:rsidRPr="001023A8">
        <w:rPr>
          <w:spacing w:val="-2"/>
        </w:rPr>
        <w:softHyphen/>
      </w:r>
      <w:r w:rsidRPr="001023A8">
        <w:rPr>
          <w:spacing w:val="-2"/>
        </w:rPr>
        <w:t>perio</w:t>
      </w:r>
      <w:r w:rsidRPr="001023A8">
        <w:t xml:space="preserve">den. Det är ett svek mot landets elever. GY 07 innehöll också en rejäl satsning på att förstärka kvaliteten på de yrkesinriktade programmen. En sådan satsning är mycket angelägen. Vidare beslutades att </w:t>
      </w:r>
      <w:r w:rsidR="00E55409" w:rsidRPr="001023A8">
        <w:t xml:space="preserve">s.k. </w:t>
      </w:r>
      <w:r w:rsidRPr="001023A8">
        <w:t>frisök ska införas. I dag kan elever välja fristående skola oberoende av vilken kommun den finns i, men den rätten finns inte när det gäller kommunala skolor. För att stärka elevernas valfrihet och de kommunala skolornas konkurrenskraft beslöt riksdagen att eleverna skulle kunna söka utbildningar i andra kommuner, även om dessa finns i hemkommunen. Det är viktigt att detta beslut står fast. Rik</w:t>
      </w:r>
      <w:r w:rsidRPr="001023A8">
        <w:t>s</w:t>
      </w:r>
      <w:r w:rsidRPr="001023A8">
        <w:t>dagen bör därför ge regeringen till</w:t>
      </w:r>
      <w:r w:rsidR="00E55409" w:rsidRPr="001023A8">
        <w:t xml:space="preserve"> </w:t>
      </w:r>
      <w:r w:rsidRPr="001023A8">
        <w:t>känna att förslagen om lärlingsutbildning, förstärkt kvalitet av yrkes</w:t>
      </w:r>
      <w:r w:rsidR="00E00E5E" w:rsidRPr="001023A8">
        <w:softHyphen/>
      </w:r>
      <w:r w:rsidRPr="001023A8">
        <w:t>utbildningen, frisöket och att kärnämnena ska prä</w:t>
      </w:r>
      <w:r w:rsidRPr="001023A8">
        <w:t>g</w:t>
      </w:r>
      <w:r w:rsidRPr="001023A8">
        <w:t xml:space="preserve">las av utbildningens inriktning ska genomföras som planerat. </w:t>
      </w:r>
    </w:p>
    <w:p w:rsidR="00774F09" w:rsidRPr="001023A8" w:rsidRDefault="00774F09">
      <w:pPr>
        <w:pStyle w:val="Rubrik2"/>
        <w:shd w:val="clear" w:color="000000" w:fill="auto"/>
      </w:pPr>
      <w:r w:rsidRPr="001023A8">
        <w:t>Vuxenutbildning</w:t>
      </w:r>
    </w:p>
    <w:p w:rsidR="001852AB" w:rsidRPr="001023A8" w:rsidRDefault="001852AB">
      <w:pPr>
        <w:pStyle w:val="Rubrik3"/>
        <w:shd w:val="clear" w:color="000000" w:fill="auto"/>
        <w:spacing w:before="120"/>
      </w:pPr>
      <w:r w:rsidRPr="001023A8">
        <w:t xml:space="preserve"> Bidrag till viss verksamhet inom vuxenutbildning</w:t>
      </w:r>
    </w:p>
    <w:p w:rsidR="001852AB" w:rsidRPr="001023A8" w:rsidRDefault="0076521B">
      <w:pPr>
        <w:shd w:val="clear" w:color="000000" w:fill="auto"/>
      </w:pPr>
      <w:r w:rsidRPr="001023A8">
        <w:t>Miljöpartiet anser att anslag 25:12 bidrag till viss verksamhet inom vuxenu</w:t>
      </w:r>
      <w:r w:rsidRPr="001023A8">
        <w:t>t</w:t>
      </w:r>
      <w:r w:rsidRPr="001023A8">
        <w:t xml:space="preserve">bildning bör höjas med 100 miljoner </w:t>
      </w:r>
      <w:r w:rsidR="00DB62CC" w:rsidRPr="001023A8">
        <w:t xml:space="preserve">kronor </w:t>
      </w:r>
      <w:r w:rsidRPr="001023A8">
        <w:t xml:space="preserve">per år från och med 1 juli 2007 för att bygga ut den kompletterande utbildningen. </w:t>
      </w:r>
      <w:r w:rsidR="00DE27B2" w:rsidRPr="001023A8">
        <w:t>Kompletterande utbil</w:t>
      </w:r>
      <w:r w:rsidR="00DE27B2" w:rsidRPr="001023A8">
        <w:t>d</w:t>
      </w:r>
      <w:r w:rsidR="00DE27B2" w:rsidRPr="001023A8">
        <w:t>ningar är en frivillig utbildnings</w:t>
      </w:r>
      <w:r w:rsidR="00E00E5E" w:rsidRPr="001023A8">
        <w:softHyphen/>
      </w:r>
      <w:r w:rsidR="00DE27B2" w:rsidRPr="001023A8">
        <w:t xml:space="preserve">form som ligger helt utanför det offentliga utbildningssystemet. Dessa </w:t>
      </w:r>
      <w:r w:rsidRPr="001023A8">
        <w:t xml:space="preserve">utbildningar </w:t>
      </w:r>
      <w:r w:rsidR="00DE27B2" w:rsidRPr="001023A8">
        <w:t xml:space="preserve">ökar tillgången på utbildade inom yrken som det finns ett uttalat nationellt behov av. </w:t>
      </w:r>
      <w:r w:rsidR="006553B0" w:rsidRPr="001023A8">
        <w:t>De kompletterande utbil</w:t>
      </w:r>
      <w:r w:rsidR="006553B0" w:rsidRPr="001023A8">
        <w:t>d</w:t>
      </w:r>
      <w:r w:rsidR="006553B0" w:rsidRPr="001023A8">
        <w:t>ningarna spelar också en viktig roll inom kultursektorn och är särskilt bet</w:t>
      </w:r>
      <w:r w:rsidR="006553B0" w:rsidRPr="001023A8">
        <w:t>y</w:t>
      </w:r>
      <w:r w:rsidR="006553B0" w:rsidRPr="001023A8">
        <w:t xml:space="preserve">delsefulla för försörjningen av arbetskraft </w:t>
      </w:r>
      <w:r w:rsidR="00635615" w:rsidRPr="001023A8">
        <w:t>inom olika hantverk och tekniska</w:t>
      </w:r>
      <w:r w:rsidR="006553B0" w:rsidRPr="001023A8">
        <w:t xml:space="preserve"> verksamheter. Dessutom bidrar de till egenföretagandet inom många omr</w:t>
      </w:r>
      <w:r w:rsidR="006553B0" w:rsidRPr="001023A8">
        <w:t>å</w:t>
      </w:r>
      <w:r w:rsidR="006553B0" w:rsidRPr="001023A8">
        <w:t>den</w:t>
      </w:r>
      <w:r w:rsidR="00F63BDD" w:rsidRPr="001023A8">
        <w:t>.</w:t>
      </w:r>
    </w:p>
    <w:p w:rsidR="00635615" w:rsidRPr="001023A8" w:rsidRDefault="00635615">
      <w:pPr>
        <w:pStyle w:val="Rubrik3"/>
        <w:shd w:val="clear" w:color="000000" w:fill="auto"/>
      </w:pPr>
      <w:r w:rsidRPr="001023A8">
        <w:t>Statligt stöd för utbildning av vuxna</w:t>
      </w:r>
    </w:p>
    <w:p w:rsidR="00635615" w:rsidRPr="001023A8" w:rsidRDefault="00635615">
      <w:pPr>
        <w:shd w:val="clear" w:color="000000" w:fill="auto"/>
      </w:pPr>
      <w:r w:rsidRPr="001023A8">
        <w:t>Regeringen föreslår att det statliga stödet för utbildning av vuxna minskas med 600 miljoner kronor. Medlen förs också över till anslag 48:1 Kommuna</w:t>
      </w:r>
      <w:r w:rsidRPr="001023A8">
        <w:t>l</w:t>
      </w:r>
      <w:r w:rsidRPr="001023A8">
        <w:t>ekonomisk utjämning. Miljöpartiet tillbak</w:t>
      </w:r>
      <w:r w:rsidR="00DB62CC" w:rsidRPr="001023A8">
        <w:t>avisar minskningen av anslaget.</w:t>
      </w:r>
      <w:r w:rsidRPr="001023A8">
        <w:t xml:space="preserve"> Samhällsutvecklingen och den snabba strukturomvandlingen av arbetsmar</w:t>
      </w:r>
      <w:r w:rsidRPr="001023A8">
        <w:t>k</w:t>
      </w:r>
      <w:r w:rsidRPr="001023A8">
        <w:t>naden ställer krav på framför allt dem med lägst utbildning. Utan ett livslångt lärande och möjligheten att även i vuxen ålder läsa in kunskap man missat tidigare blir det mycket svårt för dem som inte riktigt uppfyller arbetsmar</w:t>
      </w:r>
      <w:r w:rsidRPr="001023A8">
        <w:t>k</w:t>
      </w:r>
      <w:r w:rsidRPr="001023A8">
        <w:t xml:space="preserve">nadens kompetenskrav att komma tillbaka i sysselsättning. Därför återförs de 600 miljoner </w:t>
      </w:r>
      <w:r w:rsidR="00DB62CC" w:rsidRPr="001023A8">
        <w:t xml:space="preserve">kronor </w:t>
      </w:r>
      <w:r w:rsidRPr="001023A8">
        <w:t xml:space="preserve">som regeringen reducerade vuxenutbildningen med. </w:t>
      </w:r>
      <w:r w:rsidR="005A301D" w:rsidRPr="001023A8">
        <w:t>M</w:t>
      </w:r>
      <w:r w:rsidRPr="001023A8">
        <w:t>iljöpartiet stödjer dock att medlen förs över till anslag 48:1.</w:t>
      </w:r>
    </w:p>
    <w:p w:rsidR="001852AB" w:rsidRPr="001023A8" w:rsidRDefault="001852AB">
      <w:pPr>
        <w:pStyle w:val="Rubrik3"/>
        <w:shd w:val="clear" w:color="000000" w:fill="auto"/>
      </w:pPr>
      <w:r w:rsidRPr="001023A8">
        <w:t xml:space="preserve">Myndigheten för kvalificerad yrkesutbildning </w:t>
      </w:r>
      <w:r w:rsidR="005D68F1" w:rsidRPr="001023A8">
        <w:t>och b</w:t>
      </w:r>
      <w:r w:rsidRPr="001023A8">
        <w:t xml:space="preserve">idrag till kvalificerad yrkesutbildning </w:t>
      </w:r>
    </w:p>
    <w:p w:rsidR="005D68F1" w:rsidRPr="001023A8" w:rsidRDefault="003312D5">
      <w:pPr>
        <w:shd w:val="clear" w:color="000000" w:fill="auto"/>
        <w:autoSpaceDE w:val="0"/>
        <w:autoSpaceDN w:val="0"/>
        <w:adjustRightInd w:val="0"/>
      </w:pPr>
      <w:r w:rsidRPr="001023A8">
        <w:rPr>
          <w:szCs w:val="24"/>
        </w:rPr>
        <w:t>Kvalificerad yrkesutbildning (KY) är en utbildning mellan gymnasiet och högskolan med en tredjedel av utbildningstiden arbetsplatsförlagd. Utbil</w:t>
      </w:r>
      <w:r w:rsidRPr="001023A8">
        <w:rPr>
          <w:szCs w:val="24"/>
        </w:rPr>
        <w:t>d</w:t>
      </w:r>
      <w:r w:rsidRPr="001023A8">
        <w:rPr>
          <w:szCs w:val="24"/>
        </w:rPr>
        <w:t>ning</w:t>
      </w:r>
      <w:r w:rsidR="00E55409" w:rsidRPr="001023A8">
        <w:rPr>
          <w:szCs w:val="24"/>
        </w:rPr>
        <w:t>en</w:t>
      </w:r>
      <w:r w:rsidRPr="001023A8">
        <w:rPr>
          <w:szCs w:val="24"/>
        </w:rPr>
        <w:t xml:space="preserve"> bygger på ett nära samarbete med arbetslivet och den ha</w:t>
      </w:r>
      <w:r w:rsidR="005A301D" w:rsidRPr="001023A8">
        <w:rPr>
          <w:szCs w:val="24"/>
        </w:rPr>
        <w:t xml:space="preserve">r uppvisat mycket goda resultat, </w:t>
      </w:r>
      <w:r w:rsidRPr="001023A8">
        <w:rPr>
          <w:szCs w:val="24"/>
        </w:rPr>
        <w:t>många får jobb efter avslutad KY-utbildning. Det beror inte minst på att utbildningarna är flexibla och hela tiden anpassas till arbet</w:t>
      </w:r>
      <w:r w:rsidRPr="001023A8">
        <w:rPr>
          <w:szCs w:val="24"/>
        </w:rPr>
        <w:t>s</w:t>
      </w:r>
      <w:r w:rsidRPr="001023A8">
        <w:rPr>
          <w:szCs w:val="24"/>
        </w:rPr>
        <w:t xml:space="preserve">marknadens behov. </w:t>
      </w:r>
      <w:r w:rsidR="005D68F1" w:rsidRPr="001023A8">
        <w:t>Miljöpartiet anser att den tillfälliga platsökningen om 1</w:t>
      </w:r>
      <w:r w:rsidR="00E55409" w:rsidRPr="001023A8">
        <w:t> </w:t>
      </w:r>
      <w:r w:rsidR="005D68F1" w:rsidRPr="001023A8">
        <w:t xml:space="preserve">000 platser ska </w:t>
      </w:r>
      <w:r w:rsidR="005D68F1" w:rsidRPr="001023A8">
        <w:rPr>
          <w:spacing w:val="-2"/>
        </w:rPr>
        <w:t>permanentas. Miljöpartiet vill också bygga ut den kvalificer</w:t>
      </w:r>
      <w:r w:rsidR="005D68F1" w:rsidRPr="001023A8">
        <w:rPr>
          <w:spacing w:val="-2"/>
        </w:rPr>
        <w:t>a</w:t>
      </w:r>
      <w:r w:rsidR="005D68F1" w:rsidRPr="001023A8">
        <w:rPr>
          <w:spacing w:val="-2"/>
        </w:rPr>
        <w:t>de yrkesutbildningen med ytterligare 1</w:t>
      </w:r>
      <w:r w:rsidR="00E55409" w:rsidRPr="001023A8">
        <w:rPr>
          <w:spacing w:val="-2"/>
        </w:rPr>
        <w:t> </w:t>
      </w:r>
      <w:r w:rsidR="005D68F1" w:rsidRPr="001023A8">
        <w:rPr>
          <w:spacing w:val="-2"/>
        </w:rPr>
        <w:t>000 platser.</w:t>
      </w:r>
      <w:r w:rsidR="005A301D" w:rsidRPr="001023A8">
        <w:rPr>
          <w:spacing w:val="-2"/>
        </w:rPr>
        <w:t xml:space="preserve"> Det blir 5</w:t>
      </w:r>
      <w:r w:rsidR="005A301D" w:rsidRPr="001023A8">
        <w:t>00 nya platser år 2007 och ytterligare 500 platser 2008.</w:t>
      </w:r>
      <w:r w:rsidR="005D68F1" w:rsidRPr="001023A8">
        <w:t xml:space="preserve"> Därför ökar anslag 25:13 med 1 miljon </w:t>
      </w:r>
      <w:r w:rsidR="00DB62CC" w:rsidRPr="001023A8">
        <w:t xml:space="preserve">kronor </w:t>
      </w:r>
      <w:r w:rsidR="005D68F1" w:rsidRPr="001023A8">
        <w:t xml:space="preserve">år 2007 och 4,5 miljoner </w:t>
      </w:r>
      <w:r w:rsidR="00DB62CC" w:rsidRPr="001023A8">
        <w:t xml:space="preserve">kronor </w:t>
      </w:r>
      <w:r w:rsidR="005D68F1" w:rsidRPr="001023A8">
        <w:t xml:space="preserve">år 2008 och 2009. </w:t>
      </w:r>
    </w:p>
    <w:p w:rsidR="001852AB" w:rsidRPr="001023A8" w:rsidRDefault="005D68F1">
      <w:pPr>
        <w:pStyle w:val="Normaltindrag"/>
        <w:shd w:val="clear" w:color="000000" w:fill="auto"/>
      </w:pPr>
      <w:r w:rsidRPr="001023A8">
        <w:t>Anslag 25:14 Bidrag till kvalificerad yrkesutbildning ökas med 45 milj</w:t>
      </w:r>
      <w:r w:rsidRPr="001023A8">
        <w:t>o</w:t>
      </w:r>
      <w:r w:rsidRPr="001023A8">
        <w:t>ner 2007, vilket motsvarar 500 nya platser höstterminen 2007. För de efterfö</w:t>
      </w:r>
      <w:r w:rsidRPr="001023A8">
        <w:t>l</w:t>
      </w:r>
      <w:r w:rsidRPr="001023A8">
        <w:t xml:space="preserve">jande åren höjs anslaget med 150 miljoner </w:t>
      </w:r>
      <w:r w:rsidR="00DB62CC" w:rsidRPr="001023A8">
        <w:t xml:space="preserve">kronor </w:t>
      </w:r>
      <w:r w:rsidRPr="001023A8">
        <w:t xml:space="preserve">2008 och 180 miljoner </w:t>
      </w:r>
      <w:r w:rsidR="00DB62CC" w:rsidRPr="001023A8">
        <w:t xml:space="preserve">kronor </w:t>
      </w:r>
      <w:r w:rsidRPr="001023A8">
        <w:t xml:space="preserve">2009. Anslagen inbegriper både permanentningen av de tillfälliga tusen utbildningsplatserna och </w:t>
      </w:r>
      <w:r w:rsidR="00E55409" w:rsidRPr="001023A8">
        <w:t>1 000</w:t>
      </w:r>
      <w:r w:rsidRPr="001023A8">
        <w:t xml:space="preserve"> nya platser. </w:t>
      </w:r>
    </w:p>
    <w:p w:rsidR="00774F09" w:rsidRPr="001023A8" w:rsidRDefault="001852AB">
      <w:pPr>
        <w:pStyle w:val="Rubrik2"/>
        <w:shd w:val="clear" w:color="000000" w:fill="auto"/>
      </w:pPr>
      <w:r w:rsidRPr="001023A8">
        <w:t xml:space="preserve"> </w:t>
      </w:r>
      <w:r w:rsidR="00774F09" w:rsidRPr="001023A8">
        <w:t>Universitet och högskolor</w:t>
      </w:r>
    </w:p>
    <w:p w:rsidR="006A743E" w:rsidRPr="001023A8" w:rsidRDefault="006A743E">
      <w:pPr>
        <w:pStyle w:val="Rubrik3"/>
        <w:shd w:val="clear" w:color="000000" w:fill="auto"/>
        <w:spacing w:before="120"/>
      </w:pPr>
      <w:r w:rsidRPr="001023A8">
        <w:t>Antagning</w:t>
      </w:r>
    </w:p>
    <w:p w:rsidR="006A743E" w:rsidRPr="001023A8" w:rsidRDefault="006A743E">
      <w:pPr>
        <w:shd w:val="clear" w:color="000000" w:fill="auto"/>
      </w:pPr>
      <w:r w:rsidRPr="001023A8">
        <w:t>Regeringen aviserar i budgetpropositionen att</w:t>
      </w:r>
      <w:r w:rsidR="002310ED" w:rsidRPr="001023A8">
        <w:t xml:space="preserve"> de överväger att avskaffa den </w:t>
      </w:r>
      <w:r w:rsidR="00E55409" w:rsidRPr="001023A8">
        <w:t xml:space="preserve">s.k. </w:t>
      </w:r>
      <w:r w:rsidR="002310ED" w:rsidRPr="001023A8">
        <w:t>25:4-regeln. Regeln innebär att den som är 25 år och har arbetat i fyra år samt har kunskaper i svenska och engelska har grundläggande behörighet till högskolan. Regeringen vill ersätta regeln med en bedömning av den sökandes reella kompetens. Miljöpartiet vänder sig mot ett avskaffande av 25:4-rege</w:t>
      </w:r>
      <w:r w:rsidR="002D027D" w:rsidRPr="001023A8">
        <w:t>ln, eftersom den främjar breddad</w:t>
      </w:r>
      <w:r w:rsidR="002310ED" w:rsidRPr="001023A8">
        <w:t xml:space="preserve"> rekrytering. Vi är samtidigt positiva till att system utvecklas för att man ska kunna bedöma sökandes kompetens. Det ena utesluter inte det andra. Det behövs fler vägar in i högskolan, inte färre. Mi</w:t>
      </w:r>
      <w:r w:rsidR="002310ED" w:rsidRPr="001023A8">
        <w:t>l</w:t>
      </w:r>
      <w:r w:rsidR="002310ED" w:rsidRPr="001023A8">
        <w:t>jöpartiet anser därför att riksdagen för regeringen ska tillkännage som sin mening att 25:4-regeln ska finnas kvar.</w:t>
      </w:r>
    </w:p>
    <w:p w:rsidR="003312D5" w:rsidRPr="001023A8" w:rsidRDefault="003312D5">
      <w:pPr>
        <w:pStyle w:val="Rubrik3"/>
        <w:shd w:val="clear" w:color="000000" w:fill="auto"/>
      </w:pPr>
      <w:r w:rsidRPr="001023A8">
        <w:t>Studenternas övergång mellan studier och arbete</w:t>
      </w:r>
    </w:p>
    <w:p w:rsidR="00DC3CB1" w:rsidRPr="001023A8" w:rsidRDefault="00DC3CB1">
      <w:pPr>
        <w:shd w:val="clear" w:color="000000" w:fill="auto"/>
        <w:autoSpaceDE w:val="0"/>
        <w:autoSpaceDN w:val="0"/>
        <w:adjustRightInd w:val="0"/>
        <w:rPr>
          <w:szCs w:val="24"/>
        </w:rPr>
      </w:pPr>
      <w:r w:rsidRPr="001023A8">
        <w:rPr>
          <w:szCs w:val="24"/>
        </w:rPr>
        <w:t xml:space="preserve">Vi vill kraftigt förbättra lärosätenas stöd till att förbereda studenterna och att hitta en väg ut på arbetsmarknaden. Det kan handla om att ordna praktik, hitta samarbeten kring examensarbete eller på annat sätt förmedla kontakter mellan </w:t>
      </w:r>
      <w:r w:rsidRPr="001023A8">
        <w:rPr>
          <w:spacing w:val="-2"/>
          <w:szCs w:val="24"/>
        </w:rPr>
        <w:t>studenter och arbetsgivar</w:t>
      </w:r>
      <w:r w:rsidR="00E55409" w:rsidRPr="001023A8">
        <w:rPr>
          <w:spacing w:val="-2"/>
          <w:szCs w:val="24"/>
        </w:rPr>
        <w:t>e. Uppgiften är särskilt viktig</w:t>
      </w:r>
      <w:r w:rsidRPr="001023A8">
        <w:rPr>
          <w:spacing w:val="-2"/>
          <w:szCs w:val="24"/>
        </w:rPr>
        <w:t xml:space="preserve"> för studenter f</w:t>
      </w:r>
      <w:r w:rsidRPr="001023A8">
        <w:rPr>
          <w:szCs w:val="24"/>
        </w:rPr>
        <w:t>rån studie</w:t>
      </w:r>
      <w:r w:rsidR="00E55409" w:rsidRPr="001023A8">
        <w:rPr>
          <w:szCs w:val="24"/>
        </w:rPr>
        <w:softHyphen/>
      </w:r>
      <w:r w:rsidRPr="001023A8">
        <w:rPr>
          <w:szCs w:val="24"/>
        </w:rPr>
        <w:t>ovana hem, som ofta saknar egna kontakter med potentiella arbetsgivare, och kunskap kring akademikers arbetsmarknad.</w:t>
      </w:r>
    </w:p>
    <w:p w:rsidR="00DC3CB1" w:rsidRPr="001023A8" w:rsidRDefault="00A149E5">
      <w:pPr>
        <w:pStyle w:val="Normaltindrag"/>
        <w:shd w:val="clear" w:color="000000" w:fill="auto"/>
      </w:pPr>
      <w:r w:rsidRPr="001023A8">
        <w:t xml:space="preserve">Anslag 25:70 rymmer </w:t>
      </w:r>
      <w:r w:rsidR="00DC3CB1" w:rsidRPr="001023A8">
        <w:t xml:space="preserve">därför </w:t>
      </w:r>
      <w:r w:rsidR="001852AB" w:rsidRPr="001023A8">
        <w:t>en satsning om 50 miljoner kronor 2007 och 100 miljoner kronor 2008 och 2009 för att lärosätena ska utveckla sin ver</w:t>
      </w:r>
      <w:r w:rsidR="001852AB" w:rsidRPr="001023A8">
        <w:t>k</w:t>
      </w:r>
      <w:r w:rsidR="001852AB" w:rsidRPr="001023A8">
        <w:t xml:space="preserve">samhet för att stötta studenterna i övergången mellan studier och arbete. </w:t>
      </w:r>
      <w:r w:rsidRPr="001023A8">
        <w:t>Me</w:t>
      </w:r>
      <w:r w:rsidRPr="001023A8">
        <w:t>d</w:t>
      </w:r>
      <w:r w:rsidRPr="001023A8">
        <w:t xml:space="preserve">len placeras i detta anslag </w:t>
      </w:r>
      <w:r w:rsidR="001852AB" w:rsidRPr="001023A8">
        <w:t>för att sedan fördelas ut till respektive lärosäte.</w:t>
      </w:r>
      <w:r w:rsidRPr="001023A8">
        <w:t xml:space="preserve"> </w:t>
      </w:r>
    </w:p>
    <w:p w:rsidR="00A149E5" w:rsidRPr="001023A8" w:rsidRDefault="00A149E5">
      <w:pPr>
        <w:pStyle w:val="Normaltindrag"/>
        <w:shd w:val="clear" w:color="000000" w:fill="auto"/>
        <w:rPr>
          <w:szCs w:val="24"/>
        </w:rPr>
      </w:pPr>
      <w:r w:rsidRPr="001023A8">
        <w:rPr>
          <w:szCs w:val="24"/>
        </w:rPr>
        <w:t>På de flesta lärosäten förekommer det olika former av aktiviteter för att hjälpa studenter ut på arbetsmarknade</w:t>
      </w:r>
      <w:r w:rsidR="00DC3CB1" w:rsidRPr="001023A8">
        <w:rPr>
          <w:szCs w:val="24"/>
        </w:rPr>
        <w:t>n. Men dessa verksamheter är underd</w:t>
      </w:r>
      <w:r w:rsidR="00DC3CB1" w:rsidRPr="001023A8">
        <w:rPr>
          <w:szCs w:val="24"/>
        </w:rPr>
        <w:t>i</w:t>
      </w:r>
      <w:r w:rsidR="00DC3CB1" w:rsidRPr="001023A8">
        <w:rPr>
          <w:szCs w:val="24"/>
        </w:rPr>
        <w:t>mensionerade för</w:t>
      </w:r>
      <w:r w:rsidRPr="001023A8">
        <w:rPr>
          <w:szCs w:val="24"/>
        </w:rPr>
        <w:t xml:space="preserve"> behovet.</w:t>
      </w:r>
      <w:r w:rsidR="00DC3CB1" w:rsidRPr="001023A8">
        <w:rPr>
          <w:szCs w:val="24"/>
        </w:rPr>
        <w:t xml:space="preserve"> H</w:t>
      </w:r>
      <w:r w:rsidRPr="001023A8">
        <w:rPr>
          <w:szCs w:val="24"/>
        </w:rPr>
        <w:t>ögskolorna har för lite pengar för att på allvar kunna hjälpa studenterna med övergången från studier till arbetsliv. Exempe</w:t>
      </w:r>
      <w:r w:rsidRPr="001023A8">
        <w:rPr>
          <w:szCs w:val="24"/>
        </w:rPr>
        <w:t>l</w:t>
      </w:r>
      <w:r w:rsidRPr="001023A8">
        <w:rPr>
          <w:szCs w:val="24"/>
        </w:rPr>
        <w:t>vis finns det vid Stockholms universitet ett Career Center med två personer som ska hjälpa 37 000 studenter. Det är förstås alldeles otillräckligt.</w:t>
      </w:r>
    </w:p>
    <w:p w:rsidR="003312D5" w:rsidRPr="001023A8" w:rsidRDefault="003312D5">
      <w:pPr>
        <w:pStyle w:val="Rubrik3"/>
        <w:shd w:val="clear" w:color="000000" w:fill="auto"/>
      </w:pPr>
      <w:r w:rsidRPr="001023A8">
        <w:t>Praktik för högskolestudenter</w:t>
      </w:r>
    </w:p>
    <w:p w:rsidR="00046D2D" w:rsidRPr="001023A8" w:rsidRDefault="00046D2D">
      <w:pPr>
        <w:shd w:val="clear" w:color="000000" w:fill="auto"/>
        <w:autoSpaceDE w:val="0"/>
        <w:autoSpaceDN w:val="0"/>
        <w:adjustRightInd w:val="0"/>
        <w:rPr>
          <w:szCs w:val="24"/>
        </w:rPr>
      </w:pPr>
      <w:r w:rsidRPr="001023A8">
        <w:rPr>
          <w:szCs w:val="24"/>
        </w:rPr>
        <w:t>Mycket tyder på att återkommande kontakter med arbetsmarknaden under utbildnings</w:t>
      </w:r>
      <w:r w:rsidR="00E00E5E" w:rsidRPr="001023A8">
        <w:rPr>
          <w:szCs w:val="24"/>
        </w:rPr>
        <w:softHyphen/>
      </w:r>
      <w:r w:rsidRPr="001023A8">
        <w:rPr>
          <w:szCs w:val="24"/>
        </w:rPr>
        <w:t>tiden gör det lättare att få jobb efter examen. Egna kontakter med arbetsgivare är ofta avgörande för hur man får sitt första jobb. För studenterna är det dessutom viktigt att under studietiden få erfarenhet av olika sätt att tillämpa den kunskap man skaffar sig. Mer praktik innebär också att fler a</w:t>
      </w:r>
      <w:r w:rsidRPr="001023A8">
        <w:rPr>
          <w:szCs w:val="24"/>
        </w:rPr>
        <w:t>r</w:t>
      </w:r>
      <w:r w:rsidRPr="001023A8">
        <w:rPr>
          <w:szCs w:val="24"/>
        </w:rPr>
        <w:t>betsgivare får erfara hur högutbildade kan bidra till deras verksamhet. Milj</w:t>
      </w:r>
      <w:r w:rsidRPr="001023A8">
        <w:rPr>
          <w:szCs w:val="24"/>
        </w:rPr>
        <w:t>ö</w:t>
      </w:r>
      <w:r w:rsidRPr="001023A8">
        <w:rPr>
          <w:szCs w:val="24"/>
        </w:rPr>
        <w:t>partiet vill därför införa ett övergripande mål om minst tio veckors praktik för alla högskoleutbildningar som omfattar tre år eller mer. Denna praktik ska inte vara obligatorisk, men det ska vara en rättighet för studenter som så vill. Lärosätena ska vara skyldiga att anordna en kvalitativ och utvecklande pra</w:t>
      </w:r>
      <w:r w:rsidRPr="001023A8">
        <w:rPr>
          <w:szCs w:val="24"/>
        </w:rPr>
        <w:t>k</w:t>
      </w:r>
      <w:r w:rsidRPr="001023A8">
        <w:rPr>
          <w:szCs w:val="24"/>
        </w:rPr>
        <w:t>tik åt alla studenter som vill ha praktik</w:t>
      </w:r>
      <w:r w:rsidR="009B395E" w:rsidRPr="001023A8">
        <w:rPr>
          <w:szCs w:val="24"/>
        </w:rPr>
        <w:t>.</w:t>
      </w:r>
      <w:r w:rsidRPr="001023A8">
        <w:rPr>
          <w:szCs w:val="24"/>
        </w:rPr>
        <w:t xml:space="preserve"> </w:t>
      </w:r>
      <w:r w:rsidR="006A743E" w:rsidRPr="001023A8">
        <w:rPr>
          <w:szCs w:val="24"/>
        </w:rPr>
        <w:t xml:space="preserve">Målet sätts år 2007 och ska </w:t>
      </w:r>
      <w:r w:rsidR="009B395E" w:rsidRPr="001023A8">
        <w:rPr>
          <w:szCs w:val="24"/>
        </w:rPr>
        <w:t>vara up</w:t>
      </w:r>
      <w:r w:rsidR="009B395E" w:rsidRPr="001023A8">
        <w:rPr>
          <w:szCs w:val="24"/>
        </w:rPr>
        <w:t>p</w:t>
      </w:r>
      <w:r w:rsidR="009B395E" w:rsidRPr="001023A8">
        <w:rPr>
          <w:szCs w:val="24"/>
        </w:rPr>
        <w:t>fyllt år 2012.</w:t>
      </w:r>
    </w:p>
    <w:p w:rsidR="00046D2D" w:rsidRPr="001023A8" w:rsidRDefault="009B395E">
      <w:pPr>
        <w:pStyle w:val="Normaltindrag"/>
        <w:shd w:val="clear" w:color="000000" w:fill="auto"/>
      </w:pPr>
      <w:r w:rsidRPr="001023A8">
        <w:t>Lärosätena</w:t>
      </w:r>
      <w:r w:rsidR="00046D2D" w:rsidRPr="001023A8">
        <w:t xml:space="preserve"> ska ha stor frihet att avgöra hur praktiken ska utformas och hur den ska inlemmas i utbildningen. Praktiken ska dock ske i form av kurser som ger poäng och som berättigar till studiemedel. Det är enormt viktigt att pra</w:t>
      </w:r>
      <w:r w:rsidR="00046D2D" w:rsidRPr="001023A8">
        <w:t>k</w:t>
      </w:r>
      <w:r w:rsidR="00046D2D" w:rsidRPr="001023A8">
        <w:t>tikplatserna håller hög kvalitet. Lärosätena kommer att tilldelas medel för praktiken och förutsätts använda en del av pengarna för att ge handledare viss utbildning. Högskoleverket får ansvar för att göra en övergri</w:t>
      </w:r>
      <w:r w:rsidRPr="001023A8">
        <w:t>pande utformning av systemet samt</w:t>
      </w:r>
      <w:r w:rsidR="00046D2D" w:rsidRPr="001023A8">
        <w:t xml:space="preserve"> följa och utvärdera praktik</w:t>
      </w:r>
      <w:r w:rsidR="00E00E5E" w:rsidRPr="001023A8">
        <w:softHyphen/>
      </w:r>
      <w:r w:rsidR="00046D2D" w:rsidRPr="001023A8">
        <w:t>verksamheten bland annat ur kvalitetshänseende.</w:t>
      </w:r>
    </w:p>
    <w:p w:rsidR="001852AB" w:rsidRPr="001023A8" w:rsidRDefault="00A149E5">
      <w:pPr>
        <w:pStyle w:val="Normaltindrag"/>
        <w:shd w:val="clear" w:color="000000" w:fill="auto"/>
      </w:pPr>
      <w:r w:rsidRPr="001023A8">
        <w:rPr>
          <w:szCs w:val="24"/>
        </w:rPr>
        <w:t>Miljöpartiet ökar för detta ändamål anslag 25:70</w:t>
      </w:r>
      <w:r w:rsidR="001852AB" w:rsidRPr="001023A8">
        <w:t xml:space="preserve"> </w:t>
      </w:r>
      <w:r w:rsidRPr="001023A8">
        <w:t xml:space="preserve">med </w:t>
      </w:r>
      <w:r w:rsidR="00DB62CC" w:rsidRPr="001023A8">
        <w:t xml:space="preserve">50 miljoner kronor 2007, </w:t>
      </w:r>
      <w:r w:rsidR="001852AB" w:rsidRPr="001023A8">
        <w:t xml:space="preserve">100 miljoner </w:t>
      </w:r>
      <w:r w:rsidR="00DB62CC" w:rsidRPr="001023A8">
        <w:t xml:space="preserve">kronor </w:t>
      </w:r>
      <w:r w:rsidR="001852AB" w:rsidRPr="001023A8">
        <w:t xml:space="preserve">år 2008 och 200 miljoner </w:t>
      </w:r>
      <w:r w:rsidR="00DB62CC" w:rsidRPr="001023A8">
        <w:t xml:space="preserve">kronor </w:t>
      </w:r>
      <w:r w:rsidR="001852AB" w:rsidRPr="001023A8">
        <w:t>2009</w:t>
      </w:r>
      <w:r w:rsidRPr="001023A8">
        <w:t>. Medlen ska</w:t>
      </w:r>
      <w:r w:rsidR="001852AB" w:rsidRPr="001023A8">
        <w:t xml:space="preserve"> fördela</w:t>
      </w:r>
      <w:r w:rsidRPr="001023A8">
        <w:t>s</w:t>
      </w:r>
      <w:r w:rsidR="001852AB" w:rsidRPr="001023A8">
        <w:t xml:space="preserve"> till lärosätena för arbetet med praktikplatser inom högskoleprogra</w:t>
      </w:r>
      <w:r w:rsidR="001852AB" w:rsidRPr="001023A8">
        <w:t>m</w:t>
      </w:r>
      <w:r w:rsidR="001852AB" w:rsidRPr="001023A8">
        <w:t xml:space="preserve">men. Målet ska vara uppnått 2012 och då kommer 400 miljoner </w:t>
      </w:r>
      <w:r w:rsidR="00DB62CC" w:rsidRPr="001023A8">
        <w:t xml:space="preserve">kronor </w:t>
      </w:r>
      <w:r w:rsidR="001852AB" w:rsidRPr="001023A8">
        <w:t>att fördelas för detta ändamål.</w:t>
      </w:r>
      <w:r w:rsidR="00E00E5E" w:rsidRPr="001023A8">
        <w:t xml:space="preserve"> </w:t>
      </w:r>
      <w:r w:rsidR="001852AB" w:rsidRPr="001023A8">
        <w:t xml:space="preserve">Högskoleverket </w:t>
      </w:r>
      <w:r w:rsidR="00774F09" w:rsidRPr="001023A8">
        <w:t xml:space="preserve">tilldelas </w:t>
      </w:r>
      <w:r w:rsidR="001852AB" w:rsidRPr="001023A8">
        <w:t>20 miljoner kronor</w:t>
      </w:r>
      <w:r w:rsidR="00774F09" w:rsidRPr="001023A8">
        <w:t>, a</w:t>
      </w:r>
      <w:r w:rsidR="00774F09" w:rsidRPr="001023A8">
        <w:t>n</w:t>
      </w:r>
      <w:r w:rsidR="00774F09" w:rsidRPr="001023A8">
        <w:t>slag 25:73,</w:t>
      </w:r>
      <w:r w:rsidR="001852AB" w:rsidRPr="001023A8">
        <w:t xml:space="preserve"> för att utarbeta ett system för vårt förslag med </w:t>
      </w:r>
      <w:r w:rsidR="00E55409" w:rsidRPr="001023A8">
        <w:t>tio</w:t>
      </w:r>
      <w:r w:rsidR="001852AB" w:rsidRPr="001023A8">
        <w:t xml:space="preserve"> veckors praktik på alla högskoleutbildningar och börja arbetet med detta.</w:t>
      </w:r>
    </w:p>
    <w:p w:rsidR="00635615" w:rsidRPr="001023A8" w:rsidRDefault="00635615">
      <w:pPr>
        <w:pStyle w:val="Rubrik3"/>
        <w:shd w:val="clear" w:color="000000" w:fill="auto"/>
      </w:pPr>
      <w:r w:rsidRPr="001023A8">
        <w:t>Forskning</w:t>
      </w:r>
    </w:p>
    <w:p w:rsidR="00A725F7" w:rsidRPr="001023A8" w:rsidRDefault="00635615">
      <w:pPr>
        <w:shd w:val="clear" w:color="000000" w:fill="auto"/>
      </w:pPr>
      <w:r w:rsidRPr="001023A8">
        <w:t xml:space="preserve">Regeringen har fördelat en forskningssatsning om 200 miljoner kronor år 2007, 300 miljoner kronor år 2008 och 400 miljoner kronor år 2009 på de olika lärosätena. </w:t>
      </w:r>
      <w:r w:rsidR="00A725F7" w:rsidRPr="001023A8">
        <w:t>Samtidigt har man valt att avskaffa Vinnovas forsknings</w:t>
      </w:r>
      <w:r w:rsidR="00E55409" w:rsidRPr="001023A8">
        <w:softHyphen/>
      </w:r>
      <w:r w:rsidR="00A725F7" w:rsidRPr="001023A8">
        <w:t>program</w:t>
      </w:r>
      <w:r w:rsidR="002D027D" w:rsidRPr="001023A8">
        <w:t xml:space="preserve"> Forska och v</w:t>
      </w:r>
      <w:r w:rsidR="00A725F7" w:rsidRPr="001023A8">
        <w:t>äx.</w:t>
      </w:r>
    </w:p>
    <w:p w:rsidR="006A743E" w:rsidRPr="001023A8" w:rsidRDefault="00A725F7">
      <w:pPr>
        <w:pStyle w:val="Normaltindrag"/>
        <w:shd w:val="clear" w:color="000000" w:fill="auto"/>
      </w:pPr>
      <w:r w:rsidRPr="001023A8">
        <w:t>Forskning och produktutveckling i små företag är grundläggande för att utveckla svenskt näringsliv, skapa nya jobb och</w:t>
      </w:r>
      <w:r w:rsidR="002D027D" w:rsidRPr="001023A8">
        <w:t xml:space="preserve"> nya företag. Genom pr</w:t>
      </w:r>
      <w:r w:rsidR="002D027D" w:rsidRPr="001023A8">
        <w:t>o</w:t>
      </w:r>
      <w:r w:rsidR="002D027D" w:rsidRPr="001023A8">
        <w:t>grammet F</w:t>
      </w:r>
      <w:r w:rsidRPr="001023A8">
        <w:t>orska och väx har mindre företag kunnat söka medel för att forska och utveckla nya produkter. Forska och väx har sedan programmet startade 2006 varit mycket framgångsrikt och eftertraktat. Regeringe</w:t>
      </w:r>
      <w:r w:rsidR="006A743E" w:rsidRPr="001023A8">
        <w:t>n</w:t>
      </w:r>
      <w:r w:rsidRPr="001023A8">
        <w:t xml:space="preserve"> väljer nu i sin budgetproposition att avskaffa programmet</w:t>
      </w:r>
      <w:r w:rsidR="00E55409" w:rsidRPr="001023A8">
        <w:t>,</w:t>
      </w:r>
      <w:r w:rsidRPr="001023A8">
        <w:t xml:space="preserve"> </w:t>
      </w:r>
      <w:r w:rsidR="00DB62CC" w:rsidRPr="001023A8">
        <w:t xml:space="preserve">vilket </w:t>
      </w:r>
      <w:r w:rsidRPr="001023A8">
        <w:t>tyder på bristande insikt i de små företagens behov.</w:t>
      </w:r>
    </w:p>
    <w:p w:rsidR="00A725F7" w:rsidRPr="001023A8" w:rsidRDefault="006A743E">
      <w:pPr>
        <w:pStyle w:val="Normaltindrag"/>
        <w:shd w:val="clear" w:color="000000" w:fill="auto"/>
      </w:pPr>
      <w:r w:rsidRPr="001023A8">
        <w:t>Miljöpartiet står inte bakom regeringens forskn</w:t>
      </w:r>
      <w:r w:rsidR="002D027D" w:rsidRPr="001023A8">
        <w:t xml:space="preserve">ingssatsning. Det är </w:t>
      </w:r>
      <w:r w:rsidRPr="001023A8">
        <w:t>ang</w:t>
      </w:r>
      <w:r w:rsidRPr="001023A8">
        <w:t>e</w:t>
      </w:r>
      <w:r w:rsidRPr="001023A8">
        <w:t xml:space="preserve">läget att lärosätena får större forskningsresurser. </w:t>
      </w:r>
      <w:r w:rsidR="002D027D" w:rsidRPr="001023A8">
        <w:t xml:space="preserve">Därför avsatte vi inom ramen för samarbetet med den förra regeringen </w:t>
      </w:r>
      <w:r w:rsidRPr="001023A8">
        <w:t>2,34 miljarder</w:t>
      </w:r>
      <w:r w:rsidR="002D027D" w:rsidRPr="001023A8">
        <w:t xml:space="preserve"> </w:t>
      </w:r>
      <w:r w:rsidR="00DB62CC" w:rsidRPr="001023A8">
        <w:t xml:space="preserve">kronor </w:t>
      </w:r>
      <w:r w:rsidRPr="001023A8">
        <w:t>mellan 2005 och 2009</w:t>
      </w:r>
      <w:r w:rsidR="002D027D" w:rsidRPr="001023A8">
        <w:t>. Nu</w:t>
      </w:r>
      <w:r w:rsidRPr="001023A8">
        <w:t xml:space="preserve"> prioriterar vi att fortsätta stimulera </w:t>
      </w:r>
      <w:r w:rsidR="00A725F7" w:rsidRPr="001023A8">
        <w:t xml:space="preserve">forskning och utveckling i svenska småföretag och anslår därför 200 miljoner </w:t>
      </w:r>
      <w:r w:rsidR="00DB62CC" w:rsidRPr="001023A8">
        <w:t xml:space="preserve">kronor </w:t>
      </w:r>
      <w:r w:rsidR="00A725F7" w:rsidRPr="001023A8">
        <w:t xml:space="preserve">mer till </w:t>
      </w:r>
      <w:r w:rsidRPr="001023A8">
        <w:t>Forska och väx (anslag</w:t>
      </w:r>
      <w:r w:rsidR="00A725F7" w:rsidRPr="001023A8">
        <w:t xml:space="preserve"> 38:2</w:t>
      </w:r>
      <w:r w:rsidRPr="001023A8">
        <w:t>).</w:t>
      </w:r>
    </w:p>
    <w:p w:rsidR="00635615" w:rsidRPr="001023A8" w:rsidRDefault="00635615">
      <w:pPr>
        <w:pStyle w:val="Normaltindrag"/>
        <w:shd w:val="clear" w:color="000000" w:fill="auto"/>
      </w:pPr>
      <w:r w:rsidRPr="001023A8">
        <w:t>Eftersom regeringen inte tydliggör hur de 200 miljoner</w:t>
      </w:r>
      <w:r w:rsidR="00DB62CC" w:rsidRPr="001023A8">
        <w:t xml:space="preserve"> kronorna </w:t>
      </w:r>
      <w:r w:rsidRPr="001023A8">
        <w:t>fördelats på de olika lärosätena har vi inte möjlighet att redovisa hur mycket som ska dras från respektive anslag. I stället minskar vi anslag 25:70 med 200 milj</w:t>
      </w:r>
      <w:r w:rsidRPr="001023A8">
        <w:t>o</w:t>
      </w:r>
      <w:r w:rsidRPr="001023A8">
        <w:t>ner kronor. Anslaget ska sedan kompenseras pr</w:t>
      </w:r>
      <w:r w:rsidR="00E00E5E" w:rsidRPr="001023A8">
        <w:t>oportionerligt från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3A8">
        <w:trPr>
          <w:cantSplit/>
        </w:trPr>
        <w:tc>
          <w:tcPr>
            <w:tcW w:w="3046" w:type="dxa"/>
          </w:tcPr>
          <w:p w:rsidR="00EB5A4A" w:rsidRPr="001023A8" w:rsidRDefault="00EB5A4A">
            <w:pPr>
              <w:pStyle w:val="UnderskriftDatum"/>
              <w:shd w:val="clear" w:color="000000" w:fill="auto"/>
              <w:spacing w:before="240"/>
            </w:pPr>
            <w:r w:rsidRPr="001023A8">
              <w:t>Stockholm den 30 oktober 2006</w:t>
            </w:r>
          </w:p>
        </w:tc>
        <w:tc>
          <w:tcPr>
            <w:tcW w:w="3047" w:type="dxa"/>
          </w:tcPr>
          <w:p w:rsidR="00EB5A4A" w:rsidRPr="001023A8" w:rsidRDefault="00EB5A4A">
            <w:pPr>
              <w:pStyle w:val="Underskrifter"/>
              <w:shd w:val="clear" w:color="000000" w:fill="auto"/>
              <w:spacing w:before="240"/>
            </w:pPr>
          </w:p>
        </w:tc>
      </w:tr>
      <w:tr w:rsidR="00000000" w:rsidRPr="001023A8">
        <w:trPr>
          <w:cantSplit/>
        </w:trPr>
        <w:tc>
          <w:tcPr>
            <w:tcW w:w="3046" w:type="dxa"/>
          </w:tcPr>
          <w:p w:rsidR="00EB5A4A" w:rsidRPr="001023A8" w:rsidRDefault="00EB5A4A">
            <w:pPr>
              <w:pStyle w:val="Underskrifter"/>
              <w:shd w:val="clear" w:color="000000" w:fill="auto"/>
            </w:pPr>
            <w:r w:rsidRPr="001023A8">
              <w:t>Mats Pertoft (mp)</w:t>
            </w:r>
          </w:p>
        </w:tc>
        <w:tc>
          <w:tcPr>
            <w:tcW w:w="3046" w:type="dxa"/>
          </w:tcPr>
          <w:p w:rsidR="00EB5A4A" w:rsidRPr="001023A8" w:rsidRDefault="00EB5A4A">
            <w:pPr>
              <w:pStyle w:val="Underskrifter"/>
              <w:shd w:val="clear" w:color="000000" w:fill="auto"/>
            </w:pPr>
          </w:p>
        </w:tc>
      </w:tr>
      <w:tr w:rsidR="00000000" w:rsidRPr="001023A8">
        <w:trPr>
          <w:cantSplit/>
        </w:trPr>
        <w:tc>
          <w:tcPr>
            <w:tcW w:w="3046" w:type="dxa"/>
          </w:tcPr>
          <w:p w:rsidR="00EB5A4A" w:rsidRPr="001023A8" w:rsidRDefault="00EB5A4A">
            <w:pPr>
              <w:pStyle w:val="Underskrifter"/>
              <w:shd w:val="clear" w:color="000000" w:fill="auto"/>
            </w:pPr>
            <w:r w:rsidRPr="001023A8">
              <w:t>Peter Rådberg (mp)</w:t>
            </w:r>
          </w:p>
        </w:tc>
        <w:tc>
          <w:tcPr>
            <w:tcW w:w="3046" w:type="dxa"/>
          </w:tcPr>
          <w:p w:rsidR="00EB5A4A" w:rsidRPr="001023A8" w:rsidRDefault="00EB5A4A">
            <w:pPr>
              <w:pStyle w:val="Underskrifter"/>
              <w:shd w:val="clear" w:color="000000" w:fill="auto"/>
            </w:pPr>
            <w:r w:rsidRPr="001023A8">
              <w:t>Max  Andersson (mp)</w:t>
            </w:r>
          </w:p>
        </w:tc>
      </w:tr>
    </w:tbl>
    <w:p w:rsidR="00A725F7" w:rsidRPr="001023A8" w:rsidRDefault="00A725F7">
      <w:pPr>
        <w:pStyle w:val="Normaltindrag"/>
        <w:shd w:val="clear" w:color="000000" w:fill="auto"/>
      </w:pPr>
    </w:p>
    <w:sectPr w:rsidR="00A725F7" w:rsidRPr="001023A8" w:rsidSect="00F51A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A4A" w:rsidRPr="001023A8" w:rsidRDefault="00EB5A4A">
      <w:r w:rsidRPr="001023A8">
        <w:separator/>
      </w:r>
    </w:p>
  </w:endnote>
  <w:endnote w:type="continuationSeparator" w:id="0">
    <w:p w:rsidR="00EB5A4A" w:rsidRPr="001023A8" w:rsidRDefault="00EB5A4A">
      <w:r w:rsidRPr="00102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6" w:rsidRPr="001023A8" w:rsidRDefault="001023A8" w:rsidP="00F51A7E">
    <w:pPr>
      <w:pStyle w:val="Sidfot"/>
    </w:pPr>
    <w:r w:rsidRPr="00102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414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7E" w:rsidRDefault="00EB5A4A">
                          <w:pPr>
                            <w:pStyle w:val="NormalS5sidnrV"/>
                          </w:pPr>
                          <w:r>
                            <w:fldChar w:fldCharType="begin"/>
                          </w:r>
                          <w:r w:rsidR="00F51A7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1A7E" w:rsidRDefault="00EB5A4A">
                    <w:pPr>
                      <w:pStyle w:val="NormalS5sidnrV"/>
                    </w:pPr>
                    <w:r>
                      <w:fldChar w:fldCharType="begin"/>
                    </w:r>
                    <w:r w:rsidR="00F51A7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6" w:rsidRPr="001023A8" w:rsidRDefault="001023A8" w:rsidP="00F51A7E">
    <w:pPr>
      <w:pStyle w:val="Sidfot"/>
    </w:pPr>
    <w:r w:rsidRPr="00102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539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7E" w:rsidRDefault="00EB5A4A">
                          <w:pPr>
                            <w:pStyle w:val="NormalS5sidnrH"/>
                            <w:ind w:right="0"/>
                          </w:pPr>
                          <w:r>
                            <w:fldChar w:fldCharType="begin"/>
                          </w:r>
                          <w:r w:rsidR="00F51A7E">
                            <w:instrText xml:space="preserve"> PAGE *\charformat</w:instrText>
                          </w:r>
                          <w:r>
                            <w:fldChar w:fldCharType="separate"/>
                          </w:r>
                          <w:r w:rsidR="0067708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1A7E" w:rsidRDefault="00EB5A4A">
                    <w:pPr>
                      <w:pStyle w:val="NormalS5sidnrH"/>
                      <w:ind w:right="0"/>
                    </w:pPr>
                    <w:r>
                      <w:fldChar w:fldCharType="begin"/>
                    </w:r>
                    <w:r w:rsidR="00F51A7E">
                      <w:instrText xml:space="preserve"> PAGE *\charformat</w:instrText>
                    </w:r>
                    <w:r>
                      <w:fldChar w:fldCharType="separate"/>
                    </w:r>
                    <w:r w:rsidR="0067708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6" w:rsidRPr="001023A8" w:rsidRDefault="001023A8" w:rsidP="00F51A7E">
    <w:pPr>
      <w:pStyle w:val="Sidfot"/>
    </w:pPr>
    <w:r w:rsidRPr="00102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482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7E" w:rsidRDefault="00EB5A4A">
                          <w:pPr>
                            <w:pStyle w:val="NormalS5sidnrH"/>
                            <w:ind w:right="0"/>
                          </w:pPr>
                          <w:r>
                            <w:fldChar w:fldCharType="begin"/>
                          </w:r>
                          <w:r w:rsidR="00F51A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1A7E" w:rsidRDefault="00EB5A4A">
                    <w:pPr>
                      <w:pStyle w:val="NormalS5sidnrH"/>
                      <w:ind w:right="0"/>
                    </w:pPr>
                    <w:r>
                      <w:fldChar w:fldCharType="begin"/>
                    </w:r>
                    <w:r w:rsidR="00F51A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A4A" w:rsidRPr="001023A8" w:rsidRDefault="00EB5A4A">
      <w:r w:rsidRPr="001023A8">
        <w:separator/>
      </w:r>
    </w:p>
  </w:footnote>
  <w:footnote w:type="continuationSeparator" w:id="0">
    <w:p w:rsidR="00EB5A4A" w:rsidRPr="001023A8" w:rsidRDefault="00EB5A4A">
      <w:r w:rsidRPr="00102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6" w:rsidRPr="001023A8" w:rsidRDefault="001023A8" w:rsidP="00F51A7E">
    <w:pPr>
      <w:pStyle w:val="Sidhuvud"/>
    </w:pPr>
    <w:r w:rsidRPr="00102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65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7E" w:rsidRDefault="00EB5A4A">
                          <w:pPr>
                            <w:pStyle w:val="KantRubrikS5V"/>
                          </w:pPr>
                          <w:r>
                            <w:fldChar w:fldCharType="begin"/>
                          </w:r>
                          <w:r w:rsidR="00F51A7E">
                            <w:instrText xml:space="preserve"> DOCPROPERTY "YearUser" *\charformat </w:instrText>
                          </w:r>
                          <w:r>
                            <w:fldChar w:fldCharType="separate"/>
                          </w:r>
                          <w:r w:rsidR="00677087">
                            <w:t>2006/07</w:t>
                          </w:r>
                          <w:r>
                            <w:fldChar w:fldCharType="end"/>
                          </w:r>
                          <w:r w:rsidR="00F51A7E">
                            <w:t>:</w:t>
                          </w:r>
                          <w:r>
                            <w:fldChar w:fldCharType="begin"/>
                          </w:r>
                          <w:r w:rsidR="00F51A7E">
                            <w:instrText xml:space="preserve"> DOCPROPERTY "Motionsnummer" *\charformat </w:instrText>
                          </w:r>
                          <w:r>
                            <w:fldChar w:fldCharType="separate"/>
                          </w:r>
                          <w:r w:rsidR="00677087">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1A7E" w:rsidRDefault="00EB5A4A">
                    <w:pPr>
                      <w:pStyle w:val="KantRubrikS5V"/>
                    </w:pPr>
                    <w:r>
                      <w:fldChar w:fldCharType="begin"/>
                    </w:r>
                    <w:r w:rsidR="00F51A7E">
                      <w:instrText xml:space="preserve"> DOCPROPERTY "YearUser" *\charformat </w:instrText>
                    </w:r>
                    <w:r>
                      <w:fldChar w:fldCharType="separate"/>
                    </w:r>
                    <w:r w:rsidR="00677087">
                      <w:t>2006/07</w:t>
                    </w:r>
                    <w:r>
                      <w:fldChar w:fldCharType="end"/>
                    </w:r>
                    <w:r w:rsidR="00F51A7E">
                      <w:t>:</w:t>
                    </w:r>
                    <w:r>
                      <w:fldChar w:fldCharType="begin"/>
                    </w:r>
                    <w:r w:rsidR="00F51A7E">
                      <w:instrText xml:space="preserve"> DOCPROPERTY "Motionsnummer" *\charformat </w:instrText>
                    </w:r>
                    <w:r>
                      <w:fldChar w:fldCharType="separate"/>
                    </w:r>
                    <w:r w:rsidR="00677087">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16" w:rsidRPr="001023A8" w:rsidRDefault="001023A8" w:rsidP="00F51A7E">
    <w:pPr>
      <w:pStyle w:val="Sidhuvud"/>
    </w:pPr>
    <w:r w:rsidRPr="00102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761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A7E" w:rsidRDefault="00EB5A4A">
                          <w:pPr>
                            <w:pStyle w:val="KantRubrikS5H"/>
                            <w:ind w:right="0"/>
                          </w:pPr>
                          <w:r>
                            <w:fldChar w:fldCharType="begin"/>
                          </w:r>
                          <w:r w:rsidR="00F51A7E">
                            <w:instrText xml:space="preserve"> DOCPROPERTY "YearUser" *\charformat </w:instrText>
                          </w:r>
                          <w:r>
                            <w:fldChar w:fldCharType="separate"/>
                          </w:r>
                          <w:r w:rsidR="00677087">
                            <w:t>2006/07</w:t>
                          </w:r>
                          <w:r>
                            <w:fldChar w:fldCharType="end"/>
                          </w:r>
                          <w:r w:rsidR="00F51A7E">
                            <w:t>:</w:t>
                          </w:r>
                          <w:r>
                            <w:fldChar w:fldCharType="begin"/>
                          </w:r>
                          <w:r w:rsidR="00F51A7E">
                            <w:instrText xml:space="preserve"> DOCPROPERTY "Motionsnummer" *\charformat </w:instrText>
                          </w:r>
                          <w:r>
                            <w:fldChar w:fldCharType="separate"/>
                          </w:r>
                          <w:r w:rsidR="00677087">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1A7E" w:rsidRDefault="00EB5A4A">
                    <w:pPr>
                      <w:pStyle w:val="KantRubrikS5H"/>
                      <w:ind w:right="0"/>
                    </w:pPr>
                    <w:r>
                      <w:fldChar w:fldCharType="begin"/>
                    </w:r>
                    <w:r w:rsidR="00F51A7E">
                      <w:instrText xml:space="preserve"> DOCPROPERTY "YearUser" *\charformat </w:instrText>
                    </w:r>
                    <w:r>
                      <w:fldChar w:fldCharType="separate"/>
                    </w:r>
                    <w:r w:rsidR="00677087">
                      <w:t>2006/07</w:t>
                    </w:r>
                    <w:r>
                      <w:fldChar w:fldCharType="end"/>
                    </w:r>
                    <w:r w:rsidR="00F51A7E">
                      <w:t>:</w:t>
                    </w:r>
                    <w:r>
                      <w:fldChar w:fldCharType="begin"/>
                    </w:r>
                    <w:r w:rsidR="00F51A7E">
                      <w:instrText xml:space="preserve"> DOCPROPERTY "Motionsnummer" *\charformat </w:instrText>
                    </w:r>
                    <w:r>
                      <w:fldChar w:fldCharType="separate"/>
                    </w:r>
                    <w:r w:rsidR="00677087">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1023A8" w:rsidRDefault="00EB5A4A">
    <w:pPr>
      <w:pStyle w:val="FSHNormal"/>
      <w:tabs>
        <w:tab w:val="right" w:pos="5840"/>
      </w:tabs>
    </w:pPr>
    <w:r w:rsidRPr="001023A8">
      <w:br/>
    </w:r>
    <w:r w:rsidRPr="001023A8">
      <w:fldChar w:fldCharType="begin" w:fldLock="1"/>
    </w:r>
    <w:r w:rsidRPr="001023A8">
      <w:instrText xml:space="preserve"> DOCPROPERTY</w:instrText>
    </w:r>
    <w:r w:rsidRPr="001023A8">
      <w:rPr>
        <w:sz w:val="18"/>
      </w:rPr>
      <w:instrText xml:space="preserve"> "YearUser" *\charformat </w:instrText>
    </w:r>
    <w:r w:rsidRPr="001023A8">
      <w:fldChar w:fldCharType="separate"/>
    </w:r>
    <w:r w:rsidRPr="001023A8">
      <w:t>2006/07</w:t>
    </w:r>
    <w:r w:rsidRPr="001023A8">
      <w:fldChar w:fldCharType="end"/>
    </w:r>
    <w:r w:rsidRPr="001023A8">
      <w:t xml:space="preserve"> </w:t>
    </w:r>
    <w:r w:rsidRPr="001023A8">
      <w:tab/>
      <w:t xml:space="preserve">mnr: </w:t>
    </w:r>
    <w:r w:rsidRPr="001023A8">
      <w:fldChar w:fldCharType="begin" w:fldLock="1"/>
    </w:r>
    <w:r w:rsidRPr="001023A8">
      <w:instrText xml:space="preserve"> DOCPROPERTY</w:instrText>
    </w:r>
    <w:r w:rsidRPr="001023A8">
      <w:rPr>
        <w:sz w:val="18"/>
      </w:rPr>
      <w:instrText xml:space="preserve"> "Motionsnummer" *\charformat </w:instrText>
    </w:r>
    <w:r w:rsidRPr="001023A8">
      <w:fldChar w:fldCharType="separate"/>
    </w:r>
    <w:r w:rsidRPr="001023A8">
      <w:t>Ub263</w:t>
    </w:r>
    <w:r w:rsidRPr="001023A8">
      <w:fldChar w:fldCharType="end"/>
    </w:r>
    <w:r w:rsidRPr="001023A8">
      <w:br/>
    </w:r>
    <w:r w:rsidRPr="001023A8">
      <w:fldChar w:fldCharType="begin" w:fldLock="1"/>
    </w:r>
    <w:r w:rsidRPr="001023A8">
      <w:instrText xml:space="preserve"> DOCPROPERTY</w:instrText>
    </w:r>
    <w:r w:rsidRPr="001023A8">
      <w:rPr>
        <w:sz w:val="18"/>
      </w:rPr>
      <w:instrText xml:space="preserve"> "Samling" *\charformat </w:instrText>
    </w:r>
    <w:r w:rsidRPr="001023A8">
      <w:fldChar w:fldCharType="end"/>
    </w:r>
    <w:r w:rsidRPr="001023A8">
      <w:tab/>
      <w:t xml:space="preserve">pnr: </w:t>
    </w:r>
    <w:r w:rsidRPr="001023A8">
      <w:fldChar w:fldCharType="begin" w:fldLock="1"/>
    </w:r>
    <w:r w:rsidRPr="001023A8">
      <w:instrText xml:space="preserve"> DOCPROPERTY</w:instrText>
    </w:r>
    <w:r w:rsidRPr="001023A8">
      <w:rPr>
        <w:sz w:val="18"/>
      </w:rPr>
      <w:instrText xml:space="preserve"> "Partinummer" *\charformat </w:instrText>
    </w:r>
    <w:r w:rsidRPr="001023A8">
      <w:fldChar w:fldCharType="separate"/>
    </w:r>
    <w:r w:rsidRPr="001023A8">
      <w:t>mp652</w:t>
    </w:r>
    <w:r w:rsidRPr="001023A8">
      <w:fldChar w:fldCharType="end"/>
    </w:r>
  </w:p>
  <w:p w:rsidR="00EB5A4A" w:rsidRPr="001023A8" w:rsidRDefault="00EB5A4A">
    <w:pPr>
      <w:pStyle w:val="FSHRub1"/>
    </w:pPr>
    <w:r w:rsidRPr="001023A8">
      <w:t>Motion till riksdagen</w:t>
    </w:r>
    <w:r w:rsidRPr="001023A8">
      <w:br/>
    </w:r>
    <w:r w:rsidRPr="001023A8">
      <w:fldChar w:fldCharType="begin" w:fldLock="1"/>
    </w:r>
    <w:r w:rsidRPr="001023A8">
      <w:instrText xml:space="preserve"> DOCPROPERTY "YearUser" *\charformat </w:instrText>
    </w:r>
    <w:r w:rsidRPr="001023A8">
      <w:fldChar w:fldCharType="separate"/>
    </w:r>
    <w:r w:rsidRPr="001023A8">
      <w:t>2006/07</w:t>
    </w:r>
    <w:r w:rsidRPr="001023A8">
      <w:fldChar w:fldCharType="end"/>
    </w:r>
    <w:r w:rsidRPr="001023A8">
      <w:t>:</w:t>
    </w:r>
    <w:r w:rsidRPr="001023A8">
      <w:fldChar w:fldCharType="begin" w:fldLock="1"/>
    </w:r>
    <w:r w:rsidRPr="001023A8">
      <w:instrText xml:space="preserve"> DOCPROPERTY "Motionsnummer" *\charformat </w:instrText>
    </w:r>
    <w:r w:rsidRPr="001023A8">
      <w:fldChar w:fldCharType="separate"/>
    </w:r>
    <w:r w:rsidRPr="001023A8">
      <w:t>Ub263</w:t>
    </w:r>
    <w:r w:rsidRPr="001023A8">
      <w:fldChar w:fldCharType="end"/>
    </w:r>
  </w:p>
  <w:p w:rsidR="00EB5A4A" w:rsidRPr="001023A8" w:rsidRDefault="00EB5A4A">
    <w:pPr>
      <w:pStyle w:val="FSHNormalS5"/>
    </w:pPr>
    <w:r w:rsidRPr="001023A8">
      <w:fldChar w:fldCharType="begin" w:fldLock="1"/>
    </w:r>
    <w:r w:rsidRPr="001023A8">
      <w:instrText xml:space="preserve"> DOCPROPERTY "MotionarText" *\charformat </w:instrText>
    </w:r>
    <w:r w:rsidRPr="001023A8">
      <w:fldChar w:fldCharType="separate"/>
    </w:r>
    <w:r w:rsidRPr="001023A8">
      <w:t>av Mats Pertoft m.fl. (mp)</w:t>
    </w:r>
    <w:r w:rsidRPr="001023A8">
      <w:fldChar w:fldCharType="end"/>
    </w:r>
    <w:r w:rsidRPr="001023A8">
      <w:br/>
    </w:r>
    <w:r w:rsidRPr="001023A8">
      <w:fldChar w:fldCharType="begin" w:fldLock="1"/>
    </w:r>
    <w:r w:rsidRPr="001023A8">
      <w:instrText xml:space="preserve"> DOCPROPERTY "SvarFrasKort" *\charformat </w:instrText>
    </w:r>
    <w:r w:rsidRPr="001023A8">
      <w:fldChar w:fldCharType="end"/>
    </w:r>
  </w:p>
  <w:p w:rsidR="00EB5A4A" w:rsidRPr="001023A8" w:rsidRDefault="00EB5A4A">
    <w:pPr>
      <w:pStyle w:val="FSHTitel"/>
    </w:pPr>
    <w:r w:rsidRPr="001023A8">
      <w:fldChar w:fldCharType="begin" w:fldLock="1"/>
    </w:r>
    <w:r w:rsidRPr="001023A8">
      <w:instrText xml:space="preserve"> DOCPROPERTY</w:instrText>
    </w:r>
    <w:r w:rsidRPr="001023A8">
      <w:rPr>
        <w:sz w:val="18"/>
      </w:rPr>
      <w:instrText xml:space="preserve"> "RubrikSvar" *\charformat </w:instrText>
    </w:r>
    <w:r w:rsidRPr="001023A8">
      <w:fldChar w:fldCharType="separate"/>
    </w:r>
    <w:r w:rsidRPr="001023A8">
      <w:t>Utgiftsområdena 15 Studiestöd och 16 Utbildning och universitetsforskning</w:t>
    </w:r>
    <w:r w:rsidRPr="001023A8">
      <w:fldChar w:fldCharType="end"/>
    </w:r>
  </w:p>
  <w:p w:rsidR="00EB5A4A" w:rsidRPr="001023A8" w:rsidRDefault="00EB5A4A">
    <w:pPr>
      <w:pStyle w:val="Normal00"/>
    </w:pPr>
  </w:p>
  <w:p w:rsidR="00F51A7E" w:rsidRPr="001023A8" w:rsidRDefault="00F51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7B024F"/>
    <w:multiLevelType w:val="hybridMultilevel"/>
    <w:tmpl w:val="B732882A"/>
    <w:lvl w:ilvl="0" w:tplc="1C5C41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B8E7421"/>
    <w:multiLevelType w:val="multilevel"/>
    <w:tmpl w:val="1B9E04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1365719">
    <w:abstractNumId w:val="15"/>
  </w:num>
  <w:num w:numId="2" w16cid:durableId="148638042">
    <w:abstractNumId w:val="10"/>
  </w:num>
  <w:num w:numId="3" w16cid:durableId="1756708525">
    <w:abstractNumId w:val="13"/>
  </w:num>
  <w:num w:numId="4" w16cid:durableId="826172699">
    <w:abstractNumId w:val="14"/>
  </w:num>
  <w:num w:numId="5" w16cid:durableId="152719587">
    <w:abstractNumId w:val="8"/>
  </w:num>
  <w:num w:numId="6" w16cid:durableId="1249777970">
    <w:abstractNumId w:val="3"/>
  </w:num>
  <w:num w:numId="7" w16cid:durableId="1105464148">
    <w:abstractNumId w:val="2"/>
  </w:num>
  <w:num w:numId="8" w16cid:durableId="1429078946">
    <w:abstractNumId w:val="1"/>
  </w:num>
  <w:num w:numId="9" w16cid:durableId="2054032843">
    <w:abstractNumId w:val="0"/>
  </w:num>
  <w:num w:numId="10" w16cid:durableId="1452506343">
    <w:abstractNumId w:val="9"/>
  </w:num>
  <w:num w:numId="11" w16cid:durableId="1835485600">
    <w:abstractNumId w:val="7"/>
  </w:num>
  <w:num w:numId="12" w16cid:durableId="998342447">
    <w:abstractNumId w:val="6"/>
  </w:num>
  <w:num w:numId="13" w16cid:durableId="185560965">
    <w:abstractNumId w:val="5"/>
  </w:num>
  <w:num w:numId="14" w16cid:durableId="76290069">
    <w:abstractNumId w:val="4"/>
  </w:num>
  <w:num w:numId="15" w16cid:durableId="529102648">
    <w:abstractNumId w:val="11"/>
  </w:num>
  <w:num w:numId="16" w16cid:durableId="1931816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F87DCE8-E845-4A82-8576-72C9B4F36723},{B81B8A0A-08CE-44CC-9E69-32C06335E529},{891F8238-7272-4195-A81B-8E357071C4D2}"/>
  </w:docVars>
  <w:rsids>
    <w:rsidRoot w:val="001023A8"/>
    <w:rsid w:val="00002742"/>
    <w:rsid w:val="000220F8"/>
    <w:rsid w:val="00034058"/>
    <w:rsid w:val="00035888"/>
    <w:rsid w:val="00040D14"/>
    <w:rsid w:val="0004381F"/>
    <w:rsid w:val="000448E3"/>
    <w:rsid w:val="00046D2D"/>
    <w:rsid w:val="000509B9"/>
    <w:rsid w:val="00064BC3"/>
    <w:rsid w:val="00066474"/>
    <w:rsid w:val="000665E6"/>
    <w:rsid w:val="00066775"/>
    <w:rsid w:val="00072FB9"/>
    <w:rsid w:val="0007598F"/>
    <w:rsid w:val="000950E7"/>
    <w:rsid w:val="000B2040"/>
    <w:rsid w:val="000C69BB"/>
    <w:rsid w:val="000E431D"/>
    <w:rsid w:val="000E48DA"/>
    <w:rsid w:val="000E5207"/>
    <w:rsid w:val="000F5ADD"/>
    <w:rsid w:val="00100531"/>
    <w:rsid w:val="001023A8"/>
    <w:rsid w:val="0010382E"/>
    <w:rsid w:val="00151940"/>
    <w:rsid w:val="00166D90"/>
    <w:rsid w:val="00170803"/>
    <w:rsid w:val="00177CC2"/>
    <w:rsid w:val="001852AB"/>
    <w:rsid w:val="0019171D"/>
    <w:rsid w:val="001921C4"/>
    <w:rsid w:val="001923A4"/>
    <w:rsid w:val="001A25D5"/>
    <w:rsid w:val="001A2624"/>
    <w:rsid w:val="001A2A2B"/>
    <w:rsid w:val="001E0043"/>
    <w:rsid w:val="00201DFB"/>
    <w:rsid w:val="00204A63"/>
    <w:rsid w:val="00212FF1"/>
    <w:rsid w:val="00217B55"/>
    <w:rsid w:val="00230193"/>
    <w:rsid w:val="002310ED"/>
    <w:rsid w:val="00244D0B"/>
    <w:rsid w:val="0025068A"/>
    <w:rsid w:val="002818D3"/>
    <w:rsid w:val="002911A7"/>
    <w:rsid w:val="002943C8"/>
    <w:rsid w:val="00295E6D"/>
    <w:rsid w:val="002A2A6B"/>
    <w:rsid w:val="002B09FB"/>
    <w:rsid w:val="002C2373"/>
    <w:rsid w:val="002D027D"/>
    <w:rsid w:val="002D11A8"/>
    <w:rsid w:val="002F0C65"/>
    <w:rsid w:val="00314F87"/>
    <w:rsid w:val="0032051D"/>
    <w:rsid w:val="003303B5"/>
    <w:rsid w:val="003312D5"/>
    <w:rsid w:val="003366E9"/>
    <w:rsid w:val="00342FB4"/>
    <w:rsid w:val="0036065A"/>
    <w:rsid w:val="003844D5"/>
    <w:rsid w:val="003866EC"/>
    <w:rsid w:val="00391AF5"/>
    <w:rsid w:val="003B3F9C"/>
    <w:rsid w:val="003B418B"/>
    <w:rsid w:val="003E39EE"/>
    <w:rsid w:val="003F100A"/>
    <w:rsid w:val="004241C1"/>
    <w:rsid w:val="00445271"/>
    <w:rsid w:val="00447A04"/>
    <w:rsid w:val="004527C3"/>
    <w:rsid w:val="00487F7A"/>
    <w:rsid w:val="004971B2"/>
    <w:rsid w:val="00497E00"/>
    <w:rsid w:val="004A0504"/>
    <w:rsid w:val="004A78E8"/>
    <w:rsid w:val="004B5278"/>
    <w:rsid w:val="004E38D9"/>
    <w:rsid w:val="005000F2"/>
    <w:rsid w:val="00531020"/>
    <w:rsid w:val="00545150"/>
    <w:rsid w:val="00545421"/>
    <w:rsid w:val="0055072A"/>
    <w:rsid w:val="005525A5"/>
    <w:rsid w:val="005544CE"/>
    <w:rsid w:val="0057382B"/>
    <w:rsid w:val="0058445F"/>
    <w:rsid w:val="005A301D"/>
    <w:rsid w:val="005B145B"/>
    <w:rsid w:val="005B1902"/>
    <w:rsid w:val="005D0365"/>
    <w:rsid w:val="005D3F50"/>
    <w:rsid w:val="005D68F1"/>
    <w:rsid w:val="005E4784"/>
    <w:rsid w:val="00601C6D"/>
    <w:rsid w:val="00603CD4"/>
    <w:rsid w:val="00606AA8"/>
    <w:rsid w:val="00624EE8"/>
    <w:rsid w:val="006346C1"/>
    <w:rsid w:val="00635615"/>
    <w:rsid w:val="00650E1C"/>
    <w:rsid w:val="00653DD0"/>
    <w:rsid w:val="006553B0"/>
    <w:rsid w:val="00677087"/>
    <w:rsid w:val="00684A6A"/>
    <w:rsid w:val="006A743E"/>
    <w:rsid w:val="006B5FE9"/>
    <w:rsid w:val="006B6262"/>
    <w:rsid w:val="006E51C8"/>
    <w:rsid w:val="00701B98"/>
    <w:rsid w:val="00727C6F"/>
    <w:rsid w:val="00740D6D"/>
    <w:rsid w:val="00743F76"/>
    <w:rsid w:val="0076521B"/>
    <w:rsid w:val="00770030"/>
    <w:rsid w:val="00774959"/>
    <w:rsid w:val="00774F09"/>
    <w:rsid w:val="007852B2"/>
    <w:rsid w:val="00794149"/>
    <w:rsid w:val="007B67A7"/>
    <w:rsid w:val="007C6092"/>
    <w:rsid w:val="007E119E"/>
    <w:rsid w:val="0082540A"/>
    <w:rsid w:val="00846903"/>
    <w:rsid w:val="0088213B"/>
    <w:rsid w:val="008B3CA3"/>
    <w:rsid w:val="008E1F43"/>
    <w:rsid w:val="008F0A96"/>
    <w:rsid w:val="009062A0"/>
    <w:rsid w:val="009209E3"/>
    <w:rsid w:val="009451E7"/>
    <w:rsid w:val="00955D12"/>
    <w:rsid w:val="00956E7F"/>
    <w:rsid w:val="00970D4F"/>
    <w:rsid w:val="00971D70"/>
    <w:rsid w:val="009A4377"/>
    <w:rsid w:val="009A6043"/>
    <w:rsid w:val="009B395E"/>
    <w:rsid w:val="009D0673"/>
    <w:rsid w:val="009D4787"/>
    <w:rsid w:val="009F473B"/>
    <w:rsid w:val="00A053C6"/>
    <w:rsid w:val="00A055B3"/>
    <w:rsid w:val="00A149E5"/>
    <w:rsid w:val="00A15D71"/>
    <w:rsid w:val="00A21BC5"/>
    <w:rsid w:val="00A725F7"/>
    <w:rsid w:val="00A736FF"/>
    <w:rsid w:val="00AA1434"/>
    <w:rsid w:val="00AB5000"/>
    <w:rsid w:val="00AC3616"/>
    <w:rsid w:val="00AC4310"/>
    <w:rsid w:val="00AC63D9"/>
    <w:rsid w:val="00AE2EF8"/>
    <w:rsid w:val="00AF5881"/>
    <w:rsid w:val="00B13BF0"/>
    <w:rsid w:val="00B33C81"/>
    <w:rsid w:val="00B34666"/>
    <w:rsid w:val="00B6591A"/>
    <w:rsid w:val="00B67E5B"/>
    <w:rsid w:val="00B70D2B"/>
    <w:rsid w:val="00B767EC"/>
    <w:rsid w:val="00BA4894"/>
    <w:rsid w:val="00BA6BE0"/>
    <w:rsid w:val="00BB640C"/>
    <w:rsid w:val="00BB6D75"/>
    <w:rsid w:val="00BD43A8"/>
    <w:rsid w:val="00C1285C"/>
    <w:rsid w:val="00C27B7D"/>
    <w:rsid w:val="00C32A06"/>
    <w:rsid w:val="00C44394"/>
    <w:rsid w:val="00C533BA"/>
    <w:rsid w:val="00C902E9"/>
    <w:rsid w:val="00C915EB"/>
    <w:rsid w:val="00C92208"/>
    <w:rsid w:val="00CA3D8F"/>
    <w:rsid w:val="00CB5B24"/>
    <w:rsid w:val="00CC1FB3"/>
    <w:rsid w:val="00CD4B2B"/>
    <w:rsid w:val="00CE3037"/>
    <w:rsid w:val="00CF7A43"/>
    <w:rsid w:val="00D01775"/>
    <w:rsid w:val="00D1174F"/>
    <w:rsid w:val="00D1289C"/>
    <w:rsid w:val="00D2312B"/>
    <w:rsid w:val="00D35FE8"/>
    <w:rsid w:val="00D44527"/>
    <w:rsid w:val="00D52681"/>
    <w:rsid w:val="00D53D04"/>
    <w:rsid w:val="00D55EF7"/>
    <w:rsid w:val="00DB5457"/>
    <w:rsid w:val="00DB62CC"/>
    <w:rsid w:val="00DC0DF0"/>
    <w:rsid w:val="00DC1375"/>
    <w:rsid w:val="00DC3CB1"/>
    <w:rsid w:val="00DC6C70"/>
    <w:rsid w:val="00DE27B2"/>
    <w:rsid w:val="00DF1E89"/>
    <w:rsid w:val="00DF5ACD"/>
    <w:rsid w:val="00E00E5E"/>
    <w:rsid w:val="00E22893"/>
    <w:rsid w:val="00E349C2"/>
    <w:rsid w:val="00E360DE"/>
    <w:rsid w:val="00E40AA4"/>
    <w:rsid w:val="00E5074A"/>
    <w:rsid w:val="00E521CB"/>
    <w:rsid w:val="00E55409"/>
    <w:rsid w:val="00E728F6"/>
    <w:rsid w:val="00E75D28"/>
    <w:rsid w:val="00E84F25"/>
    <w:rsid w:val="00EB5A4A"/>
    <w:rsid w:val="00EC007B"/>
    <w:rsid w:val="00ED5C50"/>
    <w:rsid w:val="00EE3466"/>
    <w:rsid w:val="00EE3F6A"/>
    <w:rsid w:val="00EF0A46"/>
    <w:rsid w:val="00F21B30"/>
    <w:rsid w:val="00F273EA"/>
    <w:rsid w:val="00F42CB9"/>
    <w:rsid w:val="00F51A7E"/>
    <w:rsid w:val="00F63BDD"/>
    <w:rsid w:val="00F73E9E"/>
    <w:rsid w:val="00F85998"/>
    <w:rsid w:val="00F87D14"/>
    <w:rsid w:val="00FA0575"/>
    <w:rsid w:val="00FA3374"/>
    <w:rsid w:val="00FB2435"/>
    <w:rsid w:val="00FB6490"/>
    <w:rsid w:val="00FC0759"/>
    <w:rsid w:val="00FC53D4"/>
    <w:rsid w:val="00FC7246"/>
    <w:rsid w:val="00FC7E79"/>
    <w:rsid w:val="00FD0F17"/>
    <w:rsid w:val="00FD2531"/>
    <w:rsid w:val="00FD5A8C"/>
    <w:rsid w:val="00FD7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78C046-99D2-4B77-830E-6127AD7F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51A7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1A7E"/>
    <w:pPr>
      <w:numPr>
        <w:ilvl w:val="1"/>
      </w:numPr>
      <w:spacing w:before="500" w:line="250" w:lineRule="exact"/>
      <w:outlineLvl w:val="1"/>
    </w:pPr>
    <w:rPr>
      <w:sz w:val="27"/>
    </w:rPr>
  </w:style>
  <w:style w:type="paragraph" w:styleId="Rubrik3">
    <w:name w:val="heading 3"/>
    <w:aliases w:val="Mellanrubrik"/>
    <w:basedOn w:val="Rubrik2"/>
    <w:next w:val="Normal"/>
    <w:qFormat/>
    <w:rsid w:val="00F51A7E"/>
    <w:pPr>
      <w:numPr>
        <w:ilvl w:val="2"/>
      </w:numPr>
      <w:spacing w:before="250" w:after="0"/>
      <w:outlineLvl w:val="2"/>
    </w:pPr>
    <w:rPr>
      <w:b/>
      <w:sz w:val="21"/>
    </w:rPr>
  </w:style>
  <w:style w:type="paragraph" w:styleId="Rubrik4">
    <w:name w:val="heading 4"/>
    <w:aliases w:val="KursivRubrik"/>
    <w:basedOn w:val="Rubrik3"/>
    <w:next w:val="Normal"/>
    <w:qFormat/>
    <w:rsid w:val="00F51A7E"/>
    <w:pPr>
      <w:numPr>
        <w:ilvl w:val="3"/>
      </w:numPr>
      <w:outlineLvl w:val="3"/>
    </w:pPr>
    <w:rPr>
      <w:b w:val="0"/>
      <w:i/>
    </w:rPr>
  </w:style>
  <w:style w:type="paragraph" w:styleId="Rubrik5">
    <w:name w:val="heading 5"/>
    <w:aliases w:val="PackadFetRubrik,PackadKursivRubrik"/>
    <w:basedOn w:val="Rubrik4"/>
    <w:next w:val="Normal"/>
    <w:qFormat/>
    <w:rsid w:val="00F51A7E"/>
    <w:pPr>
      <w:numPr>
        <w:ilvl w:val="4"/>
      </w:numPr>
      <w:tabs>
        <w:tab w:val="clear" w:pos="1021"/>
      </w:tabs>
      <w:spacing w:before="125"/>
      <w:outlineLvl w:val="4"/>
    </w:pPr>
    <w:rPr>
      <w:i w:val="0"/>
      <w:sz w:val="19"/>
    </w:rPr>
  </w:style>
  <w:style w:type="paragraph" w:styleId="Rubrik6">
    <w:name w:val="heading 6"/>
    <w:basedOn w:val="Rubrik5"/>
    <w:next w:val="Normal"/>
    <w:qFormat/>
    <w:rsid w:val="00F51A7E"/>
    <w:pPr>
      <w:numPr>
        <w:ilvl w:val="5"/>
      </w:numPr>
      <w:spacing w:before="50" w:line="200" w:lineRule="exact"/>
      <w:outlineLvl w:val="5"/>
    </w:pPr>
    <w:rPr>
      <w:caps/>
      <w:sz w:val="14"/>
    </w:rPr>
  </w:style>
  <w:style w:type="paragraph" w:styleId="Rubrik7">
    <w:name w:val="heading 7"/>
    <w:basedOn w:val="Rubrik6"/>
    <w:next w:val="Normal"/>
    <w:qFormat/>
    <w:rsid w:val="00F51A7E"/>
    <w:pPr>
      <w:numPr>
        <w:ilvl w:val="6"/>
      </w:numPr>
      <w:spacing w:before="0"/>
      <w:outlineLvl w:val="6"/>
    </w:pPr>
  </w:style>
  <w:style w:type="paragraph" w:styleId="Rubrik8">
    <w:name w:val="heading 8"/>
    <w:basedOn w:val="Rubrik7"/>
    <w:next w:val="Normal"/>
    <w:qFormat/>
    <w:rsid w:val="00F51A7E"/>
    <w:pPr>
      <w:numPr>
        <w:ilvl w:val="7"/>
      </w:numPr>
      <w:outlineLvl w:val="7"/>
    </w:pPr>
  </w:style>
  <w:style w:type="paragraph" w:styleId="Rubrik9">
    <w:name w:val="heading 9"/>
    <w:basedOn w:val="Rubrik8"/>
    <w:next w:val="Normal"/>
    <w:qFormat/>
    <w:rsid w:val="00F51A7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51A7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8B3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Fotnotstecken">
    <w:name w:val="WW-Fotnotstecken"/>
    <w:rsid w:val="00DE27B2"/>
    <w:rPr>
      <w:vertAlign w:val="superscript"/>
    </w:rPr>
  </w:style>
  <w:style w:type="character" w:customStyle="1" w:styleId="Fotnotstecken">
    <w:name w:val="Fotnotstecken"/>
    <w:rsid w:val="00DE27B2"/>
    <w:rPr>
      <w:vertAlign w:val="superscript"/>
    </w:rPr>
  </w:style>
  <w:style w:type="paragraph" w:styleId="Fotnotstext">
    <w:name w:val="footnote text"/>
    <w:basedOn w:val="Normal"/>
    <w:rsid w:val="00DE27B2"/>
    <w:pPr>
      <w:suppressLineNumbers/>
      <w:suppressAutoHyphens/>
      <w:spacing w:line="240" w:lineRule="auto"/>
      <w:ind w:left="283" w:hanging="283"/>
    </w:pPr>
    <w:rPr>
      <w:sz w:val="20"/>
      <w:lang w:eastAsia="ar-SA"/>
    </w:rPr>
  </w:style>
  <w:style w:type="character" w:customStyle="1" w:styleId="brodtext2">
    <w:name w:val="brodtext2"/>
    <w:basedOn w:val="Standardstycketeckensnitt"/>
    <w:rsid w:val="00E40AA4"/>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14721</Characters>
  <Application>Microsoft Office Word</Application>
  <DocSecurity>4</DocSecurity>
  <Lines>300</Lines>
  <Paragraphs>109</Paragraphs>
  <ScaleCrop>false</ScaleCrop>
  <HeadingPairs>
    <vt:vector size="2" baseType="variant">
      <vt:variant>
        <vt:lpstr>Rubrik</vt:lpstr>
      </vt:variant>
      <vt:variant>
        <vt:i4>1</vt:i4>
      </vt:variant>
    </vt:vector>
  </HeadingPairs>
  <TitlesOfParts>
    <vt:vector size="1" baseType="lpstr">
      <vt:lpstr>mp652</vt:lpstr>
    </vt:vector>
  </TitlesOfParts>
  <Company>Riksdagen</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mp652</dc:title>
  <dc:subject>mp652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2007-01-19T13:03:00Z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Utgiftsområdena 15 Studiestöd och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15 Studiestöd och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20062007000001090112000006520075</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{4ECAC381-E2B6-4DED-855F-0A9A39FE3393}</vt:lpwstr>
  </property>
  <property fmtid="{D5CDD505-2E9C-101B-9397-08002B2CF9AE}" pid="53" name="Överföringar">
    <vt:i4>0</vt:i4>
  </property>
  <property fmtid="{D5CDD505-2E9C-101B-9397-08002B2CF9AE}" pid="54" name="Checksum">
    <vt:lpwstr>*0008012720435*</vt:lpwstr>
  </property>
  <property fmtid="{D5CDD505-2E9C-101B-9397-08002B2CF9AE}" pid="55" name="skuggnummer">
    <vt:lpwstr>1392</vt:lpwstr>
  </property>
  <property fmtid="{D5CDD505-2E9C-101B-9397-08002B2CF9AE}" pid="56" name="urixVersion">
    <vt:lpwstr>3.1.4.4</vt:lpwstr>
  </property>
  <property fmtid="{D5CDD505-2E9C-101B-9397-08002B2CF9AE}" pid="57" name="urixOrigin">
    <vt:lpwstr>070215 16:26:47.091</vt:lpwstr>
  </property>
  <property fmtid="{D5CDD505-2E9C-101B-9397-08002B2CF9AE}" pid="58" name="urixGuid">
    <vt:lpwstr>{A41C80F5-DE4C-4E61-AC89-C964E6EB6BD8}</vt:lpwstr>
  </property>
</Properties>
</file>