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604E" w:rsidRPr="00D07C78" w:rsidRDefault="0023604E">
      <w:pPr>
        <w:pStyle w:val="Rubrik1"/>
        <w:shd w:val="clear" w:color="000000" w:fill="auto"/>
      </w:pPr>
      <w:r w:rsidRPr="00D07C78">
        <w:t>Sammanfattning</w:t>
      </w:r>
    </w:p>
    <w:p w:rsidR="0023604E" w:rsidRPr="00D07C78" w:rsidRDefault="0023604E">
      <w:pPr>
        <w:shd w:val="clear" w:color="000000" w:fill="auto"/>
      </w:pPr>
      <w:r w:rsidRPr="00D07C78">
        <w:t>Vänsterpartiet avvisar kraftigt regeringens inställning om att endast anse sig ha råd att svara upp mot dessa åtaganden genom att räkna av en ökad andel av biståndsramen för flyktingkostnader. Vi avvisar därmed att finansieringen till utgiftsområdet sker på detta sätt. Vi föreslår också en nödvändig höjning och värdesäkring av dagersättningen för asylsökande samt att en bostadsersättning för asylsökande vid eget boende införs. Vi ökar anslaget till offentliga bitr</w:t>
      </w:r>
      <w:r w:rsidRPr="00D07C78">
        <w:t>ä</w:t>
      </w:r>
      <w:r w:rsidRPr="00D07C78">
        <w:t>den för att svara upp mot rättssäkerhetskraven inom asylprocessen. För att värna humaniteten och rättssäkerheten i asylprocessen föreslår vi i stället minskningar av kostnaderna för förvarstagande samt för avvisningar och utvisningar.</w:t>
      </w:r>
    </w:p>
    <w:p w:rsidR="0023604E" w:rsidRPr="00D07C78" w:rsidRDefault="0023604E">
      <w:pPr>
        <w:pStyle w:val="Frslagsrubrik"/>
        <w:shd w:val="clear" w:color="000000" w:fill="auto"/>
      </w:pPr>
      <w:r w:rsidRPr="00D07C78">
        <w:t>Förslag till riksdagsbeslut</w:t>
      </w:r>
    </w:p>
    <w:p w:rsidR="0023604E" w:rsidRPr="00D07C78" w:rsidRDefault="0023604E">
      <w:pPr>
        <w:pStyle w:val="Hemstlatt"/>
        <w:shd w:val="clear" w:color="000000" w:fill="auto"/>
        <w:ind w:left="0"/>
      </w:pPr>
      <w:r w:rsidRPr="00D07C78">
        <w:t>Riksdagen anvisar med följande ändringar i förhålla</w:t>
      </w:r>
      <w:r w:rsidRPr="00D07C78">
        <w:t>n</w:t>
      </w:r>
      <w:r w:rsidRPr="00D07C78">
        <w:t>de till regeringens förslag anslagen under utgiftsområde 8 Migration enligt uppställning:</w:t>
      </w:r>
    </w:p>
    <w:tbl>
      <w:tblPr>
        <w:tblW w:w="6123"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11"/>
        <w:gridCol w:w="1464"/>
        <w:gridCol w:w="2160"/>
        <w:gridCol w:w="1788"/>
      </w:tblGrid>
      <w:tr w:rsidR="00000000" w:rsidRPr="00D07C78">
        <w:tc>
          <w:tcPr>
            <w:tcW w:w="711" w:type="dxa"/>
            <w:tcBorders>
              <w:top w:val="single" w:sz="4" w:space="0" w:color="auto"/>
              <w:bottom w:val="single" w:sz="4" w:space="0" w:color="auto"/>
            </w:tcBorders>
          </w:tcPr>
          <w:p w:rsidR="0023604E" w:rsidRPr="00D07C78" w:rsidRDefault="0023604E">
            <w:pPr>
              <w:shd w:val="clear" w:color="000000" w:fill="auto"/>
              <w:spacing w:before="60" w:line="200" w:lineRule="exact"/>
              <w:rPr>
                <w:b/>
                <w:bCs/>
                <w:color w:val="000000"/>
                <w:sz w:val="16"/>
                <w:szCs w:val="16"/>
              </w:rPr>
            </w:pPr>
            <w:r w:rsidRPr="00D07C78">
              <w:rPr>
                <w:b/>
                <w:bCs/>
                <w:color w:val="000000"/>
                <w:sz w:val="16"/>
                <w:szCs w:val="16"/>
              </w:rPr>
              <w:t>Anslag</w:t>
            </w:r>
          </w:p>
        </w:tc>
        <w:tc>
          <w:tcPr>
            <w:tcW w:w="1464" w:type="dxa"/>
            <w:tcBorders>
              <w:top w:val="single" w:sz="4" w:space="0" w:color="auto"/>
              <w:bottom w:val="single" w:sz="4" w:space="0" w:color="auto"/>
            </w:tcBorders>
          </w:tcPr>
          <w:p w:rsidR="0023604E" w:rsidRPr="00D07C78" w:rsidRDefault="0023604E">
            <w:pPr>
              <w:shd w:val="clear" w:color="000000" w:fill="auto"/>
              <w:spacing w:before="60" w:line="200" w:lineRule="exact"/>
              <w:rPr>
                <w:b/>
                <w:bCs/>
                <w:color w:val="000000"/>
                <w:sz w:val="16"/>
                <w:szCs w:val="16"/>
              </w:rPr>
            </w:pPr>
          </w:p>
        </w:tc>
        <w:tc>
          <w:tcPr>
            <w:tcW w:w="2160" w:type="dxa"/>
            <w:tcBorders>
              <w:top w:val="single" w:sz="4" w:space="0" w:color="auto"/>
              <w:bottom w:val="single" w:sz="4" w:space="0" w:color="auto"/>
            </w:tcBorders>
          </w:tcPr>
          <w:p w:rsidR="0023604E" w:rsidRPr="00D07C78" w:rsidRDefault="0023604E">
            <w:pPr>
              <w:shd w:val="clear" w:color="000000" w:fill="auto"/>
              <w:spacing w:before="60" w:line="200" w:lineRule="exact"/>
              <w:jc w:val="right"/>
              <w:rPr>
                <w:b/>
                <w:bCs/>
                <w:color w:val="000000"/>
                <w:sz w:val="16"/>
                <w:szCs w:val="16"/>
              </w:rPr>
            </w:pPr>
            <w:r w:rsidRPr="00D07C78">
              <w:rPr>
                <w:b/>
                <w:bCs/>
                <w:color w:val="000000"/>
                <w:sz w:val="16"/>
                <w:szCs w:val="16"/>
              </w:rPr>
              <w:t>Regeringens förslag (tkr)</w:t>
            </w:r>
          </w:p>
        </w:tc>
        <w:tc>
          <w:tcPr>
            <w:tcW w:w="1788" w:type="dxa"/>
            <w:tcBorders>
              <w:top w:val="single" w:sz="4" w:space="0" w:color="auto"/>
              <w:bottom w:val="single" w:sz="4" w:space="0" w:color="auto"/>
            </w:tcBorders>
          </w:tcPr>
          <w:p w:rsidR="0023604E" w:rsidRPr="00D07C78" w:rsidRDefault="0023604E">
            <w:pPr>
              <w:shd w:val="clear" w:color="000000" w:fill="auto"/>
              <w:spacing w:before="60" w:line="200" w:lineRule="exact"/>
              <w:jc w:val="right"/>
              <w:rPr>
                <w:b/>
                <w:bCs/>
                <w:color w:val="000000"/>
                <w:sz w:val="16"/>
                <w:szCs w:val="16"/>
              </w:rPr>
            </w:pPr>
            <w:r w:rsidRPr="00D07C78">
              <w:rPr>
                <w:b/>
                <w:bCs/>
                <w:color w:val="000000"/>
                <w:sz w:val="16"/>
                <w:szCs w:val="16"/>
              </w:rPr>
              <w:t>Anslagsförändring (tkr)</w:t>
            </w:r>
          </w:p>
        </w:tc>
      </w:tr>
      <w:tr w:rsidR="00000000" w:rsidRPr="00D07C78">
        <w:tc>
          <w:tcPr>
            <w:tcW w:w="711" w:type="dxa"/>
            <w:tcBorders>
              <w:top w:val="single" w:sz="4" w:space="0" w:color="auto"/>
            </w:tcBorders>
          </w:tcPr>
          <w:p w:rsidR="0023604E" w:rsidRPr="00D07C78" w:rsidRDefault="0023604E">
            <w:pPr>
              <w:shd w:val="clear" w:color="000000" w:fill="auto"/>
              <w:spacing w:before="60" w:line="200" w:lineRule="exact"/>
              <w:rPr>
                <w:color w:val="000000"/>
                <w:sz w:val="16"/>
                <w:szCs w:val="16"/>
              </w:rPr>
            </w:pPr>
            <w:r w:rsidRPr="00D07C78">
              <w:rPr>
                <w:color w:val="000000"/>
                <w:sz w:val="16"/>
                <w:szCs w:val="16"/>
              </w:rPr>
              <w:t>1:2</w:t>
            </w:r>
          </w:p>
        </w:tc>
        <w:tc>
          <w:tcPr>
            <w:tcW w:w="1464" w:type="dxa"/>
            <w:tcBorders>
              <w:top w:val="single" w:sz="4" w:space="0" w:color="auto"/>
            </w:tcBorders>
          </w:tcPr>
          <w:p w:rsidR="0023604E" w:rsidRPr="00D07C78" w:rsidRDefault="0023604E">
            <w:pPr>
              <w:shd w:val="clear" w:color="000000" w:fill="auto"/>
              <w:spacing w:before="60" w:line="200" w:lineRule="exact"/>
              <w:rPr>
                <w:color w:val="000000"/>
                <w:sz w:val="16"/>
                <w:szCs w:val="16"/>
              </w:rPr>
            </w:pPr>
            <w:r w:rsidRPr="00D07C78">
              <w:rPr>
                <w:color w:val="000000"/>
                <w:sz w:val="16"/>
                <w:szCs w:val="16"/>
              </w:rPr>
              <w:t>Migrationsverket</w:t>
            </w:r>
          </w:p>
        </w:tc>
        <w:tc>
          <w:tcPr>
            <w:tcW w:w="2160" w:type="dxa"/>
            <w:tcBorders>
              <w:top w:val="single" w:sz="4" w:space="0" w:color="auto"/>
            </w:tcBorders>
          </w:tcPr>
          <w:p w:rsidR="0023604E" w:rsidRPr="00D07C78" w:rsidRDefault="0023604E">
            <w:pPr>
              <w:shd w:val="clear" w:color="000000" w:fill="auto"/>
              <w:spacing w:before="60" w:line="200" w:lineRule="exact"/>
              <w:jc w:val="right"/>
              <w:rPr>
                <w:color w:val="000000"/>
                <w:sz w:val="16"/>
                <w:szCs w:val="16"/>
              </w:rPr>
            </w:pPr>
            <w:r w:rsidRPr="00D07C78">
              <w:rPr>
                <w:color w:val="000000"/>
                <w:sz w:val="16"/>
                <w:szCs w:val="16"/>
              </w:rPr>
              <w:t>2 499 000</w:t>
            </w:r>
          </w:p>
        </w:tc>
        <w:tc>
          <w:tcPr>
            <w:tcW w:w="1788" w:type="dxa"/>
            <w:tcBorders>
              <w:top w:val="single" w:sz="4" w:space="0" w:color="auto"/>
            </w:tcBorders>
          </w:tcPr>
          <w:p w:rsidR="0023604E" w:rsidRPr="00D07C78" w:rsidRDefault="0023604E">
            <w:pPr>
              <w:shd w:val="clear" w:color="000000" w:fill="auto"/>
              <w:spacing w:before="60" w:line="200" w:lineRule="exact"/>
              <w:jc w:val="right"/>
              <w:rPr>
                <w:color w:val="000000"/>
                <w:sz w:val="16"/>
                <w:szCs w:val="16"/>
              </w:rPr>
            </w:pPr>
            <w:r w:rsidRPr="00D07C78">
              <w:rPr>
                <w:color w:val="000000"/>
                <w:sz w:val="16"/>
                <w:szCs w:val="16"/>
              </w:rPr>
              <w:t>+450 000</w:t>
            </w:r>
          </w:p>
        </w:tc>
      </w:tr>
      <w:tr w:rsidR="00000000" w:rsidRPr="00D07C78">
        <w:tc>
          <w:tcPr>
            <w:tcW w:w="711" w:type="dxa"/>
          </w:tcPr>
          <w:p w:rsidR="0023604E" w:rsidRPr="00D07C78" w:rsidRDefault="0023604E">
            <w:pPr>
              <w:shd w:val="clear" w:color="000000" w:fill="auto"/>
              <w:spacing w:before="60" w:line="200" w:lineRule="exact"/>
              <w:rPr>
                <w:color w:val="000000"/>
                <w:sz w:val="16"/>
                <w:szCs w:val="16"/>
              </w:rPr>
            </w:pPr>
            <w:r w:rsidRPr="00D07C78">
              <w:rPr>
                <w:color w:val="000000"/>
                <w:sz w:val="16"/>
                <w:szCs w:val="16"/>
              </w:rPr>
              <w:t>1:6</w:t>
            </w:r>
          </w:p>
        </w:tc>
        <w:tc>
          <w:tcPr>
            <w:tcW w:w="1464" w:type="dxa"/>
          </w:tcPr>
          <w:p w:rsidR="0023604E" w:rsidRPr="00D07C78" w:rsidRDefault="0023604E">
            <w:pPr>
              <w:shd w:val="clear" w:color="000000" w:fill="auto"/>
              <w:spacing w:before="60" w:line="200" w:lineRule="exact"/>
              <w:rPr>
                <w:color w:val="000000"/>
                <w:sz w:val="16"/>
                <w:szCs w:val="16"/>
              </w:rPr>
            </w:pPr>
            <w:r w:rsidRPr="00D07C78">
              <w:rPr>
                <w:color w:val="000000"/>
                <w:sz w:val="16"/>
                <w:szCs w:val="16"/>
              </w:rPr>
              <w:t>Offentligt biträde i utlänningsärenden</w:t>
            </w:r>
          </w:p>
        </w:tc>
        <w:tc>
          <w:tcPr>
            <w:tcW w:w="2160" w:type="dxa"/>
            <w:vAlign w:val="bottom"/>
          </w:tcPr>
          <w:p w:rsidR="0023604E" w:rsidRPr="00D07C78" w:rsidRDefault="0023604E">
            <w:pPr>
              <w:shd w:val="clear" w:color="000000" w:fill="auto"/>
              <w:spacing w:before="60" w:line="200" w:lineRule="exact"/>
              <w:jc w:val="right"/>
              <w:rPr>
                <w:color w:val="000000"/>
                <w:sz w:val="16"/>
                <w:szCs w:val="16"/>
              </w:rPr>
            </w:pPr>
            <w:r w:rsidRPr="00D07C78">
              <w:rPr>
                <w:color w:val="000000"/>
                <w:sz w:val="16"/>
                <w:szCs w:val="16"/>
              </w:rPr>
              <w:t>210 000</w:t>
            </w:r>
          </w:p>
        </w:tc>
        <w:tc>
          <w:tcPr>
            <w:tcW w:w="1788" w:type="dxa"/>
            <w:vAlign w:val="bottom"/>
          </w:tcPr>
          <w:p w:rsidR="0023604E" w:rsidRPr="00D07C78" w:rsidRDefault="0023604E">
            <w:pPr>
              <w:shd w:val="clear" w:color="000000" w:fill="auto"/>
              <w:spacing w:before="60" w:line="200" w:lineRule="exact"/>
              <w:jc w:val="right"/>
              <w:rPr>
                <w:color w:val="000000"/>
                <w:sz w:val="16"/>
                <w:szCs w:val="16"/>
              </w:rPr>
            </w:pPr>
            <w:r w:rsidRPr="00D07C78">
              <w:rPr>
                <w:color w:val="000000"/>
                <w:sz w:val="16"/>
                <w:szCs w:val="16"/>
              </w:rPr>
              <w:t>+100 000</w:t>
            </w:r>
          </w:p>
        </w:tc>
      </w:tr>
      <w:tr w:rsidR="00000000" w:rsidRPr="00D07C78">
        <w:tc>
          <w:tcPr>
            <w:tcW w:w="711" w:type="dxa"/>
          </w:tcPr>
          <w:p w:rsidR="0023604E" w:rsidRPr="00D07C78" w:rsidRDefault="0023604E">
            <w:pPr>
              <w:shd w:val="clear" w:color="000000" w:fill="auto"/>
              <w:spacing w:before="60" w:line="200" w:lineRule="exact"/>
              <w:rPr>
                <w:color w:val="000000"/>
                <w:sz w:val="16"/>
                <w:szCs w:val="16"/>
              </w:rPr>
            </w:pPr>
            <w:r w:rsidRPr="00D07C78">
              <w:rPr>
                <w:color w:val="000000"/>
                <w:sz w:val="16"/>
                <w:szCs w:val="16"/>
              </w:rPr>
              <w:t>1:7</w:t>
            </w:r>
          </w:p>
        </w:tc>
        <w:tc>
          <w:tcPr>
            <w:tcW w:w="1464" w:type="dxa"/>
          </w:tcPr>
          <w:p w:rsidR="0023604E" w:rsidRPr="00D07C78" w:rsidRDefault="0023604E">
            <w:pPr>
              <w:shd w:val="clear" w:color="000000" w:fill="auto"/>
              <w:spacing w:before="60" w:line="200" w:lineRule="exact"/>
              <w:rPr>
                <w:color w:val="000000"/>
                <w:sz w:val="16"/>
                <w:szCs w:val="16"/>
              </w:rPr>
            </w:pPr>
            <w:r w:rsidRPr="00D07C78">
              <w:rPr>
                <w:color w:val="000000"/>
                <w:sz w:val="16"/>
                <w:szCs w:val="16"/>
              </w:rPr>
              <w:t>Utresor för utvisade och avvisade</w:t>
            </w:r>
          </w:p>
        </w:tc>
        <w:tc>
          <w:tcPr>
            <w:tcW w:w="2160" w:type="dxa"/>
            <w:vAlign w:val="bottom"/>
          </w:tcPr>
          <w:p w:rsidR="0023604E" w:rsidRPr="00D07C78" w:rsidRDefault="0023604E">
            <w:pPr>
              <w:shd w:val="clear" w:color="000000" w:fill="auto"/>
              <w:spacing w:before="60" w:line="200" w:lineRule="exact"/>
              <w:jc w:val="right"/>
              <w:rPr>
                <w:color w:val="000000"/>
                <w:sz w:val="16"/>
                <w:szCs w:val="16"/>
              </w:rPr>
            </w:pPr>
            <w:r w:rsidRPr="00D07C78">
              <w:rPr>
                <w:color w:val="000000"/>
                <w:sz w:val="16"/>
                <w:szCs w:val="16"/>
              </w:rPr>
              <w:t>294 000</w:t>
            </w:r>
          </w:p>
        </w:tc>
        <w:tc>
          <w:tcPr>
            <w:tcW w:w="1788" w:type="dxa"/>
            <w:vAlign w:val="bottom"/>
          </w:tcPr>
          <w:p w:rsidR="0023604E" w:rsidRPr="00D07C78" w:rsidRDefault="0023604E">
            <w:pPr>
              <w:shd w:val="clear" w:color="000000" w:fill="auto"/>
              <w:spacing w:before="60" w:line="200" w:lineRule="exact"/>
              <w:jc w:val="right"/>
              <w:rPr>
                <w:color w:val="000000"/>
                <w:sz w:val="16"/>
                <w:szCs w:val="16"/>
              </w:rPr>
            </w:pPr>
            <w:r w:rsidRPr="00D07C78">
              <w:rPr>
                <w:color w:val="000000"/>
                <w:sz w:val="16"/>
                <w:szCs w:val="16"/>
              </w:rPr>
              <w:t>–100 000</w:t>
            </w:r>
          </w:p>
        </w:tc>
      </w:tr>
      <w:tr w:rsidR="00000000" w:rsidRPr="00D07C78">
        <w:tc>
          <w:tcPr>
            <w:tcW w:w="711" w:type="dxa"/>
          </w:tcPr>
          <w:p w:rsidR="0023604E" w:rsidRPr="00D07C78" w:rsidRDefault="0023604E">
            <w:pPr>
              <w:shd w:val="clear" w:color="000000" w:fill="auto"/>
              <w:spacing w:before="60" w:line="200" w:lineRule="exact"/>
              <w:rPr>
                <w:b/>
                <w:bCs/>
                <w:color w:val="000000"/>
                <w:sz w:val="16"/>
                <w:szCs w:val="16"/>
              </w:rPr>
            </w:pPr>
          </w:p>
        </w:tc>
        <w:tc>
          <w:tcPr>
            <w:tcW w:w="1464" w:type="dxa"/>
          </w:tcPr>
          <w:p w:rsidR="0023604E" w:rsidRPr="00D07C78" w:rsidRDefault="0023604E">
            <w:pPr>
              <w:shd w:val="clear" w:color="000000" w:fill="auto"/>
              <w:spacing w:before="60" w:line="200" w:lineRule="exact"/>
              <w:rPr>
                <w:b/>
                <w:bCs/>
                <w:color w:val="000000"/>
                <w:sz w:val="16"/>
                <w:szCs w:val="16"/>
              </w:rPr>
            </w:pPr>
            <w:r w:rsidRPr="00D07C78">
              <w:rPr>
                <w:b/>
                <w:bCs/>
                <w:color w:val="000000"/>
                <w:sz w:val="16"/>
                <w:szCs w:val="16"/>
              </w:rPr>
              <w:t>Summa</w:t>
            </w:r>
          </w:p>
        </w:tc>
        <w:tc>
          <w:tcPr>
            <w:tcW w:w="2160" w:type="dxa"/>
          </w:tcPr>
          <w:p w:rsidR="0023604E" w:rsidRPr="00D07C78" w:rsidRDefault="0023604E">
            <w:pPr>
              <w:shd w:val="clear" w:color="000000" w:fill="auto"/>
              <w:spacing w:before="60" w:line="200" w:lineRule="exact"/>
              <w:jc w:val="right"/>
              <w:rPr>
                <w:b/>
                <w:bCs/>
                <w:color w:val="000000"/>
                <w:sz w:val="16"/>
                <w:szCs w:val="16"/>
              </w:rPr>
            </w:pPr>
          </w:p>
        </w:tc>
        <w:tc>
          <w:tcPr>
            <w:tcW w:w="1788" w:type="dxa"/>
          </w:tcPr>
          <w:p w:rsidR="0023604E" w:rsidRPr="00D07C78" w:rsidRDefault="0023604E">
            <w:pPr>
              <w:shd w:val="clear" w:color="000000" w:fill="auto"/>
              <w:spacing w:before="60" w:line="200" w:lineRule="exact"/>
              <w:jc w:val="right"/>
              <w:rPr>
                <w:b/>
                <w:bCs/>
                <w:color w:val="000000"/>
                <w:sz w:val="16"/>
                <w:szCs w:val="16"/>
              </w:rPr>
            </w:pPr>
            <w:r w:rsidRPr="00D07C78">
              <w:rPr>
                <w:b/>
                <w:color w:val="000000"/>
                <w:sz w:val="16"/>
                <w:szCs w:val="16"/>
              </w:rPr>
              <w:t>+450 000</w:t>
            </w:r>
          </w:p>
        </w:tc>
      </w:tr>
    </w:tbl>
    <w:p w:rsidR="0023604E" w:rsidRPr="00D07C78" w:rsidRDefault="0023604E">
      <w:pPr>
        <w:shd w:val="clear" w:color="000000" w:fill="auto"/>
      </w:pPr>
    </w:p>
    <w:p w:rsidR="0023604E" w:rsidRPr="00D07C78" w:rsidRDefault="0023604E">
      <w:pPr>
        <w:pStyle w:val="Rubrik1"/>
        <w:shd w:val="clear" w:color="000000" w:fill="auto"/>
        <w:spacing w:before="480"/>
      </w:pPr>
      <w:r w:rsidRPr="00D07C78">
        <w:lastRenderedPageBreak/>
        <w:t>1.2 Migrationsverket</w:t>
      </w:r>
    </w:p>
    <w:p w:rsidR="0023604E" w:rsidRPr="00D07C78" w:rsidRDefault="0023604E">
      <w:pPr>
        <w:pStyle w:val="Normaltindrag"/>
        <w:shd w:val="clear" w:color="000000" w:fill="auto"/>
        <w:ind w:firstLine="0"/>
      </w:pPr>
      <w:r w:rsidRPr="00D07C78">
        <w:t>Vänsterpartiet vill genomföra en höjning av dagersättningen till asylsökande med 30 kronor per dag. Dagersättningen ligger redan på en nivå långt under möjligheten till skälig levnadsstandard och ersättningen riskerar att urholkas ytterligare. Enligt vårt förslag ska den därför också värdesäkras genom att knytas till konsumentprisindex. Vi ökar därför anslaget med 400 miljoner kronor 2012.</w:t>
      </w:r>
    </w:p>
    <w:p w:rsidR="0023604E" w:rsidRPr="00D07C78" w:rsidRDefault="0023604E">
      <w:pPr>
        <w:pStyle w:val="Normaltindrag"/>
        <w:shd w:val="clear" w:color="000000" w:fill="auto"/>
        <w:rPr>
          <w:snapToGrid w:val="0"/>
        </w:rPr>
      </w:pPr>
      <w:r w:rsidRPr="00D07C78">
        <w:t xml:space="preserve">Vi föreslår också att en </w:t>
      </w:r>
      <w:r w:rsidRPr="00D07C78">
        <w:rPr>
          <w:snapToGrid w:val="0"/>
        </w:rPr>
        <w:t xml:space="preserve">bostadsersättning till asylsökande i eget boende ska införas på </w:t>
      </w:r>
      <w:r w:rsidRPr="00D07C78">
        <w:t>500 kronor för ensamstående och 1 000 kronor för sammanboende. Detta är viktigt för att möjliggöra att asylsökande åtminstone i någon mån ska kunna svara för sina boendekostnader. Slopandet av den tidigare bostadse</w:t>
      </w:r>
      <w:r w:rsidRPr="00D07C78">
        <w:t>r</w:t>
      </w:r>
      <w:r w:rsidRPr="00D07C78">
        <w:t xml:space="preserve">sättningen har </w:t>
      </w:r>
      <w:r w:rsidRPr="00D07C78">
        <w:rPr>
          <w:snapToGrid w:val="0"/>
        </w:rPr>
        <w:t>gjort redan fattiga människor ännu fattigare. Vi ökar därför anslaget med 100 miljoner kronor från 2012.</w:t>
      </w:r>
    </w:p>
    <w:p w:rsidR="0023604E" w:rsidRPr="00D07C78" w:rsidRDefault="0023604E">
      <w:pPr>
        <w:pStyle w:val="Normaltindrag"/>
        <w:shd w:val="clear" w:color="000000" w:fill="auto"/>
        <w:rPr>
          <w:color w:val="000000"/>
          <w:szCs w:val="24"/>
        </w:rPr>
      </w:pPr>
      <w:r w:rsidRPr="00D07C78">
        <w:rPr>
          <w:color w:val="000000"/>
          <w:szCs w:val="24"/>
        </w:rPr>
        <w:t>Vi föreslår vidare en minskning av kostnaderna för förvar. Förvarstagande ska vara noggrant preciserat och ske en</w:t>
      </w:r>
      <w:r w:rsidRPr="00D07C78">
        <w:rPr>
          <w:color w:val="000000"/>
          <w:szCs w:val="24"/>
        </w:rPr>
        <w:t>dast i undantagsfall och med tydlig tidsbegränsning.</w:t>
      </w:r>
      <w:r w:rsidRPr="00D07C78">
        <w:rPr>
          <w:szCs w:val="24"/>
        </w:rPr>
        <w:t xml:space="preserve"> Genom införandet av ny instans- och processordning har också behovet av förvarsplatser minskat något</w:t>
      </w:r>
      <w:r w:rsidRPr="00D07C78">
        <w:rPr>
          <w:color w:val="000000"/>
          <w:szCs w:val="24"/>
        </w:rPr>
        <w:t>. Mot denna bakgrund föreslår vi en minskning av anslaget med 50 miljoner kronor 2012.</w:t>
      </w:r>
    </w:p>
    <w:p w:rsidR="0023604E" w:rsidRPr="00D07C78" w:rsidRDefault="0023604E">
      <w:pPr>
        <w:pStyle w:val="Normaltindrag"/>
        <w:shd w:val="clear" w:color="000000" w:fill="auto"/>
      </w:pPr>
      <w:r w:rsidRPr="00D07C78">
        <w:rPr>
          <w:snapToGrid w:val="0"/>
        </w:rPr>
        <w:t xml:space="preserve">Sammantaget </w:t>
      </w:r>
      <w:r w:rsidRPr="00D07C78">
        <w:t>föreslår Vänsterpartiet en ökning av anslaget 1:2 Ersättnin</w:t>
      </w:r>
      <w:r w:rsidRPr="00D07C78">
        <w:t>g</w:t>
      </w:r>
      <w:r w:rsidRPr="00D07C78">
        <w:t>ar och bostadskostnader med 450 miljoner kronor 2012 jämfört med regerin</w:t>
      </w:r>
      <w:r w:rsidRPr="00D07C78">
        <w:t>g</w:t>
      </w:r>
      <w:r w:rsidRPr="00D07C78">
        <w:t>ens förslag.</w:t>
      </w:r>
    </w:p>
    <w:p w:rsidR="0023604E" w:rsidRPr="00D07C78" w:rsidRDefault="0023604E">
      <w:pPr>
        <w:pStyle w:val="Rubrik1"/>
        <w:shd w:val="clear" w:color="000000" w:fill="auto"/>
      </w:pPr>
      <w:r w:rsidRPr="00D07C78">
        <w:t>1:6 Offentligt biträde i utlänningsärenden</w:t>
      </w:r>
    </w:p>
    <w:p w:rsidR="0023604E" w:rsidRPr="00D07C78" w:rsidRDefault="0023604E">
      <w:pPr>
        <w:pStyle w:val="Normaltindrag"/>
        <w:shd w:val="clear" w:color="000000" w:fill="auto"/>
        <w:ind w:firstLine="0"/>
      </w:pPr>
      <w:r w:rsidRPr="00D07C78">
        <w:t>För att svara upp mot kraven på rättssäkerhet inom asylprocessen behöver anslaget till offentliga biträden säkerställas på en tillräcklig nivå. Vi föreslår därmed en ökning av anslaget 1:6 Offentligt biträde i utlänningsärenden med 100 miljoner kronor 2012 jämfört med regeringens förslag.</w:t>
      </w:r>
    </w:p>
    <w:p w:rsidR="0023604E" w:rsidRPr="00D07C78" w:rsidRDefault="0023604E">
      <w:pPr>
        <w:pStyle w:val="Rubrik1"/>
        <w:shd w:val="clear" w:color="000000" w:fill="auto"/>
      </w:pPr>
      <w:r w:rsidRPr="00D07C78">
        <w:t>1:7 Utresor för avvisade och utvisade</w:t>
      </w:r>
    </w:p>
    <w:p w:rsidR="0023604E" w:rsidRPr="00D07C78" w:rsidRDefault="0023604E">
      <w:pPr>
        <w:shd w:val="clear" w:color="000000" w:fill="auto"/>
      </w:pPr>
      <w:r w:rsidRPr="00D07C78">
        <w:t>Sedan den nya instans- och processordningen genomfördes i asylprocessen har behovet av bevakade utresor för avvisade och utvisade minskat något. Vidare är det inte motiverat att som regeringen anslå medel för att kunna genomföra avvisningar av personer som är i så dåligt skick att de ska skickas ut med ambulans och medföljande medicinsk personal. Vänsterpartiet föreslår en minskning av anslaget med 100 miljoner kronor från 2012 jämfört med regeringens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7C78">
        <w:trPr>
          <w:cantSplit/>
        </w:trPr>
        <w:tc>
          <w:tcPr>
            <w:tcW w:w="3046" w:type="dxa"/>
          </w:tcPr>
          <w:p w:rsidR="0023604E" w:rsidRPr="00D07C78" w:rsidRDefault="0023604E">
            <w:pPr>
              <w:pStyle w:val="UnderskriftDatum"/>
              <w:shd w:val="clear" w:color="000000" w:fill="auto"/>
              <w:spacing w:before="240"/>
            </w:pPr>
            <w:r w:rsidRPr="00D07C78">
              <w:t>Stockholm den 4 oktober 2011</w:t>
            </w:r>
          </w:p>
        </w:tc>
        <w:tc>
          <w:tcPr>
            <w:tcW w:w="3047" w:type="dxa"/>
          </w:tcPr>
          <w:p w:rsidR="0023604E" w:rsidRPr="00D07C78" w:rsidRDefault="0023604E">
            <w:pPr>
              <w:pStyle w:val="Underskrifter"/>
              <w:shd w:val="clear" w:color="000000" w:fill="auto"/>
              <w:spacing w:before="240"/>
            </w:pPr>
          </w:p>
        </w:tc>
      </w:tr>
      <w:tr w:rsidR="00000000" w:rsidRPr="00D07C78">
        <w:trPr>
          <w:cantSplit/>
        </w:trPr>
        <w:tc>
          <w:tcPr>
            <w:tcW w:w="3046" w:type="dxa"/>
          </w:tcPr>
          <w:p w:rsidR="0023604E" w:rsidRPr="00D07C78" w:rsidRDefault="0023604E">
            <w:pPr>
              <w:pStyle w:val="Underskrifter"/>
              <w:shd w:val="clear" w:color="000000" w:fill="auto"/>
            </w:pPr>
            <w:r w:rsidRPr="00D07C78">
              <w:t>Lars Ohly (V)</w:t>
            </w:r>
          </w:p>
        </w:tc>
        <w:tc>
          <w:tcPr>
            <w:tcW w:w="3046" w:type="dxa"/>
          </w:tcPr>
          <w:p w:rsidR="0023604E" w:rsidRPr="00D07C78" w:rsidRDefault="0023604E">
            <w:pPr>
              <w:pStyle w:val="Underskrifter"/>
              <w:shd w:val="clear" w:color="000000" w:fill="auto"/>
            </w:pPr>
          </w:p>
        </w:tc>
      </w:tr>
      <w:tr w:rsidR="00000000" w:rsidRPr="00D07C78">
        <w:trPr>
          <w:cantSplit/>
        </w:trPr>
        <w:tc>
          <w:tcPr>
            <w:tcW w:w="3046" w:type="dxa"/>
          </w:tcPr>
          <w:p w:rsidR="0023604E" w:rsidRPr="00D07C78" w:rsidRDefault="0023604E">
            <w:pPr>
              <w:pStyle w:val="Underskrifter"/>
              <w:shd w:val="clear" w:color="000000" w:fill="auto"/>
            </w:pPr>
            <w:r w:rsidRPr="00D07C78">
              <w:t>Ulla Andersson (V)</w:t>
            </w:r>
          </w:p>
        </w:tc>
        <w:tc>
          <w:tcPr>
            <w:tcW w:w="3046" w:type="dxa"/>
          </w:tcPr>
          <w:p w:rsidR="0023604E" w:rsidRPr="00D07C78" w:rsidRDefault="0023604E">
            <w:pPr>
              <w:pStyle w:val="Underskrifter"/>
              <w:shd w:val="clear" w:color="000000" w:fill="auto"/>
            </w:pPr>
            <w:r w:rsidRPr="00D07C78">
              <w:t>Hans Linde (V)</w:t>
            </w:r>
          </w:p>
        </w:tc>
      </w:tr>
      <w:tr w:rsidR="00000000" w:rsidRPr="00D07C78">
        <w:trPr>
          <w:cantSplit/>
        </w:trPr>
        <w:tc>
          <w:tcPr>
            <w:tcW w:w="3046" w:type="dxa"/>
          </w:tcPr>
          <w:p w:rsidR="0023604E" w:rsidRPr="00D07C78" w:rsidRDefault="0023604E">
            <w:pPr>
              <w:pStyle w:val="Underskrifter"/>
              <w:shd w:val="clear" w:color="000000" w:fill="auto"/>
            </w:pPr>
            <w:r w:rsidRPr="00D07C78">
              <w:t>Eva Olofsson (V)</w:t>
            </w:r>
          </w:p>
        </w:tc>
        <w:tc>
          <w:tcPr>
            <w:tcW w:w="3046" w:type="dxa"/>
          </w:tcPr>
          <w:p w:rsidR="0023604E" w:rsidRPr="00D07C78" w:rsidRDefault="0023604E">
            <w:pPr>
              <w:pStyle w:val="Underskrifter"/>
              <w:shd w:val="clear" w:color="000000" w:fill="auto"/>
            </w:pPr>
            <w:r w:rsidRPr="00D07C78">
              <w:t>Jonas Sjöstedt (V)</w:t>
            </w:r>
          </w:p>
        </w:tc>
      </w:tr>
      <w:tr w:rsidR="00000000" w:rsidRPr="00D07C78">
        <w:trPr>
          <w:cantSplit/>
        </w:trPr>
        <w:tc>
          <w:tcPr>
            <w:tcW w:w="3046" w:type="dxa"/>
          </w:tcPr>
          <w:p w:rsidR="0023604E" w:rsidRPr="00D07C78" w:rsidRDefault="0023604E">
            <w:pPr>
              <w:pStyle w:val="Underskrifter"/>
              <w:shd w:val="clear" w:color="000000" w:fill="auto"/>
            </w:pPr>
            <w:r w:rsidRPr="00D07C78">
              <w:t>Mia Sydow Mölleby (V)</w:t>
            </w:r>
          </w:p>
        </w:tc>
        <w:tc>
          <w:tcPr>
            <w:tcW w:w="3046" w:type="dxa"/>
          </w:tcPr>
          <w:p w:rsidR="0023604E" w:rsidRPr="00D07C78" w:rsidRDefault="0023604E">
            <w:pPr>
              <w:pStyle w:val="Underskrifter"/>
              <w:shd w:val="clear" w:color="000000" w:fill="auto"/>
            </w:pPr>
            <w:r w:rsidRPr="00D07C78">
              <w:t>Christina Höj Larsen (V)</w:t>
            </w:r>
          </w:p>
        </w:tc>
      </w:tr>
    </w:tbl>
    <w:p w:rsidR="0023604E" w:rsidRPr="00D07C78" w:rsidRDefault="0023604E">
      <w:pPr>
        <w:pStyle w:val="Normaltindrag"/>
        <w:shd w:val="clear" w:color="000000" w:fill="auto"/>
      </w:pPr>
    </w:p>
    <w:sectPr w:rsidR="0023604E" w:rsidRPr="00D07C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604E" w:rsidRPr="00D07C78" w:rsidRDefault="0023604E">
      <w:r w:rsidRPr="00D07C78">
        <w:separator/>
      </w:r>
    </w:p>
  </w:endnote>
  <w:endnote w:type="continuationSeparator" w:id="0">
    <w:p w:rsidR="0023604E" w:rsidRPr="00D07C78" w:rsidRDefault="0023604E">
      <w:r w:rsidRPr="00D07C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04E" w:rsidRPr="00D07C78" w:rsidRDefault="00D07C78">
    <w:pPr>
      <w:pStyle w:val="Sidfot"/>
    </w:pPr>
    <w:r w:rsidRPr="00D07C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0844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04E" w:rsidRDefault="002360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604E" w:rsidRDefault="002360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04E" w:rsidRPr="00D07C78" w:rsidRDefault="00D07C78">
    <w:pPr>
      <w:pStyle w:val="Sidfot"/>
    </w:pPr>
    <w:r w:rsidRPr="00D07C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66607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04E" w:rsidRDefault="0023604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604E" w:rsidRDefault="0023604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04E" w:rsidRPr="00D07C78" w:rsidRDefault="00D07C78">
    <w:pPr>
      <w:pStyle w:val="Sidfot"/>
    </w:pPr>
    <w:r w:rsidRPr="00D07C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59527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04E" w:rsidRDefault="002360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604E" w:rsidRDefault="002360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604E" w:rsidRPr="00D07C78" w:rsidRDefault="0023604E">
      <w:r w:rsidRPr="00D07C78">
        <w:separator/>
      </w:r>
    </w:p>
  </w:footnote>
  <w:footnote w:type="continuationSeparator" w:id="0">
    <w:p w:rsidR="0023604E" w:rsidRPr="00D07C78" w:rsidRDefault="0023604E">
      <w:r w:rsidRPr="00D07C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04E" w:rsidRPr="00D07C78" w:rsidRDefault="00D07C78">
    <w:pPr>
      <w:pStyle w:val="Sidhuvud"/>
    </w:pPr>
    <w:r w:rsidRPr="00D07C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96276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04E" w:rsidRDefault="002360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604E" w:rsidRDefault="002360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04E" w:rsidRPr="00D07C78" w:rsidRDefault="00D07C78">
    <w:pPr>
      <w:pStyle w:val="Sidhuvud"/>
    </w:pPr>
    <w:r w:rsidRPr="00D07C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57104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04E" w:rsidRDefault="002360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604E" w:rsidRDefault="002360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04E" w:rsidRPr="00D07C78" w:rsidRDefault="0023604E">
    <w:pPr>
      <w:pStyle w:val="FSHNormal"/>
      <w:tabs>
        <w:tab w:val="right" w:pos="5840"/>
      </w:tabs>
    </w:pPr>
    <w:r w:rsidRPr="00D07C78">
      <w:br/>
    </w:r>
    <w:r w:rsidRPr="00D07C78">
      <w:fldChar w:fldCharType="begin" w:fldLock="1"/>
    </w:r>
    <w:r w:rsidRPr="00D07C78">
      <w:instrText xml:space="preserve"> DOCPROPERTY</w:instrText>
    </w:r>
    <w:r w:rsidRPr="00D07C78">
      <w:rPr>
        <w:sz w:val="18"/>
      </w:rPr>
      <w:instrText xml:space="preserve"> "YearUser" *\charformat </w:instrText>
    </w:r>
    <w:r w:rsidRPr="00D07C78">
      <w:fldChar w:fldCharType="separate"/>
    </w:r>
    <w:r w:rsidRPr="00D07C78">
      <w:t>2011/12</w:t>
    </w:r>
    <w:r w:rsidRPr="00D07C78">
      <w:fldChar w:fldCharType="end"/>
    </w:r>
    <w:r w:rsidRPr="00D07C78">
      <w:t xml:space="preserve"> </w:t>
    </w:r>
    <w:r w:rsidRPr="00D07C78">
      <w:tab/>
      <w:t xml:space="preserve">mnr: </w:t>
    </w:r>
    <w:r w:rsidRPr="00D07C78">
      <w:fldChar w:fldCharType="begin" w:fldLock="1"/>
    </w:r>
    <w:r w:rsidRPr="00D07C78">
      <w:instrText xml:space="preserve"> DOCPROPERTY</w:instrText>
    </w:r>
    <w:r w:rsidRPr="00D07C78">
      <w:rPr>
        <w:sz w:val="18"/>
      </w:rPr>
      <w:instrText xml:space="preserve"> "Motionsnummer" *\charformat </w:instrText>
    </w:r>
    <w:r w:rsidRPr="00D07C78">
      <w:fldChar w:fldCharType="separate"/>
    </w:r>
    <w:r w:rsidRPr="00D07C78">
      <w:t>Sf326</w:t>
    </w:r>
    <w:r w:rsidRPr="00D07C78">
      <w:fldChar w:fldCharType="end"/>
    </w:r>
    <w:r w:rsidRPr="00D07C78">
      <w:br/>
    </w:r>
    <w:r w:rsidRPr="00D07C78">
      <w:fldChar w:fldCharType="begin" w:fldLock="1"/>
    </w:r>
    <w:r w:rsidRPr="00D07C78">
      <w:instrText xml:space="preserve"> DOCPROPERTY</w:instrText>
    </w:r>
    <w:r w:rsidRPr="00D07C78">
      <w:rPr>
        <w:sz w:val="18"/>
      </w:rPr>
      <w:instrText xml:space="preserve"> "Samling" *\charformat </w:instrText>
    </w:r>
    <w:r w:rsidRPr="00D07C78">
      <w:fldChar w:fldCharType="end"/>
    </w:r>
    <w:r w:rsidRPr="00D07C78">
      <w:tab/>
      <w:t xml:space="preserve">pnr: </w:t>
    </w:r>
    <w:r w:rsidRPr="00D07C78">
      <w:fldChar w:fldCharType="begin" w:fldLock="1"/>
    </w:r>
    <w:r w:rsidRPr="00D07C78">
      <w:instrText xml:space="preserve"> DOCPROPERTY</w:instrText>
    </w:r>
    <w:r w:rsidRPr="00D07C78">
      <w:rPr>
        <w:sz w:val="18"/>
      </w:rPr>
      <w:instrText xml:space="preserve"> "Partinummer" *\charformat </w:instrText>
    </w:r>
    <w:r w:rsidRPr="00D07C78">
      <w:fldChar w:fldCharType="separate"/>
    </w:r>
    <w:r w:rsidRPr="00D07C78">
      <w:t>V232</w:t>
    </w:r>
    <w:r w:rsidRPr="00D07C78">
      <w:fldChar w:fldCharType="end"/>
    </w:r>
  </w:p>
  <w:p w:rsidR="0023604E" w:rsidRPr="00D07C78" w:rsidRDefault="0023604E">
    <w:pPr>
      <w:pStyle w:val="FSHRub1"/>
    </w:pPr>
    <w:r w:rsidRPr="00D07C78">
      <w:t>Motion till riksdagen</w:t>
    </w:r>
    <w:r w:rsidRPr="00D07C78">
      <w:br/>
    </w:r>
    <w:r w:rsidRPr="00D07C78">
      <w:fldChar w:fldCharType="begin" w:fldLock="1"/>
    </w:r>
    <w:r w:rsidRPr="00D07C78">
      <w:instrText xml:space="preserve"> DOCPROPERTY "YearUser" *\charformat </w:instrText>
    </w:r>
    <w:r w:rsidRPr="00D07C78">
      <w:fldChar w:fldCharType="separate"/>
    </w:r>
    <w:r w:rsidRPr="00D07C78">
      <w:t>2011/12</w:t>
    </w:r>
    <w:r w:rsidRPr="00D07C78">
      <w:fldChar w:fldCharType="end"/>
    </w:r>
    <w:r w:rsidRPr="00D07C78">
      <w:t>:</w:t>
    </w:r>
    <w:r w:rsidRPr="00D07C78">
      <w:fldChar w:fldCharType="begin" w:fldLock="1"/>
    </w:r>
    <w:r w:rsidRPr="00D07C78">
      <w:instrText xml:space="preserve"> DOCPROPERTY "Motionsnummer" *\charformat </w:instrText>
    </w:r>
    <w:r w:rsidRPr="00D07C78">
      <w:fldChar w:fldCharType="separate"/>
    </w:r>
    <w:r w:rsidRPr="00D07C78">
      <w:t>Sf326</w:t>
    </w:r>
    <w:r w:rsidRPr="00D07C78">
      <w:fldChar w:fldCharType="end"/>
    </w:r>
  </w:p>
  <w:p w:rsidR="0023604E" w:rsidRPr="00D07C78" w:rsidRDefault="0023604E">
    <w:pPr>
      <w:pStyle w:val="FSHNormalS5"/>
    </w:pPr>
    <w:r w:rsidRPr="00D07C78">
      <w:fldChar w:fldCharType="begin" w:fldLock="1"/>
    </w:r>
    <w:r w:rsidRPr="00D07C78">
      <w:instrText xml:space="preserve"> DOCPROPERTY "MotionarText" *\charformat </w:instrText>
    </w:r>
    <w:r w:rsidRPr="00D07C78">
      <w:fldChar w:fldCharType="separate"/>
    </w:r>
    <w:r w:rsidRPr="00D07C78">
      <w:t>av Lars Ohly m.fl. (V)</w:t>
    </w:r>
    <w:r w:rsidRPr="00D07C78">
      <w:fldChar w:fldCharType="end"/>
    </w:r>
    <w:r w:rsidRPr="00D07C78">
      <w:br/>
    </w:r>
    <w:r w:rsidRPr="00D07C78">
      <w:fldChar w:fldCharType="begin" w:fldLock="1"/>
    </w:r>
    <w:r w:rsidRPr="00D07C78">
      <w:instrText xml:space="preserve"> DOCPROPERTY "SvarFrasKort" *\charformat </w:instrText>
    </w:r>
    <w:r w:rsidRPr="00D07C78">
      <w:fldChar w:fldCharType="end"/>
    </w:r>
  </w:p>
  <w:p w:rsidR="0023604E" w:rsidRPr="00D07C78" w:rsidRDefault="0023604E">
    <w:pPr>
      <w:pStyle w:val="FSHTitel"/>
    </w:pPr>
    <w:r w:rsidRPr="00D07C78">
      <w:fldChar w:fldCharType="begin" w:fldLock="1"/>
    </w:r>
    <w:r w:rsidRPr="00D07C78">
      <w:instrText xml:space="preserve"> DOCPROPERTY</w:instrText>
    </w:r>
    <w:r w:rsidRPr="00D07C78">
      <w:rPr>
        <w:sz w:val="18"/>
      </w:rPr>
      <w:instrText xml:space="preserve"> "RubrikSvar" *\charformat </w:instrText>
    </w:r>
    <w:r w:rsidRPr="00D07C78">
      <w:fldChar w:fldCharType="separate"/>
    </w:r>
    <w:r w:rsidRPr="00D07C78">
      <w:t>Utgiftsområde 8 Migration</w:t>
    </w:r>
    <w:r w:rsidRPr="00D07C78">
      <w:fldChar w:fldCharType="end"/>
    </w:r>
  </w:p>
  <w:p w:rsidR="0023604E" w:rsidRPr="00D07C78" w:rsidRDefault="0023604E">
    <w:pPr>
      <w:pStyle w:val="Normal00"/>
    </w:pPr>
  </w:p>
  <w:p w:rsidR="0023604E" w:rsidRPr="00D07C78" w:rsidRDefault="002360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9293384">
    <w:abstractNumId w:val="3"/>
  </w:num>
  <w:num w:numId="2" w16cid:durableId="83310594">
    <w:abstractNumId w:val="2"/>
  </w:num>
  <w:num w:numId="3" w16cid:durableId="1980454432">
    <w:abstractNumId w:val="1"/>
  </w:num>
  <w:num w:numId="4" w16cid:durableId="1408721072">
    <w:abstractNumId w:val="0"/>
  </w:num>
  <w:num w:numId="5" w16cid:durableId="507138323">
    <w:abstractNumId w:val="7"/>
  </w:num>
  <w:num w:numId="6" w16cid:durableId="2053112337">
    <w:abstractNumId w:val="6"/>
  </w:num>
  <w:num w:numId="7" w16cid:durableId="1843160877">
    <w:abstractNumId w:val="5"/>
  </w:num>
  <w:num w:numId="8" w16cid:durableId="17052833">
    <w:abstractNumId w:val="4"/>
  </w:num>
  <w:num w:numId="9" w16cid:durableId="1035666109">
    <w:abstractNumId w:val="8"/>
  </w:num>
  <w:num w:numId="10" w16cid:durableId="914978409">
    <w:abstractNumId w:val="9"/>
  </w:num>
  <w:num w:numId="11" w16cid:durableId="2130929876">
    <w:abstractNumId w:val="10"/>
  </w:num>
  <w:num w:numId="12" w16cid:durableId="1459957228">
    <w:abstractNumId w:val="13"/>
  </w:num>
  <w:num w:numId="13" w16cid:durableId="1936589342">
    <w:abstractNumId w:val="15"/>
  </w:num>
  <w:num w:numId="14" w16cid:durableId="2045978264">
    <w:abstractNumId w:val="16"/>
  </w:num>
  <w:num w:numId="15" w16cid:durableId="1220938654">
    <w:abstractNumId w:val="11"/>
  </w:num>
  <w:num w:numId="16" w16cid:durableId="1781604628">
    <w:abstractNumId w:val="18"/>
  </w:num>
  <w:num w:numId="17" w16cid:durableId="1112361123">
    <w:abstractNumId w:val="17"/>
  </w:num>
  <w:num w:numId="18" w16cid:durableId="1542134475">
    <w:abstractNumId w:val="14"/>
  </w:num>
  <w:num w:numId="19" w16cid:durableId="5445633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653F0F50-6F1F-4A36-9FEB-9B3CE8CAF153},{9757EBE9-5352-471C-B04A-E35C112BD16A},{00468181-7122-42C5-877E-69489063FE94},{A3B7BC79-15BA-4C82-9CD3-12632F50DBA0},{DA248C4D-AFF6-4AC5-94CA-AED252C8C8C8},{A7313DCE-0B34-4C27-86F8-BEBB9AB9F316},{655152DA-9738-498E-8F40-529248027960}"/>
  </w:docVars>
  <w:rsids>
    <w:rsidRoot w:val="00AC114E"/>
    <w:rsid w:val="0023604E"/>
    <w:rsid w:val="00AC114E"/>
    <w:rsid w:val="00D07C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FCD194-26EC-4038-B0CE-29C3059C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2981</Characters>
  <Application>Microsoft Office Word</Application>
  <DocSecurity>4</DocSecurity>
  <Lines>82</Lines>
  <Paragraphs>44</Paragraphs>
  <ScaleCrop>false</ScaleCrop>
  <HeadingPairs>
    <vt:vector size="2" baseType="variant">
      <vt:variant>
        <vt:lpstr>Rubrik</vt:lpstr>
      </vt:variant>
      <vt:variant>
        <vt:i4>1</vt:i4>
      </vt:variant>
    </vt:vector>
  </HeadingPairs>
  <TitlesOfParts>
    <vt:vector size="1" baseType="lpstr">
      <vt:lpstr>V232</vt:lpstr>
    </vt:vector>
  </TitlesOfParts>
  <Company>Riksdagen</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V232</dc:title>
  <dc:subject>V232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2011-10-30T07:09:00Z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8 Migration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8 Migration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V232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(V)\Olofsson, Eva (V)\Sjöstedt, Jonas (V)\Sydow Mölleby, Mia (V)\Höj Larsen, Christina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Eva Olofsson (V), Jonas Sjöstedt (V), Mia Sydow Mölleby (V), Christina Höj Larsen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20112012000000000086000002320080</vt:lpwstr>
  </property>
  <property fmtid="{D5CDD505-2E9C-101B-9397-08002B2CF9AE}" pid="47" name="datum">
    <vt:lpwstr>111004</vt:lpwstr>
  </property>
  <property fmtid="{D5CDD505-2E9C-101B-9397-08002B2CF9AE}" pid="48" name="avsändar-e-post">
    <vt:lpwstr>kristina.bostrom.carlback@riksdagen.se</vt:lpwstr>
  </property>
  <property fmtid="{D5CDD505-2E9C-101B-9397-08002B2CF9AE}" pid="49" name="id">
    <vt:lpwstr>20112012000000000086000002320080</vt:lpwstr>
  </property>
  <property fmtid="{D5CDD505-2E9C-101B-9397-08002B2CF9AE}" pid="50" name="nummer">
    <vt:lpwstr>326</vt:lpwstr>
  </property>
  <property fmtid="{D5CDD505-2E9C-101B-9397-08002B2CF9AE}" pid="51" name="utskottsbeteckning">
    <vt:lpwstr>Sf</vt:lpwstr>
  </property>
  <property fmtid="{D5CDD505-2E9C-101B-9397-08002B2CF9AE}" pid="52" name="GlobalUID">
    <vt:lpwstr>{7F82B798-BC10-4AA9-B394-FF538FB794FC}</vt:lpwstr>
  </property>
  <property fmtid="{D5CDD505-2E9C-101B-9397-08002B2CF9AE}" pid="53" name="Överföringar">
    <vt:i4>0</vt:i4>
  </property>
  <property fmtid="{D5CDD505-2E9C-101B-9397-08002B2CF9AE}" pid="54" name="Checksum">
    <vt:lpwstr>*0020800325202*</vt:lpwstr>
  </property>
  <property fmtid="{D5CDD505-2E9C-101B-9397-08002B2CF9AE}" pid="55" name="skuggnummer">
    <vt:lpwstr>2698</vt:lpwstr>
  </property>
  <property fmtid="{D5CDD505-2E9C-101B-9397-08002B2CF9AE}" pid="56" name="urixVersion">
    <vt:lpwstr>4.5.0.25</vt:lpwstr>
  </property>
  <property fmtid="{D5CDD505-2E9C-101B-9397-08002B2CF9AE}" pid="57" name="urixOrigin">
    <vt:lpwstr>111101 13:23:43.566</vt:lpwstr>
  </property>
  <property fmtid="{D5CDD505-2E9C-101B-9397-08002B2CF9AE}" pid="58" name="urixGuid">
    <vt:lpwstr>{B3BBB7E0-E349-4CCF-8996-02538334A923}</vt:lpwstr>
  </property>
</Properties>
</file>