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3FA" w:rsidRPr="00B263FA" w:rsidRDefault="00B263FA">
      <w:pPr>
        <w:pStyle w:val="Hemstlrubrik"/>
        <w:shd w:val="clear" w:color="000000" w:fill="auto"/>
      </w:pPr>
      <w:bookmarkStart w:id="0" w:name="_Toc210971996"/>
      <w:r w:rsidRPr="00B263FA">
        <w:t>Förslag till riksdagsbeslut</w:t>
      </w:r>
      <w:bookmarkEnd w:id="0"/>
    </w:p>
    <w:p w:rsidR="00B263FA" w:rsidRPr="00B263FA" w:rsidRDefault="00B263FA">
      <w:pPr>
        <w:pStyle w:val="Hemstlatt"/>
        <w:shd w:val="clear" w:color="000000" w:fill="auto"/>
        <w:ind w:left="0"/>
      </w:pPr>
      <w:r w:rsidRPr="00B263FA">
        <w:t>Riksdagen anvisar med följande ändringar i förhålla</w:t>
      </w:r>
      <w:r w:rsidRPr="00B263FA">
        <w:t>n</w:t>
      </w:r>
      <w:r w:rsidRPr="00B263FA">
        <w:t>de till regeringens förslag anslagen under utgiftsområde 24 Näringsliv enligt uppställning:</w:t>
      </w:r>
    </w:p>
    <w:p w:rsidR="00B263FA" w:rsidRPr="00B263FA" w:rsidRDefault="00B263FA">
      <w:pPr>
        <w:shd w:val="clear" w:color="000000" w:fill="auto"/>
        <w:rPr>
          <w:b/>
        </w:rPr>
      </w:pPr>
    </w:p>
    <w:tbl>
      <w:tblPr>
        <w:tblW w:w="5897" w:type="dxa"/>
        <w:tblLayout w:type="fixed"/>
        <w:tblLook w:val="01E0" w:firstRow="1" w:lastRow="1" w:firstColumn="1" w:lastColumn="1" w:noHBand="0" w:noVBand="0"/>
      </w:tblPr>
      <w:tblGrid>
        <w:gridCol w:w="1164"/>
        <w:gridCol w:w="2696"/>
        <w:gridCol w:w="1145"/>
        <w:gridCol w:w="892"/>
      </w:tblGrid>
      <w:tr w:rsidR="00000000" w:rsidRPr="00B263FA">
        <w:tc>
          <w:tcPr>
            <w:tcW w:w="1101" w:type="dxa"/>
            <w:tcBorders>
              <w:top w:val="single" w:sz="4" w:space="0" w:color="auto"/>
              <w:bottom w:val="single" w:sz="4" w:space="0" w:color="auto"/>
            </w:tcBorders>
          </w:tcPr>
          <w:p w:rsidR="00B263FA" w:rsidRPr="00B263FA" w:rsidRDefault="00B263FA">
            <w:pPr>
              <w:shd w:val="clear" w:color="000000" w:fill="auto"/>
              <w:spacing w:line="220" w:lineRule="exact"/>
              <w:rPr>
                <w:b/>
                <w:sz w:val="16"/>
                <w:szCs w:val="16"/>
              </w:rPr>
            </w:pPr>
            <w:r w:rsidRPr="00B263FA">
              <w:rPr>
                <w:b/>
                <w:sz w:val="16"/>
                <w:szCs w:val="16"/>
              </w:rPr>
              <w:t>Anslag</w:t>
            </w:r>
          </w:p>
        </w:tc>
        <w:tc>
          <w:tcPr>
            <w:tcW w:w="2551" w:type="dxa"/>
            <w:tcBorders>
              <w:top w:val="single" w:sz="4" w:space="0" w:color="auto"/>
              <w:bottom w:val="single" w:sz="4" w:space="0" w:color="auto"/>
            </w:tcBorders>
          </w:tcPr>
          <w:p w:rsidR="00B263FA" w:rsidRPr="00B263FA" w:rsidRDefault="00B263FA">
            <w:pPr>
              <w:shd w:val="clear" w:color="000000" w:fill="auto"/>
              <w:spacing w:line="220" w:lineRule="exact"/>
              <w:rPr>
                <w:b/>
                <w:sz w:val="16"/>
                <w:szCs w:val="16"/>
              </w:rPr>
            </w:pPr>
            <w:r w:rsidRPr="00B263FA">
              <w:rPr>
                <w:b/>
                <w:sz w:val="16"/>
                <w:szCs w:val="16"/>
              </w:rPr>
              <w:t>Näringsliv</w:t>
            </w:r>
          </w:p>
        </w:tc>
        <w:tc>
          <w:tcPr>
            <w:tcW w:w="1083" w:type="dxa"/>
            <w:tcBorders>
              <w:top w:val="single" w:sz="4" w:space="0" w:color="auto"/>
              <w:bottom w:val="single" w:sz="4" w:space="0" w:color="auto"/>
            </w:tcBorders>
          </w:tcPr>
          <w:p w:rsidR="00B263FA" w:rsidRPr="00B263FA" w:rsidRDefault="00B263FA">
            <w:pPr>
              <w:shd w:val="clear" w:color="000000" w:fill="auto"/>
              <w:spacing w:line="220" w:lineRule="exact"/>
              <w:jc w:val="right"/>
              <w:rPr>
                <w:b/>
                <w:sz w:val="16"/>
                <w:szCs w:val="16"/>
              </w:rPr>
            </w:pPr>
            <w:r w:rsidRPr="00B263FA">
              <w:rPr>
                <w:b/>
                <w:sz w:val="16"/>
                <w:szCs w:val="16"/>
              </w:rPr>
              <w:t>Regeringens förslag</w:t>
            </w:r>
            <w:r w:rsidRPr="00B263FA">
              <w:rPr>
                <w:b/>
                <w:sz w:val="16"/>
                <w:szCs w:val="16"/>
              </w:rPr>
              <w:br/>
              <w:t>(tkr)</w:t>
            </w:r>
          </w:p>
        </w:tc>
        <w:tc>
          <w:tcPr>
            <w:tcW w:w="844" w:type="dxa"/>
            <w:tcBorders>
              <w:top w:val="single" w:sz="4" w:space="0" w:color="auto"/>
              <w:bottom w:val="single" w:sz="4" w:space="0" w:color="auto"/>
            </w:tcBorders>
          </w:tcPr>
          <w:p w:rsidR="00B263FA" w:rsidRPr="00B263FA" w:rsidRDefault="00B263FA">
            <w:pPr>
              <w:shd w:val="clear" w:color="000000" w:fill="auto"/>
              <w:spacing w:line="220" w:lineRule="exact"/>
              <w:ind w:left="-113"/>
              <w:jc w:val="right"/>
              <w:rPr>
                <w:b/>
                <w:sz w:val="16"/>
                <w:szCs w:val="16"/>
              </w:rPr>
            </w:pPr>
            <w:r w:rsidRPr="00B263FA">
              <w:rPr>
                <w:b/>
                <w:spacing w:val="-4"/>
                <w:sz w:val="16"/>
                <w:szCs w:val="16"/>
              </w:rPr>
              <w:t>Förändr</w:t>
            </w:r>
            <w:r w:rsidRPr="00B263FA">
              <w:rPr>
                <w:b/>
                <w:sz w:val="16"/>
                <w:szCs w:val="16"/>
              </w:rPr>
              <w:t>ing</w:t>
            </w:r>
            <w:r w:rsidRPr="00B263FA">
              <w:rPr>
                <w:b/>
                <w:sz w:val="16"/>
                <w:szCs w:val="16"/>
              </w:rPr>
              <w:br/>
              <w:t>(tkr)</w:t>
            </w:r>
          </w:p>
        </w:tc>
      </w:tr>
      <w:tr w:rsidR="00000000" w:rsidRPr="00B263FA">
        <w:tc>
          <w:tcPr>
            <w:tcW w:w="1101" w:type="dxa"/>
            <w:tcBorders>
              <w:top w:val="single" w:sz="4" w:space="0" w:color="auto"/>
            </w:tcBorders>
          </w:tcPr>
          <w:p w:rsidR="00B263FA" w:rsidRPr="00B263FA" w:rsidRDefault="00B263FA">
            <w:pPr>
              <w:shd w:val="clear" w:color="000000" w:fill="auto"/>
              <w:spacing w:line="220" w:lineRule="exact"/>
              <w:rPr>
                <w:sz w:val="16"/>
                <w:szCs w:val="16"/>
              </w:rPr>
            </w:pPr>
            <w:r w:rsidRPr="00B263FA">
              <w:rPr>
                <w:sz w:val="16"/>
                <w:szCs w:val="16"/>
              </w:rPr>
              <w:t>3.9.2 1:2</w:t>
            </w:r>
          </w:p>
        </w:tc>
        <w:tc>
          <w:tcPr>
            <w:tcW w:w="2551" w:type="dxa"/>
            <w:tcBorders>
              <w:top w:val="single" w:sz="4" w:space="0" w:color="auto"/>
            </w:tcBorders>
            <w:vAlign w:val="bottom"/>
          </w:tcPr>
          <w:p w:rsidR="00B263FA" w:rsidRPr="00B263FA" w:rsidRDefault="00B263FA">
            <w:pPr>
              <w:shd w:val="clear" w:color="000000" w:fill="auto"/>
              <w:spacing w:line="220" w:lineRule="exact"/>
              <w:rPr>
                <w:b/>
                <w:spacing w:val="-2"/>
                <w:sz w:val="16"/>
                <w:szCs w:val="16"/>
              </w:rPr>
            </w:pPr>
            <w:r w:rsidRPr="00B263FA">
              <w:rPr>
                <w:spacing w:val="-2"/>
                <w:sz w:val="16"/>
                <w:szCs w:val="16"/>
              </w:rPr>
              <w:t>Verket för innovationsutveck</w:t>
            </w:r>
            <w:r w:rsidRPr="00B263FA">
              <w:rPr>
                <w:spacing w:val="-2"/>
                <w:sz w:val="16"/>
                <w:szCs w:val="16"/>
              </w:rPr>
              <w:softHyphen/>
              <w:t>ling: FoU</w:t>
            </w:r>
          </w:p>
        </w:tc>
        <w:tc>
          <w:tcPr>
            <w:tcW w:w="1083" w:type="dxa"/>
            <w:tcBorders>
              <w:top w:val="single" w:sz="4" w:space="0" w:color="auto"/>
            </w:tcBorders>
            <w:vAlign w:val="bottom"/>
          </w:tcPr>
          <w:p w:rsidR="00B263FA" w:rsidRPr="00B263FA" w:rsidRDefault="00B263FA">
            <w:pPr>
              <w:shd w:val="clear" w:color="000000" w:fill="auto"/>
              <w:spacing w:line="220" w:lineRule="exact"/>
              <w:jc w:val="right"/>
              <w:rPr>
                <w:sz w:val="16"/>
                <w:szCs w:val="16"/>
              </w:rPr>
            </w:pPr>
            <w:r w:rsidRPr="00B263FA">
              <w:rPr>
                <w:sz w:val="16"/>
                <w:szCs w:val="16"/>
              </w:rPr>
              <w:t>1 846 179</w:t>
            </w:r>
          </w:p>
        </w:tc>
        <w:tc>
          <w:tcPr>
            <w:tcW w:w="844" w:type="dxa"/>
            <w:tcBorders>
              <w:top w:val="single" w:sz="4" w:space="0" w:color="auto"/>
            </w:tcBorders>
            <w:vAlign w:val="bottom"/>
          </w:tcPr>
          <w:p w:rsidR="00B263FA" w:rsidRPr="00B263FA" w:rsidRDefault="00B263FA">
            <w:pPr>
              <w:shd w:val="clear" w:color="000000" w:fill="auto"/>
              <w:spacing w:line="220" w:lineRule="exact"/>
              <w:jc w:val="right"/>
              <w:rPr>
                <w:sz w:val="16"/>
                <w:szCs w:val="16"/>
              </w:rPr>
            </w:pPr>
            <w:r w:rsidRPr="00B263FA">
              <w:rPr>
                <w:sz w:val="16"/>
                <w:szCs w:val="16"/>
              </w:rPr>
              <w:t>100 000</w:t>
            </w:r>
          </w:p>
        </w:tc>
      </w:tr>
      <w:tr w:rsidR="00000000" w:rsidRPr="00B263FA">
        <w:tc>
          <w:tcPr>
            <w:tcW w:w="1101" w:type="dxa"/>
            <w:vAlign w:val="bottom"/>
          </w:tcPr>
          <w:p w:rsidR="00B263FA" w:rsidRPr="00B263FA" w:rsidRDefault="00B263FA">
            <w:pPr>
              <w:shd w:val="clear" w:color="000000" w:fill="auto"/>
              <w:spacing w:line="220" w:lineRule="exact"/>
              <w:rPr>
                <w:b/>
                <w:sz w:val="16"/>
                <w:szCs w:val="16"/>
              </w:rPr>
            </w:pPr>
            <w:r w:rsidRPr="00B263FA">
              <w:rPr>
                <w:sz w:val="16"/>
                <w:szCs w:val="16"/>
              </w:rPr>
              <w:t>3.9.5 1:5</w:t>
            </w:r>
          </w:p>
        </w:tc>
        <w:tc>
          <w:tcPr>
            <w:tcW w:w="2551" w:type="dxa"/>
            <w:vAlign w:val="bottom"/>
          </w:tcPr>
          <w:p w:rsidR="00B263FA" w:rsidRPr="00B263FA" w:rsidRDefault="00B263FA">
            <w:pPr>
              <w:shd w:val="clear" w:color="000000" w:fill="auto"/>
              <w:spacing w:line="220" w:lineRule="exact"/>
              <w:rPr>
                <w:b/>
                <w:sz w:val="16"/>
                <w:szCs w:val="16"/>
              </w:rPr>
            </w:pPr>
            <w:r w:rsidRPr="00B263FA">
              <w:rPr>
                <w:sz w:val="16"/>
                <w:szCs w:val="16"/>
              </w:rPr>
              <w:t>Näringslivsutveckling m.m.</w:t>
            </w:r>
          </w:p>
        </w:tc>
        <w:tc>
          <w:tcPr>
            <w:tcW w:w="1083" w:type="dxa"/>
            <w:vAlign w:val="bottom"/>
          </w:tcPr>
          <w:p w:rsidR="00B263FA" w:rsidRPr="00B263FA" w:rsidRDefault="00B263FA">
            <w:pPr>
              <w:shd w:val="clear" w:color="000000" w:fill="auto"/>
              <w:spacing w:line="220" w:lineRule="exact"/>
              <w:jc w:val="right"/>
              <w:rPr>
                <w:b/>
                <w:sz w:val="16"/>
                <w:szCs w:val="16"/>
              </w:rPr>
            </w:pPr>
            <w:r w:rsidRPr="00B263FA">
              <w:rPr>
                <w:sz w:val="16"/>
                <w:szCs w:val="16"/>
              </w:rPr>
              <w:t>515 509</w:t>
            </w:r>
          </w:p>
        </w:tc>
        <w:tc>
          <w:tcPr>
            <w:tcW w:w="844" w:type="dxa"/>
            <w:vAlign w:val="bottom"/>
          </w:tcPr>
          <w:p w:rsidR="00B263FA" w:rsidRPr="00B263FA" w:rsidRDefault="00B263FA">
            <w:pPr>
              <w:shd w:val="clear" w:color="000000" w:fill="auto"/>
              <w:spacing w:line="220" w:lineRule="exact"/>
              <w:jc w:val="right"/>
              <w:rPr>
                <w:b/>
                <w:sz w:val="16"/>
                <w:szCs w:val="16"/>
              </w:rPr>
            </w:pPr>
            <w:r w:rsidRPr="00B263FA">
              <w:rPr>
                <w:sz w:val="16"/>
                <w:szCs w:val="16"/>
              </w:rPr>
              <w:t>55 000</w:t>
            </w:r>
          </w:p>
        </w:tc>
      </w:tr>
      <w:tr w:rsidR="00000000" w:rsidRPr="00B263FA">
        <w:tc>
          <w:tcPr>
            <w:tcW w:w="1101" w:type="dxa"/>
            <w:vAlign w:val="bottom"/>
          </w:tcPr>
          <w:p w:rsidR="00B263FA" w:rsidRPr="00B263FA" w:rsidRDefault="00B263FA">
            <w:pPr>
              <w:shd w:val="clear" w:color="000000" w:fill="auto"/>
              <w:spacing w:line="220" w:lineRule="exact"/>
              <w:rPr>
                <w:b/>
                <w:sz w:val="16"/>
                <w:szCs w:val="16"/>
              </w:rPr>
            </w:pPr>
            <w:r w:rsidRPr="00B263FA">
              <w:rPr>
                <w:sz w:val="16"/>
                <w:szCs w:val="16"/>
              </w:rPr>
              <w:t>Nytt anslag</w:t>
            </w:r>
          </w:p>
        </w:tc>
        <w:tc>
          <w:tcPr>
            <w:tcW w:w="2551" w:type="dxa"/>
            <w:vAlign w:val="bottom"/>
          </w:tcPr>
          <w:p w:rsidR="00B263FA" w:rsidRPr="00B263FA" w:rsidRDefault="00B263FA">
            <w:pPr>
              <w:shd w:val="clear" w:color="000000" w:fill="auto"/>
              <w:spacing w:line="220" w:lineRule="exact"/>
              <w:rPr>
                <w:b/>
                <w:sz w:val="16"/>
                <w:szCs w:val="16"/>
              </w:rPr>
            </w:pPr>
            <w:r w:rsidRPr="00B263FA">
              <w:rPr>
                <w:sz w:val="16"/>
                <w:szCs w:val="16"/>
              </w:rPr>
              <w:t>Produktivitetsdelegation</w:t>
            </w:r>
          </w:p>
        </w:tc>
        <w:tc>
          <w:tcPr>
            <w:tcW w:w="1083" w:type="dxa"/>
            <w:vAlign w:val="bottom"/>
          </w:tcPr>
          <w:p w:rsidR="00B263FA" w:rsidRPr="00B263FA" w:rsidRDefault="00B263FA">
            <w:pPr>
              <w:shd w:val="clear" w:color="000000" w:fill="auto"/>
              <w:spacing w:line="220" w:lineRule="exact"/>
              <w:jc w:val="right"/>
              <w:rPr>
                <w:b/>
                <w:sz w:val="16"/>
                <w:szCs w:val="16"/>
              </w:rPr>
            </w:pPr>
          </w:p>
        </w:tc>
        <w:tc>
          <w:tcPr>
            <w:tcW w:w="844" w:type="dxa"/>
            <w:vAlign w:val="bottom"/>
          </w:tcPr>
          <w:p w:rsidR="00B263FA" w:rsidRPr="00B263FA" w:rsidRDefault="00B263FA">
            <w:pPr>
              <w:shd w:val="clear" w:color="000000" w:fill="auto"/>
              <w:spacing w:line="220" w:lineRule="exact"/>
              <w:jc w:val="right"/>
              <w:rPr>
                <w:b/>
                <w:sz w:val="16"/>
                <w:szCs w:val="16"/>
              </w:rPr>
            </w:pPr>
            <w:r w:rsidRPr="00B263FA">
              <w:rPr>
                <w:sz w:val="16"/>
                <w:szCs w:val="16"/>
              </w:rPr>
              <w:t>8 000</w:t>
            </w:r>
          </w:p>
        </w:tc>
      </w:tr>
      <w:tr w:rsidR="00000000" w:rsidRPr="00B263FA">
        <w:tc>
          <w:tcPr>
            <w:tcW w:w="1101" w:type="dxa"/>
          </w:tcPr>
          <w:p w:rsidR="00B263FA" w:rsidRPr="00B263FA" w:rsidRDefault="00B263FA">
            <w:pPr>
              <w:shd w:val="clear" w:color="000000" w:fill="auto"/>
              <w:spacing w:line="220" w:lineRule="exact"/>
              <w:rPr>
                <w:b/>
                <w:sz w:val="16"/>
                <w:szCs w:val="16"/>
              </w:rPr>
            </w:pPr>
            <w:r w:rsidRPr="00B263FA">
              <w:rPr>
                <w:sz w:val="16"/>
                <w:szCs w:val="16"/>
              </w:rPr>
              <w:t>3.9.20 1:20</w:t>
            </w:r>
          </w:p>
        </w:tc>
        <w:tc>
          <w:tcPr>
            <w:tcW w:w="2551" w:type="dxa"/>
            <w:vAlign w:val="bottom"/>
          </w:tcPr>
          <w:p w:rsidR="00B263FA" w:rsidRPr="00B263FA" w:rsidRDefault="00B263FA">
            <w:pPr>
              <w:shd w:val="clear" w:color="000000" w:fill="auto"/>
              <w:spacing w:line="220" w:lineRule="exact"/>
              <w:rPr>
                <w:b/>
                <w:sz w:val="16"/>
                <w:szCs w:val="16"/>
              </w:rPr>
            </w:pPr>
            <w:r w:rsidRPr="00B263FA">
              <w:rPr>
                <w:sz w:val="16"/>
                <w:szCs w:val="16"/>
              </w:rPr>
              <w:t>Kostnader för omstrukturering och genomlysning av statligt ägda företag</w:t>
            </w:r>
          </w:p>
        </w:tc>
        <w:tc>
          <w:tcPr>
            <w:tcW w:w="1083" w:type="dxa"/>
            <w:vAlign w:val="bottom"/>
          </w:tcPr>
          <w:p w:rsidR="00B263FA" w:rsidRPr="00B263FA" w:rsidRDefault="00B263FA">
            <w:pPr>
              <w:shd w:val="clear" w:color="000000" w:fill="auto"/>
              <w:spacing w:line="220" w:lineRule="exact"/>
              <w:jc w:val="right"/>
              <w:rPr>
                <w:b/>
                <w:sz w:val="16"/>
                <w:szCs w:val="16"/>
              </w:rPr>
            </w:pPr>
            <w:r w:rsidRPr="00B263FA">
              <w:rPr>
                <w:sz w:val="16"/>
                <w:szCs w:val="16"/>
              </w:rPr>
              <w:t>121 850</w:t>
            </w:r>
          </w:p>
        </w:tc>
        <w:tc>
          <w:tcPr>
            <w:tcW w:w="844" w:type="dxa"/>
            <w:vAlign w:val="bottom"/>
          </w:tcPr>
          <w:p w:rsidR="00B263FA" w:rsidRPr="00B263FA" w:rsidRDefault="00B263FA">
            <w:pPr>
              <w:shd w:val="clear" w:color="000000" w:fill="auto"/>
              <w:spacing w:line="220" w:lineRule="exact"/>
              <w:jc w:val="right"/>
              <w:rPr>
                <w:b/>
                <w:sz w:val="16"/>
                <w:szCs w:val="16"/>
              </w:rPr>
            </w:pPr>
            <w:r w:rsidRPr="00B263FA">
              <w:rPr>
                <w:sz w:val="16"/>
                <w:szCs w:val="16"/>
              </w:rPr>
              <w:t>–121 850</w:t>
            </w:r>
          </w:p>
        </w:tc>
      </w:tr>
      <w:tr w:rsidR="00000000" w:rsidRPr="00B263FA">
        <w:tc>
          <w:tcPr>
            <w:tcW w:w="1101" w:type="dxa"/>
            <w:vAlign w:val="bottom"/>
          </w:tcPr>
          <w:p w:rsidR="00B263FA" w:rsidRPr="00B263FA" w:rsidRDefault="00B263FA">
            <w:pPr>
              <w:shd w:val="clear" w:color="000000" w:fill="auto"/>
              <w:spacing w:line="220" w:lineRule="exact"/>
              <w:rPr>
                <w:b/>
                <w:sz w:val="16"/>
                <w:szCs w:val="16"/>
              </w:rPr>
            </w:pPr>
            <w:r w:rsidRPr="00B263FA">
              <w:rPr>
                <w:sz w:val="16"/>
                <w:szCs w:val="16"/>
              </w:rPr>
              <w:t>3.9.17 1:17</w:t>
            </w:r>
          </w:p>
        </w:tc>
        <w:tc>
          <w:tcPr>
            <w:tcW w:w="2551" w:type="dxa"/>
            <w:vAlign w:val="bottom"/>
          </w:tcPr>
          <w:p w:rsidR="00B263FA" w:rsidRPr="00B263FA" w:rsidRDefault="00B263FA">
            <w:pPr>
              <w:shd w:val="clear" w:color="000000" w:fill="auto"/>
              <w:spacing w:line="220" w:lineRule="exact"/>
              <w:rPr>
                <w:b/>
                <w:sz w:val="16"/>
                <w:szCs w:val="16"/>
              </w:rPr>
            </w:pPr>
            <w:r w:rsidRPr="00B263FA">
              <w:rPr>
                <w:sz w:val="16"/>
                <w:szCs w:val="16"/>
              </w:rPr>
              <w:t>Konkurrensverket</w:t>
            </w:r>
          </w:p>
        </w:tc>
        <w:tc>
          <w:tcPr>
            <w:tcW w:w="1083" w:type="dxa"/>
            <w:vAlign w:val="bottom"/>
          </w:tcPr>
          <w:p w:rsidR="00B263FA" w:rsidRPr="00B263FA" w:rsidRDefault="00B263FA">
            <w:pPr>
              <w:shd w:val="clear" w:color="000000" w:fill="auto"/>
              <w:spacing w:line="220" w:lineRule="exact"/>
              <w:jc w:val="right"/>
              <w:rPr>
                <w:b/>
                <w:sz w:val="16"/>
                <w:szCs w:val="16"/>
              </w:rPr>
            </w:pPr>
          </w:p>
        </w:tc>
        <w:tc>
          <w:tcPr>
            <w:tcW w:w="844" w:type="dxa"/>
            <w:vAlign w:val="bottom"/>
          </w:tcPr>
          <w:p w:rsidR="00B263FA" w:rsidRPr="00B263FA" w:rsidRDefault="00B263FA">
            <w:pPr>
              <w:shd w:val="clear" w:color="000000" w:fill="auto"/>
              <w:spacing w:line="220" w:lineRule="exact"/>
              <w:jc w:val="right"/>
              <w:rPr>
                <w:b/>
                <w:sz w:val="16"/>
                <w:szCs w:val="16"/>
              </w:rPr>
            </w:pPr>
            <w:r w:rsidRPr="00B263FA">
              <w:rPr>
                <w:sz w:val="16"/>
                <w:szCs w:val="16"/>
              </w:rPr>
              <w:t>–10 000</w:t>
            </w:r>
          </w:p>
        </w:tc>
      </w:tr>
      <w:tr w:rsidR="00000000" w:rsidRPr="00B263FA">
        <w:tc>
          <w:tcPr>
            <w:tcW w:w="1101" w:type="dxa"/>
            <w:vAlign w:val="bottom"/>
          </w:tcPr>
          <w:p w:rsidR="00B263FA" w:rsidRPr="00B263FA" w:rsidRDefault="00B263FA">
            <w:pPr>
              <w:shd w:val="clear" w:color="000000" w:fill="auto"/>
              <w:spacing w:line="220" w:lineRule="exact"/>
              <w:rPr>
                <w:b/>
                <w:sz w:val="16"/>
                <w:szCs w:val="16"/>
              </w:rPr>
            </w:pPr>
            <w:r w:rsidRPr="00B263FA">
              <w:rPr>
                <w:sz w:val="16"/>
                <w:szCs w:val="16"/>
              </w:rPr>
              <w:t>4.7.3 2:3</w:t>
            </w:r>
          </w:p>
        </w:tc>
        <w:tc>
          <w:tcPr>
            <w:tcW w:w="2551" w:type="dxa"/>
            <w:vAlign w:val="bottom"/>
          </w:tcPr>
          <w:p w:rsidR="00B263FA" w:rsidRPr="00B263FA" w:rsidRDefault="00B263FA">
            <w:pPr>
              <w:shd w:val="clear" w:color="000000" w:fill="auto"/>
              <w:spacing w:line="220" w:lineRule="exact"/>
              <w:rPr>
                <w:b/>
                <w:sz w:val="16"/>
                <w:szCs w:val="16"/>
              </w:rPr>
            </w:pPr>
            <w:r w:rsidRPr="00B263FA">
              <w:rPr>
                <w:sz w:val="16"/>
                <w:szCs w:val="16"/>
              </w:rPr>
              <w:t>Exportfrämjande verksamhet.</w:t>
            </w:r>
          </w:p>
        </w:tc>
        <w:tc>
          <w:tcPr>
            <w:tcW w:w="1083" w:type="dxa"/>
            <w:vAlign w:val="bottom"/>
          </w:tcPr>
          <w:p w:rsidR="00B263FA" w:rsidRPr="00B263FA" w:rsidRDefault="00B263FA">
            <w:pPr>
              <w:shd w:val="clear" w:color="000000" w:fill="auto"/>
              <w:spacing w:line="220" w:lineRule="exact"/>
              <w:jc w:val="right"/>
              <w:rPr>
                <w:b/>
                <w:sz w:val="16"/>
                <w:szCs w:val="16"/>
              </w:rPr>
            </w:pPr>
            <w:r w:rsidRPr="00B263FA">
              <w:rPr>
                <w:sz w:val="16"/>
                <w:szCs w:val="16"/>
              </w:rPr>
              <w:t>245 336</w:t>
            </w:r>
          </w:p>
        </w:tc>
        <w:tc>
          <w:tcPr>
            <w:tcW w:w="844" w:type="dxa"/>
            <w:vAlign w:val="bottom"/>
          </w:tcPr>
          <w:p w:rsidR="00B263FA" w:rsidRPr="00B263FA" w:rsidRDefault="00B263FA">
            <w:pPr>
              <w:shd w:val="clear" w:color="000000" w:fill="auto"/>
              <w:spacing w:line="220" w:lineRule="exact"/>
              <w:jc w:val="right"/>
              <w:rPr>
                <w:b/>
                <w:sz w:val="16"/>
                <w:szCs w:val="16"/>
              </w:rPr>
            </w:pPr>
            <w:r w:rsidRPr="00B263FA">
              <w:rPr>
                <w:sz w:val="16"/>
                <w:szCs w:val="16"/>
              </w:rPr>
              <w:t>65 000</w:t>
            </w:r>
          </w:p>
        </w:tc>
      </w:tr>
      <w:tr w:rsidR="00000000" w:rsidRPr="00B263FA">
        <w:tc>
          <w:tcPr>
            <w:tcW w:w="1101" w:type="dxa"/>
            <w:vAlign w:val="bottom"/>
          </w:tcPr>
          <w:p w:rsidR="00B263FA" w:rsidRPr="00B263FA" w:rsidRDefault="00B263FA">
            <w:pPr>
              <w:shd w:val="clear" w:color="000000" w:fill="auto"/>
              <w:spacing w:line="220" w:lineRule="exact"/>
              <w:rPr>
                <w:sz w:val="16"/>
                <w:szCs w:val="16"/>
              </w:rPr>
            </w:pPr>
            <w:r w:rsidRPr="00B263FA">
              <w:rPr>
                <w:sz w:val="16"/>
                <w:szCs w:val="16"/>
              </w:rPr>
              <w:t>Nytt anslag</w:t>
            </w:r>
          </w:p>
        </w:tc>
        <w:tc>
          <w:tcPr>
            <w:tcW w:w="2551" w:type="dxa"/>
            <w:vAlign w:val="bottom"/>
          </w:tcPr>
          <w:p w:rsidR="00B263FA" w:rsidRPr="00B263FA" w:rsidRDefault="00B263FA">
            <w:pPr>
              <w:shd w:val="clear" w:color="000000" w:fill="auto"/>
              <w:spacing w:line="220" w:lineRule="exact"/>
              <w:rPr>
                <w:b/>
                <w:sz w:val="16"/>
                <w:szCs w:val="16"/>
              </w:rPr>
            </w:pPr>
            <w:r w:rsidRPr="00B263FA">
              <w:rPr>
                <w:sz w:val="16"/>
                <w:szCs w:val="16"/>
              </w:rPr>
              <w:t>Stöd till fri programvara</w:t>
            </w:r>
          </w:p>
        </w:tc>
        <w:tc>
          <w:tcPr>
            <w:tcW w:w="1083" w:type="dxa"/>
            <w:vAlign w:val="bottom"/>
          </w:tcPr>
          <w:p w:rsidR="00B263FA" w:rsidRPr="00B263FA" w:rsidRDefault="00B263FA">
            <w:pPr>
              <w:shd w:val="clear" w:color="000000" w:fill="auto"/>
              <w:spacing w:line="220" w:lineRule="exact"/>
              <w:jc w:val="right"/>
              <w:rPr>
                <w:sz w:val="16"/>
                <w:szCs w:val="16"/>
              </w:rPr>
            </w:pPr>
          </w:p>
        </w:tc>
        <w:tc>
          <w:tcPr>
            <w:tcW w:w="844" w:type="dxa"/>
            <w:vAlign w:val="bottom"/>
          </w:tcPr>
          <w:p w:rsidR="00B263FA" w:rsidRPr="00B263FA" w:rsidRDefault="00B263FA">
            <w:pPr>
              <w:shd w:val="clear" w:color="000000" w:fill="auto"/>
              <w:spacing w:line="220" w:lineRule="exact"/>
              <w:jc w:val="right"/>
              <w:rPr>
                <w:sz w:val="16"/>
                <w:szCs w:val="16"/>
              </w:rPr>
            </w:pPr>
            <w:r w:rsidRPr="00B263FA">
              <w:rPr>
                <w:sz w:val="16"/>
                <w:szCs w:val="16"/>
              </w:rPr>
              <w:t>10 000</w:t>
            </w:r>
          </w:p>
        </w:tc>
      </w:tr>
      <w:tr w:rsidR="00000000" w:rsidRPr="00B263FA">
        <w:tc>
          <w:tcPr>
            <w:tcW w:w="1101" w:type="dxa"/>
            <w:tcBorders>
              <w:bottom w:val="single" w:sz="4" w:space="0" w:color="auto"/>
            </w:tcBorders>
            <w:vAlign w:val="bottom"/>
          </w:tcPr>
          <w:p w:rsidR="00B263FA" w:rsidRPr="00B263FA" w:rsidRDefault="00B263FA">
            <w:pPr>
              <w:shd w:val="clear" w:color="000000" w:fill="auto"/>
              <w:spacing w:line="220" w:lineRule="exact"/>
              <w:rPr>
                <w:sz w:val="16"/>
                <w:szCs w:val="16"/>
              </w:rPr>
            </w:pPr>
            <w:r w:rsidRPr="00B263FA">
              <w:rPr>
                <w:b/>
                <w:sz w:val="16"/>
                <w:szCs w:val="16"/>
              </w:rPr>
              <w:t>Summa</w:t>
            </w:r>
          </w:p>
        </w:tc>
        <w:tc>
          <w:tcPr>
            <w:tcW w:w="2551" w:type="dxa"/>
            <w:tcBorders>
              <w:bottom w:val="single" w:sz="4" w:space="0" w:color="auto"/>
            </w:tcBorders>
            <w:vAlign w:val="bottom"/>
          </w:tcPr>
          <w:p w:rsidR="00B263FA" w:rsidRPr="00B263FA" w:rsidRDefault="00B263FA">
            <w:pPr>
              <w:shd w:val="clear" w:color="000000" w:fill="auto"/>
              <w:spacing w:line="220" w:lineRule="exact"/>
              <w:rPr>
                <w:sz w:val="16"/>
                <w:szCs w:val="16"/>
              </w:rPr>
            </w:pPr>
          </w:p>
        </w:tc>
        <w:tc>
          <w:tcPr>
            <w:tcW w:w="1083" w:type="dxa"/>
            <w:tcBorders>
              <w:bottom w:val="single" w:sz="4" w:space="0" w:color="auto"/>
            </w:tcBorders>
            <w:vAlign w:val="bottom"/>
          </w:tcPr>
          <w:p w:rsidR="00B263FA" w:rsidRPr="00B263FA" w:rsidRDefault="00B263FA">
            <w:pPr>
              <w:shd w:val="clear" w:color="000000" w:fill="auto"/>
              <w:spacing w:line="220" w:lineRule="exact"/>
              <w:jc w:val="right"/>
              <w:rPr>
                <w:sz w:val="16"/>
                <w:szCs w:val="16"/>
              </w:rPr>
            </w:pPr>
            <w:r w:rsidRPr="00B263FA">
              <w:rPr>
                <w:b/>
                <w:sz w:val="16"/>
                <w:szCs w:val="16"/>
              </w:rPr>
              <w:t>2 728 874</w:t>
            </w:r>
          </w:p>
        </w:tc>
        <w:tc>
          <w:tcPr>
            <w:tcW w:w="844" w:type="dxa"/>
            <w:tcBorders>
              <w:bottom w:val="single" w:sz="4" w:space="0" w:color="auto"/>
            </w:tcBorders>
            <w:vAlign w:val="bottom"/>
          </w:tcPr>
          <w:p w:rsidR="00B263FA" w:rsidRPr="00B263FA" w:rsidRDefault="00B263FA">
            <w:pPr>
              <w:shd w:val="clear" w:color="000000" w:fill="auto"/>
              <w:spacing w:line="220" w:lineRule="exact"/>
              <w:jc w:val="right"/>
              <w:rPr>
                <w:sz w:val="16"/>
                <w:szCs w:val="16"/>
              </w:rPr>
            </w:pPr>
            <w:r w:rsidRPr="00B263FA">
              <w:rPr>
                <w:b/>
                <w:sz w:val="16"/>
                <w:szCs w:val="16"/>
              </w:rPr>
              <w:t>106 150</w:t>
            </w:r>
          </w:p>
        </w:tc>
      </w:tr>
    </w:tbl>
    <w:p w:rsidR="00B263FA" w:rsidRPr="00B263FA" w:rsidRDefault="00B263FA">
      <w:pPr>
        <w:shd w:val="clear" w:color="000000" w:fill="auto"/>
      </w:pPr>
    </w:p>
    <w:p w:rsidR="00B263FA" w:rsidRPr="00B263FA" w:rsidRDefault="00B263FA">
      <w:pPr>
        <w:pStyle w:val="Rubrik1"/>
        <w:shd w:val="clear" w:color="000000" w:fill="auto"/>
      </w:pPr>
      <w:bookmarkStart w:id="1" w:name="_Toc210971997"/>
      <w:r w:rsidRPr="00B263FA">
        <w:t>De statliga företagen</w:t>
      </w:r>
      <w:bookmarkEnd w:id="1"/>
    </w:p>
    <w:p w:rsidR="00B263FA" w:rsidRPr="00B263FA" w:rsidRDefault="00B263FA">
      <w:pPr>
        <w:shd w:val="clear" w:color="000000" w:fill="auto"/>
      </w:pPr>
      <w:r w:rsidRPr="00B263FA">
        <w:t>Vänsterpartiet kritiserar regeringens utförsäljningspolitik vad gäller statliga företag och vill mot den ställa ett förädlande av de statliga företagen och en utveckling av densamma. Vi avslår därmed de anslag som regeringen vill använda för utförsäljningen. Mot det ställer vi en utveckling av t.ex. Vatte</w:t>
      </w:r>
      <w:r w:rsidRPr="00B263FA">
        <w:t>n</w:t>
      </w:r>
      <w:r w:rsidRPr="00B263FA">
        <w:t>fall, Sveaskog, Nordea och LKAB. Vi menar t.ex. mot bakgrund av den inte</w:t>
      </w:r>
      <w:r w:rsidRPr="00B263FA">
        <w:t>r</w:t>
      </w:r>
      <w:r w:rsidRPr="00B263FA">
        <w:lastRenderedPageBreak/>
        <w:t>nationella ekonomiska krisen att regeringen bör utöka sitt ägande i Nordea. Se även vår motion om statligt ägande.</w:t>
      </w:r>
    </w:p>
    <w:p w:rsidR="00B263FA" w:rsidRPr="00B263FA" w:rsidRDefault="00B263FA">
      <w:pPr>
        <w:pStyle w:val="Rubrik1"/>
        <w:shd w:val="clear" w:color="000000" w:fill="auto"/>
      </w:pPr>
      <w:bookmarkStart w:id="2" w:name="_Toc210971998"/>
      <w:r w:rsidRPr="00B263FA">
        <w:t>Produktivitetsdelegation</w:t>
      </w:r>
      <w:bookmarkEnd w:id="2"/>
    </w:p>
    <w:p w:rsidR="00B263FA" w:rsidRPr="00B263FA" w:rsidRDefault="00B263FA">
      <w:pPr>
        <w:shd w:val="clear" w:color="000000" w:fill="auto"/>
      </w:pPr>
      <w:r w:rsidRPr="00B263FA">
        <w:t>Vänsterpartiet menar att med den negativa produktiviteten i näringslivet kombinerat med den svåra ekonomiska krisen i världen bör en delegation upprättas som kan komma med förslag på hur Sverige skall stå starkt i denna kris och för framtiden.</w:t>
      </w:r>
    </w:p>
    <w:p w:rsidR="00B263FA" w:rsidRPr="00B263FA" w:rsidRDefault="00B263FA">
      <w:pPr>
        <w:pStyle w:val="Rubrik1"/>
        <w:shd w:val="clear" w:color="000000" w:fill="auto"/>
      </w:pPr>
      <w:bookmarkStart w:id="3" w:name="_Toc210971999"/>
      <w:r w:rsidRPr="00B263FA">
        <w:t>Småföretagen</w:t>
      </w:r>
      <w:bookmarkEnd w:id="3"/>
    </w:p>
    <w:p w:rsidR="00B263FA" w:rsidRPr="00B263FA" w:rsidRDefault="00B263FA">
      <w:pPr>
        <w:shd w:val="clear" w:color="000000" w:fill="auto"/>
      </w:pPr>
      <w:r w:rsidRPr="00B263FA">
        <w:t>För småföretagen föreslår vi i annan motion en rad åtgärder som kan främja nuvarande och kommande småföretag. I en skattemotion finns också ett fle</w:t>
      </w:r>
      <w:r w:rsidRPr="00B263FA">
        <w:t>r</w:t>
      </w:r>
      <w:r w:rsidRPr="00B263FA">
        <w:t>tal förslag. Under utgiftsområde 24 föreslår vi bl.a. en ökad satsning på Vi</w:t>
      </w:r>
      <w:r w:rsidRPr="00B263FA">
        <w:t>n</w:t>
      </w:r>
      <w:r w:rsidRPr="00B263FA">
        <w:t>novas program Forska &amp; Väx med 100 miljoner kronor per år under 2009–2011. Vi föreslår också 50 miljoner kronor per år under 2009–2011 till Nutek för att öka satsningen på såddfinansiering. Kreditgarantiföreningarnas ba</w:t>
      </w:r>
      <w:r w:rsidRPr="00B263FA">
        <w:t>s</w:t>
      </w:r>
      <w:r w:rsidRPr="00B263FA">
        <w:t>verksamhet måste också säkras. Där föreslår vi 5 miljoner kronor per år under 2009–2011. Till exportfrämjande verksamhet med bl.a. exportstödjare och mässtöd utomlands och här hemma satsar vi utöver regeringens för</w:t>
      </w:r>
      <w:r w:rsidRPr="00B263FA">
        <w:t>slag 200 miljoner kronor under tre år.</w:t>
      </w:r>
    </w:p>
    <w:p w:rsidR="00B263FA" w:rsidRPr="00B263FA" w:rsidRDefault="00B263FA">
      <w:pPr>
        <w:pStyle w:val="Rubrik1"/>
        <w:shd w:val="clear" w:color="000000" w:fill="auto"/>
      </w:pPr>
      <w:bookmarkStart w:id="4" w:name="_Toc210972000"/>
      <w:r w:rsidRPr="00B263FA">
        <w:t>Konkurrensverket</w:t>
      </w:r>
      <w:bookmarkEnd w:id="4"/>
    </w:p>
    <w:p w:rsidR="00B263FA" w:rsidRPr="00B263FA" w:rsidRDefault="00B263FA">
      <w:pPr>
        <w:shd w:val="clear" w:color="000000" w:fill="auto"/>
      </w:pPr>
      <w:r w:rsidRPr="00B263FA">
        <w:t>De kompletteringar av konkurrenslagen som regeringen aviserar i budgetpr</w:t>
      </w:r>
      <w:r w:rsidRPr="00B263FA">
        <w:t>o</w:t>
      </w:r>
      <w:r w:rsidRPr="00B263FA">
        <w:t>positionen kan komma att betyda att privata företag främjas i än högre grad än vad som sker idag på t.ex. skolområdet. Vänsterpartiet är därför inte berett att anslå medel till Konkurrensverkets möjlighet att föra talan i domstol inom detta område idag utan avslår denna medelstilldelning.</w:t>
      </w:r>
    </w:p>
    <w:p w:rsidR="00B263FA" w:rsidRPr="00B263FA" w:rsidRDefault="00B263FA">
      <w:pPr>
        <w:pStyle w:val="Rubrik1"/>
        <w:shd w:val="clear" w:color="000000" w:fill="auto"/>
      </w:pPr>
      <w:bookmarkStart w:id="5" w:name="_Toc210972001"/>
      <w:r w:rsidRPr="00B263FA">
        <w:t>Fri programvara</w:t>
      </w:r>
      <w:bookmarkEnd w:id="5"/>
    </w:p>
    <w:p w:rsidR="00B263FA" w:rsidRPr="00B263FA" w:rsidRDefault="00B263FA">
      <w:pPr>
        <w:shd w:val="clear" w:color="000000" w:fill="auto"/>
      </w:pPr>
      <w:r w:rsidRPr="00B263FA">
        <w:t>Vi vill införa en svensk motsvarighet till Norges nationella kompetenscenter för fri programvara. Det centret hjälper såväl den offentliga sektorn som för</w:t>
      </w:r>
      <w:r w:rsidRPr="00B263FA">
        <w:t>e</w:t>
      </w:r>
      <w:r w:rsidRPr="00B263FA">
        <w:t xml:space="preserve">tag och andra att gå över till fri programvara, bl.a. i syfte att spara pengar och öka konkurrensen i mjukvarubranschen. </w:t>
      </w:r>
    </w:p>
    <w:p w:rsidR="00B263FA" w:rsidRPr="00B263FA" w:rsidRDefault="00B263FA">
      <w:pPr>
        <w:pStyle w:val="Normaltindrag"/>
        <w:shd w:val="clear" w:color="000000" w:fill="auto"/>
      </w:pPr>
      <w:r w:rsidRPr="00B263FA">
        <w:t>Till en början budgeterar vi 10 miljoner kronor till centrets verksamhet. Från 2011 anslår vi 50 miljoner kronor till centret, för att ge det möjligheter att lägga beställningar på fri programvara på nyckelområden och belöna pr</w:t>
      </w:r>
      <w:r w:rsidRPr="00B263FA">
        <w:t>o</w:t>
      </w:r>
      <w:r w:rsidRPr="00B263FA">
        <w:t xml:space="preserve">jekt som varit till särskild nytta i svensk ekonomi.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3FA">
        <w:trPr>
          <w:cantSplit/>
        </w:trPr>
        <w:tc>
          <w:tcPr>
            <w:tcW w:w="3046" w:type="dxa"/>
          </w:tcPr>
          <w:p w:rsidR="00B263FA" w:rsidRPr="00B263FA" w:rsidRDefault="00B263FA">
            <w:pPr>
              <w:pStyle w:val="UnderskriftDatum"/>
              <w:shd w:val="clear" w:color="000000" w:fill="auto"/>
              <w:spacing w:before="240"/>
            </w:pPr>
            <w:r w:rsidRPr="00B263FA">
              <w:t>Stockholm den 2 oktober 2008</w:t>
            </w:r>
          </w:p>
        </w:tc>
        <w:tc>
          <w:tcPr>
            <w:tcW w:w="3047" w:type="dxa"/>
          </w:tcPr>
          <w:p w:rsidR="00B263FA" w:rsidRPr="00B263FA" w:rsidRDefault="00B263FA">
            <w:pPr>
              <w:pStyle w:val="Underskrifter"/>
              <w:shd w:val="clear" w:color="000000" w:fill="auto"/>
              <w:spacing w:before="240"/>
            </w:pPr>
          </w:p>
        </w:tc>
      </w:tr>
      <w:tr w:rsidR="00000000" w:rsidRPr="00B263FA">
        <w:trPr>
          <w:cantSplit/>
        </w:trPr>
        <w:tc>
          <w:tcPr>
            <w:tcW w:w="3046" w:type="dxa"/>
          </w:tcPr>
          <w:p w:rsidR="00B263FA" w:rsidRPr="00B263FA" w:rsidRDefault="00B263FA">
            <w:pPr>
              <w:pStyle w:val="Underskrifter"/>
              <w:shd w:val="clear" w:color="000000" w:fill="auto"/>
            </w:pPr>
            <w:r w:rsidRPr="00B263FA">
              <w:t>Lars Ohly (v)</w:t>
            </w:r>
          </w:p>
        </w:tc>
        <w:tc>
          <w:tcPr>
            <w:tcW w:w="3046" w:type="dxa"/>
          </w:tcPr>
          <w:p w:rsidR="00B263FA" w:rsidRPr="00B263FA" w:rsidRDefault="00B263FA">
            <w:pPr>
              <w:pStyle w:val="Underskrifter"/>
              <w:shd w:val="clear" w:color="000000" w:fill="auto"/>
            </w:pPr>
          </w:p>
        </w:tc>
      </w:tr>
      <w:tr w:rsidR="00000000" w:rsidRPr="00B263FA">
        <w:trPr>
          <w:cantSplit/>
        </w:trPr>
        <w:tc>
          <w:tcPr>
            <w:tcW w:w="3046" w:type="dxa"/>
          </w:tcPr>
          <w:p w:rsidR="00B263FA" w:rsidRPr="00B263FA" w:rsidRDefault="00B263FA">
            <w:pPr>
              <w:pStyle w:val="Underskrifter"/>
              <w:shd w:val="clear" w:color="000000" w:fill="auto"/>
            </w:pPr>
            <w:r w:rsidRPr="00B263FA">
              <w:t>Marianne Berg (v)</w:t>
            </w:r>
          </w:p>
        </w:tc>
        <w:tc>
          <w:tcPr>
            <w:tcW w:w="3046" w:type="dxa"/>
          </w:tcPr>
          <w:p w:rsidR="00B263FA" w:rsidRPr="00B263FA" w:rsidRDefault="00B263FA">
            <w:pPr>
              <w:pStyle w:val="Underskrifter"/>
              <w:shd w:val="clear" w:color="000000" w:fill="auto"/>
            </w:pPr>
            <w:r w:rsidRPr="00B263FA">
              <w:t>Jacob Johnson (v)</w:t>
            </w:r>
          </w:p>
        </w:tc>
      </w:tr>
      <w:tr w:rsidR="00000000" w:rsidRPr="00B263FA">
        <w:trPr>
          <w:cantSplit/>
        </w:trPr>
        <w:tc>
          <w:tcPr>
            <w:tcW w:w="3046" w:type="dxa"/>
          </w:tcPr>
          <w:p w:rsidR="00B263FA" w:rsidRPr="00B263FA" w:rsidRDefault="00B263FA">
            <w:pPr>
              <w:pStyle w:val="Underskrifter"/>
              <w:shd w:val="clear" w:color="000000" w:fill="auto"/>
            </w:pPr>
            <w:r w:rsidRPr="00B263FA">
              <w:t>Hans Linde (v)</w:t>
            </w:r>
          </w:p>
        </w:tc>
        <w:tc>
          <w:tcPr>
            <w:tcW w:w="3046" w:type="dxa"/>
          </w:tcPr>
          <w:p w:rsidR="00B263FA" w:rsidRPr="00B263FA" w:rsidRDefault="00B263FA">
            <w:pPr>
              <w:pStyle w:val="Underskrifter"/>
              <w:shd w:val="clear" w:color="000000" w:fill="auto"/>
            </w:pPr>
            <w:r w:rsidRPr="00B263FA">
              <w:t>Elina Linna (v)</w:t>
            </w:r>
          </w:p>
        </w:tc>
      </w:tr>
      <w:tr w:rsidR="00000000" w:rsidRPr="00B263FA">
        <w:trPr>
          <w:cantSplit/>
        </w:trPr>
        <w:tc>
          <w:tcPr>
            <w:tcW w:w="3046" w:type="dxa"/>
          </w:tcPr>
          <w:p w:rsidR="00B263FA" w:rsidRPr="00B263FA" w:rsidRDefault="00B263FA">
            <w:pPr>
              <w:pStyle w:val="Underskrifter"/>
              <w:shd w:val="clear" w:color="000000" w:fill="auto"/>
            </w:pPr>
            <w:r w:rsidRPr="00B263FA">
              <w:t>Gunilla Wahlén (v)</w:t>
            </w:r>
          </w:p>
        </w:tc>
        <w:tc>
          <w:tcPr>
            <w:tcW w:w="3046" w:type="dxa"/>
          </w:tcPr>
          <w:p w:rsidR="00B263FA" w:rsidRPr="00B263FA" w:rsidRDefault="00B263FA">
            <w:pPr>
              <w:pStyle w:val="Underskrifter"/>
              <w:shd w:val="clear" w:color="000000" w:fill="auto"/>
            </w:pPr>
            <w:r w:rsidRPr="00B263FA">
              <w:t>Alice Åström (v)</w:t>
            </w:r>
          </w:p>
        </w:tc>
      </w:tr>
      <w:tr w:rsidR="00000000" w:rsidRPr="00B263FA">
        <w:trPr>
          <w:cantSplit/>
        </w:trPr>
        <w:tc>
          <w:tcPr>
            <w:tcW w:w="3046" w:type="dxa"/>
          </w:tcPr>
          <w:p w:rsidR="00B263FA" w:rsidRPr="00B263FA" w:rsidRDefault="00B263FA">
            <w:pPr>
              <w:pStyle w:val="Underskrifter"/>
              <w:shd w:val="clear" w:color="000000" w:fill="auto"/>
            </w:pPr>
            <w:r w:rsidRPr="00B263FA">
              <w:t>Kent Persson (v)</w:t>
            </w:r>
          </w:p>
        </w:tc>
        <w:tc>
          <w:tcPr>
            <w:tcW w:w="3046" w:type="dxa"/>
          </w:tcPr>
          <w:p w:rsidR="00B263FA" w:rsidRPr="00B263FA" w:rsidRDefault="00B263FA">
            <w:pPr>
              <w:pStyle w:val="Underskrifter"/>
              <w:shd w:val="clear" w:color="000000" w:fill="auto"/>
            </w:pPr>
          </w:p>
        </w:tc>
      </w:tr>
    </w:tbl>
    <w:p w:rsidR="00B263FA" w:rsidRPr="00B263FA" w:rsidRDefault="00B263FA">
      <w:pPr>
        <w:pStyle w:val="Normaltindrag"/>
        <w:shd w:val="clear" w:color="000000" w:fill="auto"/>
      </w:pPr>
    </w:p>
    <w:sectPr w:rsidR="00000000" w:rsidRPr="00B263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3FA" w:rsidRPr="00B263FA" w:rsidRDefault="00B263FA">
      <w:r w:rsidRPr="00B263FA">
        <w:separator/>
      </w:r>
    </w:p>
  </w:endnote>
  <w:endnote w:type="continuationSeparator" w:id="0">
    <w:p w:rsidR="00B263FA" w:rsidRPr="00B263FA" w:rsidRDefault="00B263FA">
      <w:r w:rsidRPr="00B263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3FA" w:rsidRPr="00B263FA" w:rsidRDefault="00B263FA">
    <w:pPr>
      <w:pStyle w:val="Sidfot"/>
    </w:pPr>
    <w:r w:rsidRPr="00B263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942106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3FA" w:rsidRDefault="00B263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3FA" w:rsidRDefault="00B263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3FA" w:rsidRPr="00B263FA" w:rsidRDefault="00B263FA">
    <w:pPr>
      <w:pStyle w:val="Sidfot"/>
    </w:pPr>
    <w:r w:rsidRPr="00B263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7305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3FA" w:rsidRDefault="00B263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3FA" w:rsidRDefault="00B263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3FA" w:rsidRPr="00B263FA" w:rsidRDefault="00B263FA">
    <w:pPr>
      <w:pStyle w:val="Sidfot"/>
    </w:pPr>
    <w:r w:rsidRPr="00B263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8304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3FA" w:rsidRDefault="00B263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3FA" w:rsidRDefault="00B263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3FA" w:rsidRPr="00B263FA" w:rsidRDefault="00B263FA">
      <w:r w:rsidRPr="00B263FA">
        <w:separator/>
      </w:r>
    </w:p>
  </w:footnote>
  <w:footnote w:type="continuationSeparator" w:id="0">
    <w:p w:rsidR="00B263FA" w:rsidRPr="00B263FA" w:rsidRDefault="00B263FA">
      <w:r w:rsidRPr="00B263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3FA" w:rsidRPr="00B263FA" w:rsidRDefault="00B263FA">
    <w:pPr>
      <w:pStyle w:val="Sidhuvud"/>
    </w:pPr>
    <w:r w:rsidRPr="00B263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559917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3FA" w:rsidRDefault="00B263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3FA" w:rsidRDefault="00B263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3FA" w:rsidRPr="00B263FA" w:rsidRDefault="00B263FA">
    <w:pPr>
      <w:pStyle w:val="Sidhuvud"/>
    </w:pPr>
    <w:r w:rsidRPr="00B263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204279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3FA" w:rsidRDefault="00B263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3FA" w:rsidRDefault="00B263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3FA" w:rsidRPr="00B263FA" w:rsidRDefault="00B263FA">
    <w:pPr>
      <w:pStyle w:val="FSHNormal"/>
      <w:tabs>
        <w:tab w:val="right" w:pos="5840"/>
      </w:tabs>
    </w:pPr>
    <w:r w:rsidRPr="00B263FA">
      <w:br/>
    </w:r>
    <w:r w:rsidRPr="00B263FA">
      <w:fldChar w:fldCharType="begin" w:fldLock="1"/>
    </w:r>
    <w:r w:rsidRPr="00B263FA">
      <w:instrText xml:space="preserve"> DOCPROPERTY</w:instrText>
    </w:r>
    <w:r w:rsidRPr="00B263FA">
      <w:rPr>
        <w:sz w:val="18"/>
      </w:rPr>
      <w:instrText xml:space="preserve"> "YearUser" *\charformat </w:instrText>
    </w:r>
    <w:r w:rsidRPr="00B263FA">
      <w:fldChar w:fldCharType="separate"/>
    </w:r>
    <w:r w:rsidRPr="00B263FA">
      <w:t>2008/09</w:t>
    </w:r>
    <w:r w:rsidRPr="00B263FA">
      <w:fldChar w:fldCharType="end"/>
    </w:r>
    <w:r w:rsidRPr="00B263FA">
      <w:t xml:space="preserve"> </w:t>
    </w:r>
    <w:r w:rsidRPr="00B263FA">
      <w:tab/>
      <w:t xml:space="preserve">mnr: </w:t>
    </w:r>
    <w:r w:rsidRPr="00B263FA">
      <w:fldChar w:fldCharType="begin" w:fldLock="1"/>
    </w:r>
    <w:r w:rsidRPr="00B263FA">
      <w:instrText xml:space="preserve"> DOCPROPERTY</w:instrText>
    </w:r>
    <w:r w:rsidRPr="00B263FA">
      <w:rPr>
        <w:sz w:val="18"/>
      </w:rPr>
      <w:instrText xml:space="preserve"> "Motionsnummer" *\charformat </w:instrText>
    </w:r>
    <w:r w:rsidRPr="00B263FA">
      <w:fldChar w:fldCharType="separate"/>
    </w:r>
    <w:r w:rsidRPr="00B263FA">
      <w:t>N337</w:t>
    </w:r>
    <w:r w:rsidRPr="00B263FA">
      <w:fldChar w:fldCharType="end"/>
    </w:r>
    <w:r w:rsidRPr="00B263FA">
      <w:br/>
    </w:r>
    <w:r w:rsidRPr="00B263FA">
      <w:fldChar w:fldCharType="begin" w:fldLock="1"/>
    </w:r>
    <w:r w:rsidRPr="00B263FA">
      <w:instrText xml:space="preserve"> DOCPROPERTY</w:instrText>
    </w:r>
    <w:r w:rsidRPr="00B263FA">
      <w:rPr>
        <w:sz w:val="18"/>
      </w:rPr>
      <w:instrText xml:space="preserve"> "Samling" *\charformat </w:instrText>
    </w:r>
    <w:r w:rsidRPr="00B263FA">
      <w:fldChar w:fldCharType="end"/>
    </w:r>
    <w:r w:rsidRPr="00B263FA">
      <w:tab/>
      <w:t xml:space="preserve">pnr: </w:t>
    </w:r>
    <w:r w:rsidRPr="00B263FA">
      <w:fldChar w:fldCharType="begin" w:fldLock="1"/>
    </w:r>
    <w:r w:rsidRPr="00B263FA">
      <w:instrText xml:space="preserve"> DOCPROPERTY</w:instrText>
    </w:r>
    <w:r w:rsidRPr="00B263FA">
      <w:rPr>
        <w:sz w:val="18"/>
      </w:rPr>
      <w:instrText xml:space="preserve"> "Partinummer" *\charformat </w:instrText>
    </w:r>
    <w:r w:rsidRPr="00B263FA">
      <w:fldChar w:fldCharType="separate"/>
    </w:r>
    <w:r w:rsidRPr="00B263FA">
      <w:t>v681</w:t>
    </w:r>
    <w:r w:rsidRPr="00B263FA">
      <w:fldChar w:fldCharType="end"/>
    </w:r>
  </w:p>
  <w:p w:rsidR="00B263FA" w:rsidRPr="00B263FA" w:rsidRDefault="00B263FA">
    <w:pPr>
      <w:pStyle w:val="FSHRub1"/>
    </w:pPr>
    <w:r w:rsidRPr="00B263FA">
      <w:t>Motion till riksdagen</w:t>
    </w:r>
    <w:r w:rsidRPr="00B263FA">
      <w:br/>
    </w:r>
    <w:r w:rsidRPr="00B263FA">
      <w:fldChar w:fldCharType="begin" w:fldLock="1"/>
    </w:r>
    <w:r w:rsidRPr="00B263FA">
      <w:instrText xml:space="preserve"> DOCPROPERTY "YearUser" *\charformat </w:instrText>
    </w:r>
    <w:r w:rsidRPr="00B263FA">
      <w:fldChar w:fldCharType="separate"/>
    </w:r>
    <w:r w:rsidRPr="00B263FA">
      <w:t>2008/09</w:t>
    </w:r>
    <w:r w:rsidRPr="00B263FA">
      <w:fldChar w:fldCharType="end"/>
    </w:r>
    <w:r w:rsidRPr="00B263FA">
      <w:t>:</w:t>
    </w:r>
    <w:r w:rsidRPr="00B263FA">
      <w:fldChar w:fldCharType="begin" w:fldLock="1"/>
    </w:r>
    <w:r w:rsidRPr="00B263FA">
      <w:instrText xml:space="preserve"> DOCPROPERTY "Motionsnummer" *\charformat </w:instrText>
    </w:r>
    <w:r w:rsidRPr="00B263FA">
      <w:fldChar w:fldCharType="separate"/>
    </w:r>
    <w:r w:rsidRPr="00B263FA">
      <w:t>N337</w:t>
    </w:r>
    <w:r w:rsidRPr="00B263FA">
      <w:fldChar w:fldCharType="end"/>
    </w:r>
  </w:p>
  <w:p w:rsidR="00B263FA" w:rsidRPr="00B263FA" w:rsidRDefault="00B263FA">
    <w:pPr>
      <w:pStyle w:val="FSHNormalS5"/>
    </w:pPr>
    <w:r w:rsidRPr="00B263FA">
      <w:fldChar w:fldCharType="begin" w:fldLock="1"/>
    </w:r>
    <w:r w:rsidRPr="00B263FA">
      <w:instrText xml:space="preserve"> DOCPROPERTY "MotionarText" *\charformat </w:instrText>
    </w:r>
    <w:r w:rsidRPr="00B263FA">
      <w:fldChar w:fldCharType="separate"/>
    </w:r>
    <w:r w:rsidRPr="00B263FA">
      <w:t>av Lars Ohly m.fl. (v)</w:t>
    </w:r>
    <w:r w:rsidRPr="00B263FA">
      <w:fldChar w:fldCharType="end"/>
    </w:r>
    <w:r w:rsidRPr="00B263FA">
      <w:br/>
    </w:r>
    <w:r w:rsidRPr="00B263FA">
      <w:fldChar w:fldCharType="begin" w:fldLock="1"/>
    </w:r>
    <w:r w:rsidRPr="00B263FA">
      <w:instrText xml:space="preserve"> DOCPROPERTY "SvarFrasKort" *\charformat </w:instrText>
    </w:r>
    <w:r w:rsidRPr="00B263FA">
      <w:fldChar w:fldCharType="end"/>
    </w:r>
  </w:p>
  <w:p w:rsidR="00B263FA" w:rsidRPr="00B263FA" w:rsidRDefault="00B263FA">
    <w:pPr>
      <w:pStyle w:val="FSHTitel"/>
    </w:pPr>
    <w:r w:rsidRPr="00B263FA">
      <w:fldChar w:fldCharType="begin" w:fldLock="1"/>
    </w:r>
    <w:r w:rsidRPr="00B263FA">
      <w:instrText xml:space="preserve"> DOCPROPERTY</w:instrText>
    </w:r>
    <w:r w:rsidRPr="00B263FA">
      <w:rPr>
        <w:sz w:val="18"/>
      </w:rPr>
      <w:instrText xml:space="preserve"> "RubrikSvar" *\charformat </w:instrText>
    </w:r>
    <w:r w:rsidRPr="00B263FA">
      <w:fldChar w:fldCharType="separate"/>
    </w:r>
    <w:r w:rsidRPr="00B263FA">
      <w:t>Utgiftsområde 24 Näringsliv</w:t>
    </w:r>
    <w:r w:rsidRPr="00B263FA">
      <w:fldChar w:fldCharType="end"/>
    </w:r>
  </w:p>
  <w:p w:rsidR="00B263FA" w:rsidRPr="00B263FA" w:rsidRDefault="00B263FA">
    <w:pPr>
      <w:pStyle w:val="Normal00"/>
    </w:pPr>
  </w:p>
  <w:p w:rsidR="00B263FA" w:rsidRPr="00B263FA" w:rsidRDefault="00B263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5557036">
    <w:abstractNumId w:val="8"/>
  </w:num>
  <w:num w:numId="2" w16cid:durableId="983045267">
    <w:abstractNumId w:val="9"/>
  </w:num>
  <w:num w:numId="3" w16cid:durableId="2092921273">
    <w:abstractNumId w:val="8"/>
  </w:num>
  <w:num w:numId="4" w16cid:durableId="472137156">
    <w:abstractNumId w:val="9"/>
  </w:num>
  <w:num w:numId="5" w16cid:durableId="1181049328">
    <w:abstractNumId w:val="13"/>
  </w:num>
  <w:num w:numId="6" w16cid:durableId="1970088120">
    <w:abstractNumId w:val="10"/>
  </w:num>
  <w:num w:numId="7" w16cid:durableId="1180857265">
    <w:abstractNumId w:val="11"/>
  </w:num>
  <w:num w:numId="8" w16cid:durableId="748963412">
    <w:abstractNumId w:val="12"/>
  </w:num>
  <w:num w:numId="9" w16cid:durableId="1505632557">
    <w:abstractNumId w:val="8"/>
  </w:num>
  <w:num w:numId="10" w16cid:durableId="2070838708">
    <w:abstractNumId w:val="3"/>
  </w:num>
  <w:num w:numId="11" w16cid:durableId="952328883">
    <w:abstractNumId w:val="2"/>
  </w:num>
  <w:num w:numId="12" w16cid:durableId="1218129420">
    <w:abstractNumId w:val="1"/>
  </w:num>
  <w:num w:numId="13" w16cid:durableId="1349719857">
    <w:abstractNumId w:val="0"/>
  </w:num>
  <w:num w:numId="14" w16cid:durableId="1922055267">
    <w:abstractNumId w:val="9"/>
  </w:num>
  <w:num w:numId="15" w16cid:durableId="1833255299">
    <w:abstractNumId w:val="7"/>
  </w:num>
  <w:num w:numId="16" w16cid:durableId="1951428119">
    <w:abstractNumId w:val="6"/>
  </w:num>
  <w:num w:numId="17" w16cid:durableId="1195077493">
    <w:abstractNumId w:val="5"/>
  </w:num>
  <w:num w:numId="18" w16cid:durableId="425928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1A2565D-4D2F-4887-9B1D-3D7BE825DA8C},{25384487-954A-4B3D-A759-FB67661DCC6F},{70ED92E7-062B-44F5-98C0-1732E6D079B7},{88576935-7337-4AFA-923F-6E59D33EEBED},{8B923F15-4996-4696-A089-6A5BE8BF8E1B},{233588E7-F7BD-4F60-BEE5-22A19EE80FB2},{7E0BF71E-CD03-4DBF-9F51-3B5B798F2741},{CBCE2632-605E-484A-97AC-47C334EA7100}"/>
  </w:docVars>
  <w:rsids>
    <w:rsidRoot w:val="00495C8A"/>
    <w:rsid w:val="00495C8A"/>
    <w:rsid w:val="00B263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ADA115D-9F25-44D2-B352-5017791E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2805</Characters>
  <Application>Microsoft Office Word</Application>
  <DocSecurity>4</DocSecurity>
  <Lines>96</Lines>
  <Paragraphs>63</Paragraphs>
  <ScaleCrop>false</ScaleCrop>
  <HeadingPairs>
    <vt:vector size="2" baseType="variant">
      <vt:variant>
        <vt:lpstr>Rubrik</vt:lpstr>
      </vt:variant>
      <vt:variant>
        <vt:i4>1</vt:i4>
      </vt:variant>
    </vt:vector>
  </HeadingPairs>
  <TitlesOfParts>
    <vt:vector size="1" baseType="lpstr">
      <vt:lpstr>v681</vt:lpstr>
    </vt:vector>
  </TitlesOfParts>
  <Company>Riksdagen</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v681</dc:title>
  <dc:subject>v681</dc:subject>
  <dc:creator>Riksdagen</dc:creator>
  <cp:keywords>Riksdagen</cp:keywords>
  <dc:description>TKG-ktrl, MSMQ4mb, PersReg-Distribution mm b-&gt;ny fplogga c-&gt;nygamla s-rosen</dc:description>
  <cp:lastModifiedBy>Lars Brink</cp:lastModifiedBy>
  <cp:revision>2</cp:revision>
  <cp:lastPrinted>2009-02-27T08:40:00Z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24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24 Näringsliv</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v681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20082009000000000118000006810080</vt:lpwstr>
  </property>
  <property fmtid="{D5CDD505-2E9C-101B-9397-08002B2CF9AE}" pid="47" name="datum">
    <vt:lpwstr>081002</vt:lpwstr>
  </property>
  <property fmtid="{D5CDD505-2E9C-101B-9397-08002B2CF9AE}" pid="48" name="avsändar-e-post">
    <vt:lpwstr>maya.ek@riksdagen.se</vt:lpwstr>
  </property>
  <property fmtid="{D5CDD505-2E9C-101B-9397-08002B2CF9AE}" pid="49" name="id">
    <vt:lpwstr>20082009000000000118000006810080</vt:lpwstr>
  </property>
  <property fmtid="{D5CDD505-2E9C-101B-9397-08002B2CF9AE}" pid="50" name="nummer">
    <vt:lpwstr>337</vt:lpwstr>
  </property>
  <property fmtid="{D5CDD505-2E9C-101B-9397-08002B2CF9AE}" pid="51" name="utskottsbeteckning">
    <vt:lpwstr>N</vt:lpwstr>
  </property>
  <property fmtid="{D5CDD505-2E9C-101B-9397-08002B2CF9AE}" pid="52" name="GlobalUID">
    <vt:lpwstr>{5FAE71AD-E4A3-4880-AC2C-70CB3D150056}</vt:lpwstr>
  </property>
  <property fmtid="{D5CDD505-2E9C-101B-9397-08002B2CF9AE}" pid="53" name="Överföringar">
    <vt:i4>0</vt:i4>
  </property>
  <property fmtid="{D5CDD505-2E9C-101B-9397-08002B2CF9AE}" pid="54" name="Checksum">
    <vt:lpwstr>*0007072106944*</vt:lpwstr>
  </property>
  <property fmtid="{D5CDD505-2E9C-101B-9397-08002B2CF9AE}" pid="55" name="skuggnummer">
    <vt:lpwstr>2017</vt:lpwstr>
  </property>
  <property fmtid="{D5CDD505-2E9C-101B-9397-08002B2CF9AE}" pid="56" name="urixVersion">
    <vt:lpwstr>3.2.0.8</vt:lpwstr>
  </property>
  <property fmtid="{D5CDD505-2E9C-101B-9397-08002B2CF9AE}" pid="57" name="urixOrigin">
    <vt:lpwstr>090402 14:30:29.246</vt:lpwstr>
  </property>
  <property fmtid="{D5CDD505-2E9C-101B-9397-08002B2CF9AE}" pid="58" name="urixGuid">
    <vt:lpwstr>{33D00747-2586-4C36-8F8F-1328EEEEABF7}</vt:lpwstr>
  </property>
</Properties>
</file>