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DE6" w:rsidRPr="0058729C" w:rsidRDefault="005D6DE6">
      <w:pPr>
        <w:pStyle w:val="Hemstlrubrik"/>
        <w:shd w:val="clear" w:color="000000" w:fill="auto"/>
      </w:pPr>
      <w:r w:rsidRPr="0058729C">
        <w:t>Förslag till riksdagsbeslut</w:t>
      </w:r>
    </w:p>
    <w:p w:rsidR="005D6DE6" w:rsidRPr="0058729C" w:rsidRDefault="005D6DE6">
      <w:pPr>
        <w:pStyle w:val="Hemstlatt"/>
        <w:numPr>
          <w:ilvl w:val="0"/>
          <w:numId w:val="1"/>
        </w:numPr>
        <w:shd w:val="clear" w:color="000000" w:fill="auto"/>
      </w:pPr>
      <w:r w:rsidRPr="0058729C">
        <w:t>Riksdagen beslutar om ändring i förslaget om ändring i lagen (1994:1563) om tobaksskatt så att neutralitet uppstår me</w:t>
      </w:r>
      <w:r w:rsidRPr="0058729C">
        <w:t>l</w:t>
      </w:r>
      <w:r w:rsidRPr="0058729C">
        <w:t>lan skattehöjning på snus och på rökprodukter.</w:t>
      </w:r>
    </w:p>
    <w:p w:rsidR="005D6DE6" w:rsidRPr="0058729C" w:rsidRDefault="005D6DE6">
      <w:pPr>
        <w:pStyle w:val="Hemstlatt"/>
        <w:numPr>
          <w:ilvl w:val="0"/>
          <w:numId w:val="1"/>
        </w:numPr>
        <w:shd w:val="clear" w:color="000000" w:fill="auto"/>
      </w:pPr>
      <w:r w:rsidRPr="0058729C">
        <w:t>Riksdagen beslutar om ändring i förslaget om ändring i lagen (2004:228) om beskattning av viss privatinförsel av tobaksvaror så att neutralitet uppstår mellan skattehöjning på snus och på rökprodu</w:t>
      </w:r>
      <w:r w:rsidRPr="0058729C">
        <w:t>k</w:t>
      </w:r>
      <w:r w:rsidRPr="0058729C">
        <w:t>ter.</w:t>
      </w:r>
    </w:p>
    <w:p w:rsidR="005D6DE6" w:rsidRPr="0058729C" w:rsidRDefault="005D6DE6">
      <w:pPr>
        <w:pStyle w:val="Rubrik1"/>
        <w:shd w:val="clear" w:color="000000" w:fill="auto"/>
      </w:pPr>
      <w:r w:rsidRPr="0058729C">
        <w:t>Motivering</w:t>
      </w:r>
    </w:p>
    <w:p w:rsidR="005D6DE6" w:rsidRPr="0058729C" w:rsidRDefault="005D6DE6">
      <w:pPr>
        <w:shd w:val="clear" w:color="000000" w:fill="auto"/>
        <w:autoSpaceDE w:val="0"/>
        <w:autoSpaceDN w:val="0"/>
        <w:adjustRightInd w:val="0"/>
        <w:rPr>
          <w:color w:val="000000"/>
        </w:rPr>
      </w:pPr>
      <w:r w:rsidRPr="0058729C">
        <w:rPr>
          <w:color w:val="000000"/>
        </w:rPr>
        <w:t>I budgetpropositionen för 2007 föreslog regeringen med angivande av fol</w:t>
      </w:r>
      <w:r w:rsidRPr="0058729C">
        <w:rPr>
          <w:color w:val="000000"/>
        </w:rPr>
        <w:t>k</w:t>
      </w:r>
      <w:r w:rsidRPr="0058729C">
        <w:rPr>
          <w:color w:val="000000"/>
        </w:rPr>
        <w:t>hälsoskäl en dubblering av skatten på snus samtidigt som skatten på cigaretter och röktobak bara höjdes marginellt.</w:t>
      </w:r>
    </w:p>
    <w:p w:rsidR="005D6DE6" w:rsidRPr="0058729C" w:rsidRDefault="005D6DE6">
      <w:pPr>
        <w:pStyle w:val="Normaltindrag"/>
        <w:shd w:val="clear" w:color="000000" w:fill="auto"/>
      </w:pPr>
      <w:r w:rsidRPr="0058729C">
        <w:t>Skatteutskottet tillstyrkte ( 2006/07:SkU1y) den av regeringen föreslagna höjningen av tobaksskatten men konstaterade att ”höjningen av skatten på snus förefaller väl hög. Utskottet utgår från att regeringen följer upp effekte</w:t>
      </w:r>
      <w:r w:rsidRPr="0058729C">
        <w:t>r</w:t>
      </w:r>
      <w:r w:rsidRPr="0058729C">
        <w:t>na av skattehöjningen på snus och återkommer till riksdagen om det skulle visa sig att konsumtionen styrs över från snus till de från hälsosynpunkt mycket skadliga röktobaksprodukterna.”</w:t>
      </w:r>
    </w:p>
    <w:p w:rsidR="005D6DE6" w:rsidRPr="0058729C" w:rsidRDefault="005D6DE6">
      <w:pPr>
        <w:pStyle w:val="Normaltindrag"/>
        <w:shd w:val="clear" w:color="000000" w:fill="auto"/>
      </w:pPr>
      <w:r w:rsidRPr="0058729C">
        <w:t xml:space="preserve">I budgetpropositionen för 2008 återkommer regeringen med ett förslag om en ny kraftig höjning av tobaksskatten. </w:t>
      </w:r>
      <w:r w:rsidRPr="0058729C">
        <w:rPr>
          <w:color w:val="000000"/>
        </w:rPr>
        <w:t>I proposition 2007/08:11 anger rege</w:t>
      </w:r>
      <w:r w:rsidRPr="0058729C">
        <w:rPr>
          <w:color w:val="000000"/>
        </w:rPr>
        <w:t>r</w:t>
      </w:r>
      <w:r w:rsidRPr="0058729C">
        <w:rPr>
          <w:color w:val="000000"/>
        </w:rPr>
        <w:t xml:space="preserve">ingen att tobaksskatten höjs enbart för att finansiera andra skattesänkningar, folkhälsomotivet är alltså borttaget. </w:t>
      </w:r>
      <w:r w:rsidRPr="0058729C">
        <w:t xml:space="preserve">Även denna gång föreslås att skatten på snus höjs mer än skatten på rökprodukter. Om förslaget genomförs betyder </w:t>
      </w:r>
      <w:r w:rsidRPr="0058729C">
        <w:lastRenderedPageBreak/>
        <w:t>det att skatten på snus har tredubblats av den borgerliga regeringen samtidigt som skatten på andra tobaksprodukter ”bara” ökat med 50 %.</w:t>
      </w:r>
    </w:p>
    <w:p w:rsidR="005D6DE6" w:rsidRPr="0058729C" w:rsidRDefault="005D6DE6">
      <w:pPr>
        <w:shd w:val="clear" w:color="000000" w:fill="auto"/>
        <w:rPr>
          <w:b/>
          <w:bCs/>
        </w:rPr>
      </w:pPr>
      <w:r w:rsidRPr="0058729C">
        <w:rPr>
          <w:b/>
          <w:bCs/>
        </w:rPr>
        <w:t>Tobaksbeskattningens utveckling 2006–2008</w:t>
      </w:r>
    </w:p>
    <w:tbl>
      <w:tblPr>
        <w:tblStyle w:val="Tabellrutnt"/>
        <w:tblW w:w="606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95"/>
        <w:gridCol w:w="1346"/>
        <w:gridCol w:w="1383"/>
        <w:gridCol w:w="1443"/>
      </w:tblGrid>
      <w:tr w:rsidR="00000000" w:rsidRPr="0058729C">
        <w:tc>
          <w:tcPr>
            <w:tcW w:w="1788" w:type="dxa"/>
            <w:tcBorders>
              <w:top w:val="single" w:sz="4" w:space="0" w:color="auto"/>
              <w:bottom w:val="single" w:sz="4" w:space="0" w:color="auto"/>
            </w:tcBorders>
          </w:tcPr>
          <w:p w:rsidR="005D6DE6" w:rsidRPr="0058729C" w:rsidRDefault="005D6DE6">
            <w:pPr>
              <w:shd w:val="clear" w:color="000000" w:fill="auto"/>
              <w:spacing w:before="60" w:line="200" w:lineRule="exact"/>
              <w:jc w:val="left"/>
              <w:rPr>
                <w:b/>
                <w:bCs/>
              </w:rPr>
            </w:pPr>
          </w:p>
        </w:tc>
        <w:tc>
          <w:tcPr>
            <w:tcW w:w="1269" w:type="dxa"/>
            <w:tcBorders>
              <w:top w:val="single" w:sz="4" w:space="0" w:color="auto"/>
              <w:bottom w:val="single" w:sz="4" w:space="0" w:color="auto"/>
            </w:tcBorders>
          </w:tcPr>
          <w:p w:rsidR="005D6DE6" w:rsidRPr="0058729C" w:rsidRDefault="005D6DE6">
            <w:pPr>
              <w:shd w:val="clear" w:color="000000" w:fill="auto"/>
              <w:spacing w:before="60" w:line="200" w:lineRule="exact"/>
              <w:jc w:val="right"/>
              <w:rPr>
                <w:b/>
                <w:bCs/>
              </w:rPr>
            </w:pPr>
            <w:r w:rsidRPr="0058729C">
              <w:rPr>
                <w:b/>
                <w:bCs/>
              </w:rPr>
              <w:t>2006</w:t>
            </w:r>
          </w:p>
        </w:tc>
        <w:tc>
          <w:tcPr>
            <w:tcW w:w="1304" w:type="dxa"/>
            <w:tcBorders>
              <w:top w:val="single" w:sz="4" w:space="0" w:color="auto"/>
              <w:bottom w:val="single" w:sz="4" w:space="0" w:color="auto"/>
            </w:tcBorders>
          </w:tcPr>
          <w:p w:rsidR="005D6DE6" w:rsidRPr="0058729C" w:rsidRDefault="005D6DE6">
            <w:pPr>
              <w:shd w:val="clear" w:color="000000" w:fill="auto"/>
              <w:spacing w:before="60" w:line="200" w:lineRule="exact"/>
              <w:jc w:val="right"/>
              <w:rPr>
                <w:b/>
                <w:bCs/>
              </w:rPr>
            </w:pPr>
            <w:r w:rsidRPr="0058729C">
              <w:rPr>
                <w:b/>
                <w:bCs/>
              </w:rPr>
              <w:t>2007</w:t>
            </w:r>
          </w:p>
        </w:tc>
        <w:tc>
          <w:tcPr>
            <w:tcW w:w="1361" w:type="dxa"/>
            <w:tcBorders>
              <w:top w:val="single" w:sz="4" w:space="0" w:color="auto"/>
              <w:bottom w:val="single" w:sz="4" w:space="0" w:color="auto"/>
            </w:tcBorders>
          </w:tcPr>
          <w:p w:rsidR="005D6DE6" w:rsidRPr="0058729C" w:rsidRDefault="005D6DE6">
            <w:pPr>
              <w:shd w:val="clear" w:color="000000" w:fill="auto"/>
              <w:spacing w:before="60" w:line="200" w:lineRule="exact"/>
              <w:jc w:val="right"/>
              <w:rPr>
                <w:b/>
                <w:bCs/>
              </w:rPr>
            </w:pPr>
            <w:r w:rsidRPr="0058729C">
              <w:rPr>
                <w:b/>
                <w:bCs/>
              </w:rPr>
              <w:t>2008</w:t>
            </w:r>
          </w:p>
        </w:tc>
      </w:tr>
      <w:tr w:rsidR="00000000" w:rsidRPr="0058729C">
        <w:tc>
          <w:tcPr>
            <w:tcW w:w="1788" w:type="dxa"/>
            <w:tcBorders>
              <w:top w:val="single" w:sz="4" w:space="0" w:color="auto"/>
            </w:tcBorders>
          </w:tcPr>
          <w:p w:rsidR="005D6DE6" w:rsidRPr="0058729C" w:rsidRDefault="005D6DE6">
            <w:pPr>
              <w:shd w:val="clear" w:color="000000" w:fill="auto"/>
              <w:spacing w:before="60" w:line="200" w:lineRule="exact"/>
              <w:jc w:val="left"/>
              <w:rPr>
                <w:b/>
                <w:bCs/>
              </w:rPr>
            </w:pPr>
            <w:r w:rsidRPr="0058729C">
              <w:rPr>
                <w:b/>
                <w:bCs/>
              </w:rPr>
              <w:t>Styckeskatten på cigaretter</w:t>
            </w:r>
          </w:p>
        </w:tc>
        <w:tc>
          <w:tcPr>
            <w:tcW w:w="1269" w:type="dxa"/>
            <w:tcBorders>
              <w:top w:val="single" w:sz="4" w:space="0" w:color="auto"/>
            </w:tcBorders>
            <w:vAlign w:val="bottom"/>
          </w:tcPr>
          <w:p w:rsidR="005D6DE6" w:rsidRPr="0058729C" w:rsidRDefault="005D6DE6">
            <w:pPr>
              <w:shd w:val="clear" w:color="000000" w:fill="auto"/>
              <w:spacing w:before="60" w:line="200" w:lineRule="exact"/>
              <w:jc w:val="right"/>
              <w:rPr>
                <w:bCs/>
              </w:rPr>
            </w:pPr>
            <w:r w:rsidRPr="0058729C">
              <w:rPr>
                <w:bCs/>
              </w:rPr>
              <w:t>20 öre</w:t>
            </w:r>
          </w:p>
        </w:tc>
        <w:tc>
          <w:tcPr>
            <w:tcW w:w="1304" w:type="dxa"/>
            <w:tcBorders>
              <w:top w:val="single" w:sz="4" w:space="0" w:color="auto"/>
            </w:tcBorders>
            <w:vAlign w:val="bottom"/>
          </w:tcPr>
          <w:p w:rsidR="005D6DE6" w:rsidRPr="0058729C" w:rsidRDefault="005D6DE6">
            <w:pPr>
              <w:shd w:val="clear" w:color="000000" w:fill="auto"/>
              <w:spacing w:before="60" w:line="200" w:lineRule="exact"/>
              <w:jc w:val="right"/>
              <w:rPr>
                <w:bCs/>
              </w:rPr>
            </w:pPr>
            <w:r w:rsidRPr="0058729C">
              <w:rPr>
                <w:bCs/>
              </w:rPr>
              <w:t>28 öre</w:t>
            </w:r>
          </w:p>
        </w:tc>
        <w:tc>
          <w:tcPr>
            <w:tcW w:w="1361" w:type="dxa"/>
            <w:tcBorders>
              <w:top w:val="single" w:sz="4" w:space="0" w:color="auto"/>
            </w:tcBorders>
            <w:vAlign w:val="bottom"/>
          </w:tcPr>
          <w:p w:rsidR="005D6DE6" w:rsidRPr="0058729C" w:rsidRDefault="005D6DE6">
            <w:pPr>
              <w:shd w:val="clear" w:color="000000" w:fill="auto"/>
              <w:spacing w:before="60" w:line="200" w:lineRule="exact"/>
              <w:jc w:val="right"/>
              <w:rPr>
                <w:bCs/>
              </w:rPr>
            </w:pPr>
            <w:r w:rsidRPr="0058729C">
              <w:rPr>
                <w:bCs/>
              </w:rPr>
              <w:t>31 öre</w:t>
            </w:r>
          </w:p>
        </w:tc>
      </w:tr>
      <w:tr w:rsidR="00000000" w:rsidRPr="0058729C">
        <w:tc>
          <w:tcPr>
            <w:tcW w:w="1788" w:type="dxa"/>
          </w:tcPr>
          <w:p w:rsidR="005D6DE6" w:rsidRPr="0058729C" w:rsidRDefault="005D6DE6">
            <w:pPr>
              <w:shd w:val="clear" w:color="000000" w:fill="auto"/>
              <w:spacing w:before="60" w:line="200" w:lineRule="exact"/>
              <w:jc w:val="left"/>
              <w:rPr>
                <w:b/>
                <w:bCs/>
              </w:rPr>
            </w:pPr>
            <w:r w:rsidRPr="0058729C">
              <w:rPr>
                <w:b/>
                <w:bCs/>
              </w:rPr>
              <w:t>Skatten på cigarrer och cigariller</w:t>
            </w:r>
          </w:p>
        </w:tc>
        <w:tc>
          <w:tcPr>
            <w:tcW w:w="1269" w:type="dxa"/>
            <w:vAlign w:val="bottom"/>
          </w:tcPr>
          <w:p w:rsidR="005D6DE6" w:rsidRPr="0058729C" w:rsidRDefault="005D6DE6">
            <w:pPr>
              <w:shd w:val="clear" w:color="000000" w:fill="auto"/>
              <w:spacing w:before="60" w:line="200" w:lineRule="exact"/>
              <w:jc w:val="right"/>
              <w:rPr>
                <w:bCs/>
              </w:rPr>
            </w:pPr>
            <w:r w:rsidRPr="0058729C">
              <w:rPr>
                <w:bCs/>
              </w:rPr>
              <w:t>56 öre</w:t>
            </w:r>
          </w:p>
        </w:tc>
        <w:tc>
          <w:tcPr>
            <w:tcW w:w="1304" w:type="dxa"/>
            <w:vAlign w:val="bottom"/>
          </w:tcPr>
          <w:p w:rsidR="005D6DE6" w:rsidRPr="0058729C" w:rsidRDefault="005D6DE6">
            <w:pPr>
              <w:shd w:val="clear" w:color="000000" w:fill="auto"/>
              <w:spacing w:before="60" w:line="200" w:lineRule="exact"/>
              <w:jc w:val="right"/>
              <w:rPr>
                <w:bCs/>
              </w:rPr>
            </w:pPr>
            <w:r w:rsidRPr="0058729C">
              <w:rPr>
                <w:bCs/>
              </w:rPr>
              <w:t>56 öre</w:t>
            </w:r>
          </w:p>
        </w:tc>
        <w:tc>
          <w:tcPr>
            <w:tcW w:w="1361" w:type="dxa"/>
            <w:vAlign w:val="bottom"/>
          </w:tcPr>
          <w:p w:rsidR="005D6DE6" w:rsidRPr="0058729C" w:rsidRDefault="005D6DE6">
            <w:pPr>
              <w:shd w:val="clear" w:color="000000" w:fill="auto"/>
              <w:spacing w:before="60" w:line="200" w:lineRule="exact"/>
              <w:jc w:val="right"/>
              <w:rPr>
                <w:bCs/>
              </w:rPr>
            </w:pPr>
            <w:r w:rsidRPr="0058729C">
              <w:rPr>
                <w:bCs/>
              </w:rPr>
              <w:t>112 öre</w:t>
            </w:r>
          </w:p>
        </w:tc>
      </w:tr>
      <w:tr w:rsidR="00000000" w:rsidRPr="0058729C">
        <w:tc>
          <w:tcPr>
            <w:tcW w:w="1788" w:type="dxa"/>
          </w:tcPr>
          <w:p w:rsidR="005D6DE6" w:rsidRPr="0058729C" w:rsidRDefault="005D6DE6">
            <w:pPr>
              <w:shd w:val="clear" w:color="000000" w:fill="auto"/>
              <w:spacing w:before="60" w:line="200" w:lineRule="exact"/>
              <w:jc w:val="left"/>
              <w:rPr>
                <w:b/>
                <w:bCs/>
              </w:rPr>
            </w:pPr>
            <w:r w:rsidRPr="0058729C">
              <w:rPr>
                <w:b/>
                <w:bCs/>
              </w:rPr>
              <w:t>Skatten på röktobak</w:t>
            </w:r>
          </w:p>
        </w:tc>
        <w:tc>
          <w:tcPr>
            <w:tcW w:w="1269" w:type="dxa"/>
            <w:vAlign w:val="bottom"/>
          </w:tcPr>
          <w:p w:rsidR="005D6DE6" w:rsidRPr="0058729C" w:rsidRDefault="005D6DE6">
            <w:pPr>
              <w:shd w:val="clear" w:color="000000" w:fill="auto"/>
              <w:spacing w:before="60" w:line="200" w:lineRule="exact"/>
              <w:jc w:val="right"/>
              <w:rPr>
                <w:bCs/>
              </w:rPr>
            </w:pPr>
            <w:r w:rsidRPr="0058729C">
              <w:rPr>
                <w:bCs/>
              </w:rPr>
              <w:t>770 kr per kg</w:t>
            </w:r>
          </w:p>
        </w:tc>
        <w:tc>
          <w:tcPr>
            <w:tcW w:w="1304" w:type="dxa"/>
            <w:vAlign w:val="bottom"/>
          </w:tcPr>
          <w:p w:rsidR="005D6DE6" w:rsidRPr="0058729C" w:rsidRDefault="005D6DE6">
            <w:pPr>
              <w:shd w:val="clear" w:color="000000" w:fill="auto"/>
              <w:spacing w:before="60" w:line="200" w:lineRule="exact"/>
              <w:jc w:val="right"/>
              <w:rPr>
                <w:bCs/>
              </w:rPr>
            </w:pPr>
            <w:r w:rsidRPr="0058729C">
              <w:rPr>
                <w:bCs/>
              </w:rPr>
              <w:t>975 kr per kg</w:t>
            </w:r>
          </w:p>
        </w:tc>
        <w:tc>
          <w:tcPr>
            <w:tcW w:w="1361" w:type="dxa"/>
            <w:vAlign w:val="bottom"/>
          </w:tcPr>
          <w:p w:rsidR="005D6DE6" w:rsidRPr="0058729C" w:rsidRDefault="005D6DE6">
            <w:pPr>
              <w:shd w:val="clear" w:color="000000" w:fill="auto"/>
              <w:spacing w:before="60" w:line="200" w:lineRule="exact"/>
              <w:jc w:val="right"/>
              <w:rPr>
                <w:bCs/>
              </w:rPr>
            </w:pPr>
            <w:r w:rsidRPr="0058729C">
              <w:rPr>
                <w:bCs/>
              </w:rPr>
              <w:t>1 560 kr per kg</w:t>
            </w:r>
          </w:p>
        </w:tc>
      </w:tr>
      <w:tr w:rsidR="00000000" w:rsidRPr="0058729C">
        <w:tc>
          <w:tcPr>
            <w:tcW w:w="1788" w:type="dxa"/>
          </w:tcPr>
          <w:p w:rsidR="005D6DE6" w:rsidRPr="0058729C" w:rsidRDefault="005D6DE6">
            <w:pPr>
              <w:shd w:val="clear" w:color="000000" w:fill="auto"/>
              <w:spacing w:before="60" w:line="200" w:lineRule="exact"/>
              <w:jc w:val="left"/>
              <w:rPr>
                <w:b/>
                <w:bCs/>
              </w:rPr>
            </w:pPr>
            <w:r w:rsidRPr="0058729C">
              <w:rPr>
                <w:b/>
                <w:bCs/>
              </w:rPr>
              <w:t xml:space="preserve">Skatten på </w:t>
            </w:r>
            <w:r w:rsidRPr="0058729C">
              <w:rPr>
                <w:b/>
                <w:bCs/>
              </w:rPr>
              <w:br/>
              <w:t>tuggtobak</w:t>
            </w:r>
          </w:p>
        </w:tc>
        <w:tc>
          <w:tcPr>
            <w:tcW w:w="1269" w:type="dxa"/>
            <w:vAlign w:val="bottom"/>
          </w:tcPr>
          <w:p w:rsidR="005D6DE6" w:rsidRPr="0058729C" w:rsidRDefault="005D6DE6">
            <w:pPr>
              <w:shd w:val="clear" w:color="000000" w:fill="auto"/>
              <w:spacing w:before="60" w:line="200" w:lineRule="exact"/>
              <w:jc w:val="right"/>
              <w:rPr>
                <w:bCs/>
              </w:rPr>
            </w:pPr>
            <w:r w:rsidRPr="0058729C">
              <w:rPr>
                <w:bCs/>
              </w:rPr>
              <w:t>201 kr per kg</w:t>
            </w:r>
          </w:p>
        </w:tc>
        <w:tc>
          <w:tcPr>
            <w:tcW w:w="1304" w:type="dxa"/>
            <w:vAlign w:val="bottom"/>
          </w:tcPr>
          <w:p w:rsidR="005D6DE6" w:rsidRPr="0058729C" w:rsidRDefault="005D6DE6">
            <w:pPr>
              <w:shd w:val="clear" w:color="000000" w:fill="auto"/>
              <w:spacing w:before="60" w:line="200" w:lineRule="exact"/>
              <w:jc w:val="right"/>
              <w:rPr>
                <w:bCs/>
              </w:rPr>
            </w:pPr>
            <w:r w:rsidRPr="0058729C">
              <w:rPr>
                <w:bCs/>
              </w:rPr>
              <w:t>402 kr per kg</w:t>
            </w:r>
          </w:p>
        </w:tc>
        <w:tc>
          <w:tcPr>
            <w:tcW w:w="1361" w:type="dxa"/>
            <w:vAlign w:val="bottom"/>
          </w:tcPr>
          <w:p w:rsidR="005D6DE6" w:rsidRPr="0058729C" w:rsidRDefault="005D6DE6">
            <w:pPr>
              <w:shd w:val="clear" w:color="000000" w:fill="auto"/>
              <w:spacing w:before="60" w:line="200" w:lineRule="exact"/>
              <w:jc w:val="right"/>
              <w:rPr>
                <w:bCs/>
              </w:rPr>
            </w:pPr>
            <w:r w:rsidRPr="0058729C">
              <w:rPr>
                <w:bCs/>
              </w:rPr>
              <w:t>402 kr per kg</w:t>
            </w:r>
          </w:p>
        </w:tc>
      </w:tr>
      <w:tr w:rsidR="00000000" w:rsidRPr="0058729C">
        <w:tc>
          <w:tcPr>
            <w:tcW w:w="1788" w:type="dxa"/>
          </w:tcPr>
          <w:p w:rsidR="005D6DE6" w:rsidRPr="0058729C" w:rsidRDefault="005D6DE6">
            <w:pPr>
              <w:shd w:val="clear" w:color="000000" w:fill="auto"/>
              <w:spacing w:before="60" w:line="200" w:lineRule="exact"/>
              <w:jc w:val="left"/>
              <w:rPr>
                <w:b/>
                <w:bCs/>
              </w:rPr>
            </w:pPr>
            <w:r w:rsidRPr="0058729C">
              <w:rPr>
                <w:b/>
                <w:bCs/>
              </w:rPr>
              <w:t>Skatten på snus</w:t>
            </w:r>
          </w:p>
        </w:tc>
        <w:tc>
          <w:tcPr>
            <w:tcW w:w="1269" w:type="dxa"/>
            <w:vAlign w:val="bottom"/>
          </w:tcPr>
          <w:p w:rsidR="005D6DE6" w:rsidRPr="0058729C" w:rsidRDefault="005D6DE6">
            <w:pPr>
              <w:shd w:val="clear" w:color="000000" w:fill="auto"/>
              <w:spacing w:before="60" w:line="200" w:lineRule="exact"/>
              <w:jc w:val="right"/>
              <w:rPr>
                <w:bCs/>
              </w:rPr>
            </w:pPr>
            <w:r w:rsidRPr="0058729C">
              <w:rPr>
                <w:bCs/>
              </w:rPr>
              <w:t>123 kr per kg</w:t>
            </w:r>
          </w:p>
        </w:tc>
        <w:tc>
          <w:tcPr>
            <w:tcW w:w="1304" w:type="dxa"/>
            <w:vAlign w:val="bottom"/>
          </w:tcPr>
          <w:p w:rsidR="005D6DE6" w:rsidRPr="0058729C" w:rsidRDefault="005D6DE6">
            <w:pPr>
              <w:shd w:val="clear" w:color="000000" w:fill="auto"/>
              <w:spacing w:before="60" w:line="200" w:lineRule="exact"/>
              <w:jc w:val="right"/>
              <w:rPr>
                <w:bCs/>
              </w:rPr>
            </w:pPr>
            <w:r w:rsidRPr="0058729C">
              <w:rPr>
                <w:bCs/>
              </w:rPr>
              <w:t>246 kr per kg</w:t>
            </w:r>
          </w:p>
        </w:tc>
        <w:tc>
          <w:tcPr>
            <w:tcW w:w="1361" w:type="dxa"/>
            <w:vAlign w:val="bottom"/>
          </w:tcPr>
          <w:p w:rsidR="005D6DE6" w:rsidRPr="0058729C" w:rsidRDefault="005D6DE6">
            <w:pPr>
              <w:shd w:val="clear" w:color="000000" w:fill="auto"/>
              <w:spacing w:before="60" w:line="200" w:lineRule="exact"/>
              <w:jc w:val="right"/>
              <w:rPr>
                <w:bCs/>
              </w:rPr>
            </w:pPr>
            <w:r w:rsidRPr="0058729C">
              <w:rPr>
                <w:bCs/>
              </w:rPr>
              <w:t>336 kr per kg</w:t>
            </w:r>
          </w:p>
        </w:tc>
      </w:tr>
    </w:tbl>
    <w:p w:rsidR="005D6DE6" w:rsidRPr="0058729C" w:rsidRDefault="005D6DE6">
      <w:pPr>
        <w:pStyle w:val="Normaltindrag"/>
        <w:shd w:val="clear" w:color="000000" w:fill="auto"/>
        <w:spacing w:line="200" w:lineRule="exact"/>
        <w:ind w:firstLine="0"/>
        <w:rPr>
          <w:sz w:val="16"/>
          <w:szCs w:val="16"/>
        </w:rPr>
      </w:pPr>
      <w:r w:rsidRPr="0058729C">
        <w:rPr>
          <w:sz w:val="16"/>
          <w:szCs w:val="16"/>
        </w:rPr>
        <w:t>Källa: Regeringskansliet (2008); Beräkningskonventionen 2008. Metoder för effektberä</w:t>
      </w:r>
      <w:r w:rsidRPr="0058729C">
        <w:rPr>
          <w:sz w:val="16"/>
          <w:szCs w:val="16"/>
        </w:rPr>
        <w:t>k</w:t>
      </w:r>
      <w:r w:rsidRPr="0058729C">
        <w:rPr>
          <w:sz w:val="16"/>
          <w:szCs w:val="16"/>
        </w:rPr>
        <w:t>ningar av ändrade skatteregler s. 121.</w:t>
      </w:r>
    </w:p>
    <w:p w:rsidR="005D6DE6" w:rsidRPr="0058729C" w:rsidRDefault="005D6DE6">
      <w:pPr>
        <w:shd w:val="clear" w:color="000000" w:fill="auto"/>
      </w:pPr>
      <w:r w:rsidRPr="0058729C">
        <w:t>Någon undersökning av effekterna av den senaste skattehöjningen, som ska</w:t>
      </w:r>
      <w:r w:rsidRPr="0058729C">
        <w:t>t</w:t>
      </w:r>
      <w:r w:rsidRPr="0058729C">
        <w:t>teutskottet efterlyste i sitt yttrande, redovisas varken i budgetpropositionen eller i proposition 2007/08:11.</w:t>
      </w:r>
    </w:p>
    <w:p w:rsidR="005D6DE6" w:rsidRPr="0058729C" w:rsidRDefault="005D6DE6">
      <w:pPr>
        <w:pStyle w:val="Normaltindrag"/>
        <w:shd w:val="clear" w:color="000000" w:fill="auto"/>
      </w:pPr>
      <w:r w:rsidRPr="0058729C">
        <w:t>Vi anser inte att regeringens nya förslag till fördelning av höjningen av t</w:t>
      </w:r>
      <w:r w:rsidRPr="0058729C">
        <w:t>o</w:t>
      </w:r>
      <w:r w:rsidRPr="0058729C">
        <w:t>baksskatten är försvarlig och acceptabel. Genom att höja skatten på snus mer än på cigaretter stärks inte folkhälsan.</w:t>
      </w:r>
    </w:p>
    <w:p w:rsidR="005D6DE6" w:rsidRPr="0058729C" w:rsidRDefault="005D6DE6">
      <w:pPr>
        <w:pStyle w:val="Normaltindrag"/>
        <w:shd w:val="clear" w:color="000000" w:fill="auto"/>
      </w:pPr>
      <w:r w:rsidRPr="0058729C">
        <w:t>Skatten utgör ett viktigt styrmedel för konsumenternas val av produkter. Om snusskatten ska höjas, måste höjningen åtminstone vara neutral i förhå</w:t>
      </w:r>
      <w:r w:rsidRPr="0058729C">
        <w:t>l</w:t>
      </w:r>
      <w:r w:rsidRPr="0058729C">
        <w:t>lande till höjningen av skatten på cigaretter och röktobak för att minimera risken för att tobakskonsumenterna på grund av skatteförändringen styrs över från snus till cigaretter. Den inkomstminskning som därigenom uppstår för staten bör i stället tas ut på cigaretterna, särskilt lågpriscigaretterna, och på röktobaken.</w:t>
      </w:r>
    </w:p>
    <w:p w:rsidR="005D6DE6" w:rsidRPr="0058729C" w:rsidRDefault="005D6DE6">
      <w:pPr>
        <w:pStyle w:val="Normaltindrag"/>
        <w:shd w:val="clear" w:color="000000" w:fill="auto"/>
      </w:pPr>
      <w:r w:rsidRPr="0058729C">
        <w:t>Därför ska förslagen till lag om ändring i lagen (1994:1563) om tobak</w:t>
      </w:r>
      <w:r w:rsidRPr="0058729C">
        <w:t>s</w:t>
      </w:r>
      <w:r w:rsidRPr="0058729C">
        <w:t>skatt och till lag om ändring i lagen (2004:228) om beskattning av viss priva</w:t>
      </w:r>
      <w:r w:rsidRPr="0058729C">
        <w:t>t</w:t>
      </w:r>
      <w:r w:rsidRPr="0058729C">
        <w:t>införsel av tobaksvaror, enligt vår mening, justeras utifrån motionens inte</w:t>
      </w:r>
      <w:r w:rsidRPr="0058729C">
        <w:t>n</w:t>
      </w:r>
      <w:r w:rsidRPr="0058729C">
        <w:t>tioner om att snusskatten ska sänkas medan skatten på försäljning och priva</w:t>
      </w:r>
      <w:r w:rsidRPr="0058729C">
        <w:t>t</w:t>
      </w:r>
      <w:r w:rsidRPr="0058729C">
        <w:t>införsel av cigaretter och röktobak ska höjas, för att höjningen ska bli neutral i relation till val av tobaksprodukt.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29C">
        <w:trPr>
          <w:cantSplit/>
        </w:trPr>
        <w:tc>
          <w:tcPr>
            <w:tcW w:w="3046" w:type="dxa"/>
          </w:tcPr>
          <w:p w:rsidR="005D6DE6" w:rsidRPr="0058729C" w:rsidRDefault="005D6DE6">
            <w:pPr>
              <w:pStyle w:val="UnderskriftDatum"/>
              <w:shd w:val="clear" w:color="000000" w:fill="auto"/>
              <w:spacing w:before="240"/>
            </w:pPr>
            <w:r w:rsidRPr="0058729C">
              <w:t>Stockholm den 30 oktober 2007</w:t>
            </w:r>
          </w:p>
        </w:tc>
        <w:tc>
          <w:tcPr>
            <w:tcW w:w="3047" w:type="dxa"/>
          </w:tcPr>
          <w:p w:rsidR="005D6DE6" w:rsidRPr="0058729C" w:rsidRDefault="005D6DE6">
            <w:pPr>
              <w:pStyle w:val="Underskrifter"/>
              <w:shd w:val="clear" w:color="000000" w:fill="auto"/>
              <w:spacing w:before="240"/>
            </w:pPr>
          </w:p>
        </w:tc>
      </w:tr>
      <w:tr w:rsidR="00000000" w:rsidRPr="0058729C">
        <w:trPr>
          <w:cantSplit/>
        </w:trPr>
        <w:tc>
          <w:tcPr>
            <w:tcW w:w="3046" w:type="dxa"/>
          </w:tcPr>
          <w:p w:rsidR="005D6DE6" w:rsidRPr="0058729C" w:rsidRDefault="005D6DE6">
            <w:pPr>
              <w:pStyle w:val="Underskrifter"/>
              <w:shd w:val="clear" w:color="000000" w:fill="auto"/>
            </w:pPr>
            <w:r w:rsidRPr="0058729C">
              <w:t>Claes-Göran Brandin (s)</w:t>
            </w:r>
          </w:p>
        </w:tc>
        <w:tc>
          <w:tcPr>
            <w:tcW w:w="3046" w:type="dxa"/>
          </w:tcPr>
          <w:p w:rsidR="005D6DE6" w:rsidRPr="0058729C" w:rsidRDefault="005D6DE6">
            <w:pPr>
              <w:pStyle w:val="Underskrifter"/>
              <w:shd w:val="clear" w:color="000000" w:fill="auto"/>
            </w:pPr>
            <w:r w:rsidRPr="0058729C">
              <w:t>Kenneth G Forslund (s)</w:t>
            </w:r>
          </w:p>
        </w:tc>
      </w:tr>
    </w:tbl>
    <w:p w:rsidR="005D6DE6" w:rsidRPr="0058729C" w:rsidRDefault="005D6DE6">
      <w:pPr>
        <w:pStyle w:val="Normaltindrag"/>
        <w:shd w:val="clear" w:color="000000" w:fill="auto"/>
      </w:pPr>
    </w:p>
    <w:sectPr w:rsidR="005D6DE6" w:rsidRPr="00587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DE6" w:rsidRPr="0058729C" w:rsidRDefault="005D6DE6">
      <w:r w:rsidRPr="0058729C">
        <w:separator/>
      </w:r>
    </w:p>
  </w:endnote>
  <w:endnote w:type="continuationSeparator" w:id="0">
    <w:p w:rsidR="005D6DE6" w:rsidRPr="0058729C" w:rsidRDefault="005D6DE6">
      <w:r w:rsidRPr="00587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DE6" w:rsidRPr="0058729C" w:rsidRDefault="0058729C">
    <w:pPr>
      <w:pStyle w:val="Sidfot"/>
    </w:pPr>
    <w:r w:rsidRPr="00587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135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DE6" w:rsidRDefault="005D6D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DE6" w:rsidRDefault="005D6D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DE6" w:rsidRPr="0058729C" w:rsidRDefault="0058729C">
    <w:pPr>
      <w:pStyle w:val="Sidfot"/>
    </w:pPr>
    <w:r w:rsidRPr="00587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585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DE6" w:rsidRDefault="005D6D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DE6" w:rsidRDefault="005D6D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DE6" w:rsidRPr="0058729C" w:rsidRDefault="0058729C">
    <w:pPr>
      <w:pStyle w:val="Sidfot"/>
    </w:pPr>
    <w:r w:rsidRPr="00587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039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DE6" w:rsidRDefault="005D6D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DE6" w:rsidRDefault="005D6D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DE6" w:rsidRPr="0058729C" w:rsidRDefault="005D6DE6">
      <w:r w:rsidRPr="0058729C">
        <w:separator/>
      </w:r>
    </w:p>
  </w:footnote>
  <w:footnote w:type="continuationSeparator" w:id="0">
    <w:p w:rsidR="005D6DE6" w:rsidRPr="0058729C" w:rsidRDefault="005D6DE6">
      <w:r w:rsidRPr="00587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DE6" w:rsidRPr="0058729C" w:rsidRDefault="0058729C">
    <w:pPr>
      <w:pStyle w:val="Sidhuvud"/>
    </w:pPr>
    <w:r w:rsidRPr="00587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836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DE6" w:rsidRDefault="005D6D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DE6" w:rsidRDefault="005D6D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DE6" w:rsidRPr="0058729C" w:rsidRDefault="0058729C">
    <w:pPr>
      <w:pStyle w:val="Sidhuvud"/>
    </w:pPr>
    <w:r w:rsidRPr="00587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512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DE6" w:rsidRDefault="005D6D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DE6" w:rsidRDefault="005D6D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DE6" w:rsidRPr="0058729C" w:rsidRDefault="005D6DE6">
    <w:pPr>
      <w:pStyle w:val="FSHNormal"/>
      <w:tabs>
        <w:tab w:val="right" w:pos="5840"/>
      </w:tabs>
    </w:pPr>
    <w:r w:rsidRPr="0058729C">
      <w:br/>
    </w:r>
    <w:r w:rsidRPr="0058729C">
      <w:fldChar w:fldCharType="begin" w:fldLock="1"/>
    </w:r>
    <w:r w:rsidRPr="0058729C">
      <w:instrText xml:space="preserve"> DOCPROPERTY</w:instrText>
    </w:r>
    <w:r w:rsidRPr="0058729C">
      <w:rPr>
        <w:sz w:val="18"/>
      </w:rPr>
      <w:instrText xml:space="preserve"> "YearUser" *\charformat </w:instrText>
    </w:r>
    <w:r w:rsidRPr="0058729C">
      <w:fldChar w:fldCharType="separate"/>
    </w:r>
    <w:r w:rsidRPr="0058729C">
      <w:t>2007/08</w:t>
    </w:r>
    <w:r w:rsidRPr="0058729C">
      <w:fldChar w:fldCharType="end"/>
    </w:r>
    <w:r w:rsidRPr="0058729C">
      <w:t xml:space="preserve"> </w:t>
    </w:r>
    <w:r w:rsidRPr="0058729C">
      <w:tab/>
      <w:t xml:space="preserve">mnr: </w:t>
    </w:r>
    <w:r w:rsidRPr="0058729C">
      <w:fldChar w:fldCharType="begin" w:fldLock="1"/>
    </w:r>
    <w:r w:rsidRPr="0058729C">
      <w:instrText xml:space="preserve"> DOCPROPERTY</w:instrText>
    </w:r>
    <w:r w:rsidRPr="0058729C">
      <w:rPr>
        <w:sz w:val="18"/>
      </w:rPr>
      <w:instrText xml:space="preserve"> "Motionsnummer" *\charformat </w:instrText>
    </w:r>
    <w:r w:rsidRPr="0058729C">
      <w:fldChar w:fldCharType="separate"/>
    </w:r>
    <w:r w:rsidRPr="0058729C">
      <w:t>Sk3</w:t>
    </w:r>
    <w:r w:rsidRPr="0058729C">
      <w:fldChar w:fldCharType="end"/>
    </w:r>
    <w:r w:rsidRPr="0058729C">
      <w:br/>
    </w:r>
    <w:r w:rsidRPr="0058729C">
      <w:fldChar w:fldCharType="begin" w:fldLock="1"/>
    </w:r>
    <w:r w:rsidRPr="0058729C">
      <w:instrText xml:space="preserve"> DOCPROPERTY</w:instrText>
    </w:r>
    <w:r w:rsidRPr="0058729C">
      <w:rPr>
        <w:sz w:val="18"/>
      </w:rPr>
      <w:instrText xml:space="preserve"> "Samling" *\charformat </w:instrText>
    </w:r>
    <w:r w:rsidRPr="0058729C">
      <w:fldChar w:fldCharType="end"/>
    </w:r>
    <w:r w:rsidRPr="0058729C">
      <w:tab/>
      <w:t xml:space="preserve">pnr: </w:t>
    </w:r>
    <w:r w:rsidRPr="0058729C">
      <w:fldChar w:fldCharType="begin" w:fldLock="1"/>
    </w:r>
    <w:r w:rsidRPr="0058729C">
      <w:instrText xml:space="preserve"> DOCPROPERTY</w:instrText>
    </w:r>
    <w:r w:rsidRPr="0058729C">
      <w:rPr>
        <w:sz w:val="18"/>
      </w:rPr>
      <w:instrText xml:space="preserve"> "Partinummer" *\charformat </w:instrText>
    </w:r>
    <w:r w:rsidRPr="0058729C">
      <w:fldChar w:fldCharType="separate"/>
    </w:r>
    <w:r w:rsidRPr="0058729C">
      <w:t>s21014</w:t>
    </w:r>
    <w:r w:rsidRPr="0058729C">
      <w:fldChar w:fldCharType="end"/>
    </w:r>
  </w:p>
  <w:p w:rsidR="005D6DE6" w:rsidRPr="0058729C" w:rsidRDefault="005D6DE6">
    <w:pPr>
      <w:pStyle w:val="FSHRub1"/>
    </w:pPr>
    <w:r w:rsidRPr="0058729C">
      <w:t>Motion till riksdagen</w:t>
    </w:r>
    <w:r w:rsidRPr="0058729C">
      <w:br/>
    </w:r>
    <w:r w:rsidRPr="0058729C">
      <w:fldChar w:fldCharType="begin" w:fldLock="1"/>
    </w:r>
    <w:r w:rsidRPr="0058729C">
      <w:instrText xml:space="preserve"> DOCPROPERTY "YearUser" *\charformat </w:instrText>
    </w:r>
    <w:r w:rsidRPr="0058729C">
      <w:fldChar w:fldCharType="separate"/>
    </w:r>
    <w:r w:rsidRPr="0058729C">
      <w:t>2007/08</w:t>
    </w:r>
    <w:r w:rsidRPr="0058729C">
      <w:fldChar w:fldCharType="end"/>
    </w:r>
    <w:r w:rsidRPr="0058729C">
      <w:t>:</w:t>
    </w:r>
    <w:r w:rsidRPr="0058729C">
      <w:fldChar w:fldCharType="begin" w:fldLock="1"/>
    </w:r>
    <w:r w:rsidRPr="0058729C">
      <w:instrText xml:space="preserve"> DOCPROPERTY "Motionsnummer" *\charformat </w:instrText>
    </w:r>
    <w:r w:rsidRPr="0058729C">
      <w:fldChar w:fldCharType="separate"/>
    </w:r>
    <w:r w:rsidRPr="0058729C">
      <w:t>Sk3</w:t>
    </w:r>
    <w:r w:rsidRPr="0058729C">
      <w:fldChar w:fldCharType="end"/>
    </w:r>
  </w:p>
  <w:p w:rsidR="005D6DE6" w:rsidRPr="0058729C" w:rsidRDefault="005D6DE6">
    <w:pPr>
      <w:pStyle w:val="FSHNormalS5"/>
    </w:pPr>
    <w:r w:rsidRPr="0058729C">
      <w:fldChar w:fldCharType="begin" w:fldLock="1"/>
    </w:r>
    <w:r w:rsidRPr="0058729C">
      <w:instrText xml:space="preserve"> DOCPROPERTY "MotionarText" *\charformat </w:instrText>
    </w:r>
    <w:r w:rsidRPr="0058729C">
      <w:fldChar w:fldCharType="separate"/>
    </w:r>
    <w:r w:rsidRPr="0058729C">
      <w:t>av Claes-Göran Brandin och Kenneth G Forslund (s)</w:t>
    </w:r>
    <w:r w:rsidRPr="0058729C">
      <w:fldChar w:fldCharType="end"/>
    </w:r>
    <w:r w:rsidRPr="0058729C">
      <w:br/>
    </w:r>
    <w:r w:rsidRPr="0058729C">
      <w:fldChar w:fldCharType="begin" w:fldLock="1"/>
    </w:r>
    <w:r w:rsidRPr="0058729C">
      <w:instrText xml:space="preserve"> DOCPROPERTY "SvarFrasKort" *\charformat </w:instrText>
    </w:r>
    <w:r w:rsidRPr="0058729C">
      <w:fldChar w:fldCharType="separate"/>
    </w:r>
    <w:r w:rsidRPr="0058729C">
      <w:t>med anledning av prop. 2007/08:11</w:t>
    </w:r>
    <w:r w:rsidRPr="0058729C">
      <w:fldChar w:fldCharType="end"/>
    </w:r>
  </w:p>
  <w:p w:rsidR="005D6DE6" w:rsidRPr="0058729C" w:rsidRDefault="005D6DE6">
    <w:pPr>
      <w:pStyle w:val="FSHTitel"/>
    </w:pPr>
    <w:r w:rsidRPr="0058729C">
      <w:fldChar w:fldCharType="begin" w:fldLock="1"/>
    </w:r>
    <w:r w:rsidRPr="0058729C">
      <w:instrText xml:space="preserve"> DOCPROPERTY</w:instrText>
    </w:r>
    <w:r w:rsidRPr="0058729C">
      <w:rPr>
        <w:sz w:val="18"/>
      </w:rPr>
      <w:instrText xml:space="preserve"> "RubrikSvar" *\charformat </w:instrText>
    </w:r>
    <w:r w:rsidRPr="0058729C">
      <w:fldChar w:fldCharType="separate"/>
    </w:r>
    <w:r w:rsidRPr="0058729C">
      <w:t>Vissa punktskattefrågor m.m. med anledning av budgetpropositionen för 2008</w:t>
    </w:r>
    <w:r w:rsidRPr="0058729C">
      <w:fldChar w:fldCharType="end"/>
    </w:r>
  </w:p>
  <w:p w:rsidR="005D6DE6" w:rsidRPr="0058729C" w:rsidRDefault="005D6DE6">
    <w:pPr>
      <w:pStyle w:val="Normal00"/>
    </w:pPr>
  </w:p>
  <w:p w:rsidR="005D6DE6" w:rsidRPr="0058729C" w:rsidRDefault="005D6D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9451A6"/>
    <w:multiLevelType w:val="hybridMultilevel"/>
    <w:tmpl w:val="812618E0"/>
    <w:lvl w:ilvl="0" w:tplc="C28C0E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236244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6729799">
    <w:abstractNumId w:val="8"/>
  </w:num>
  <w:num w:numId="2" w16cid:durableId="301928305">
    <w:abstractNumId w:val="9"/>
  </w:num>
  <w:num w:numId="3" w16cid:durableId="110832215">
    <w:abstractNumId w:val="8"/>
  </w:num>
  <w:num w:numId="4" w16cid:durableId="387194774">
    <w:abstractNumId w:val="9"/>
  </w:num>
  <w:num w:numId="5" w16cid:durableId="1982999869">
    <w:abstractNumId w:val="14"/>
  </w:num>
  <w:num w:numId="6" w16cid:durableId="664750817">
    <w:abstractNumId w:val="10"/>
  </w:num>
  <w:num w:numId="7" w16cid:durableId="1756784998">
    <w:abstractNumId w:val="11"/>
  </w:num>
  <w:num w:numId="8" w16cid:durableId="1145927444">
    <w:abstractNumId w:val="13"/>
  </w:num>
  <w:num w:numId="9" w16cid:durableId="2092652888">
    <w:abstractNumId w:val="8"/>
  </w:num>
  <w:num w:numId="10" w16cid:durableId="1550457149">
    <w:abstractNumId w:val="3"/>
  </w:num>
  <w:num w:numId="11" w16cid:durableId="2123331729">
    <w:abstractNumId w:val="2"/>
  </w:num>
  <w:num w:numId="12" w16cid:durableId="483355414">
    <w:abstractNumId w:val="1"/>
  </w:num>
  <w:num w:numId="13" w16cid:durableId="2014409524">
    <w:abstractNumId w:val="0"/>
  </w:num>
  <w:num w:numId="14" w16cid:durableId="1914847275">
    <w:abstractNumId w:val="9"/>
  </w:num>
  <w:num w:numId="15" w16cid:durableId="100297125">
    <w:abstractNumId w:val="7"/>
  </w:num>
  <w:num w:numId="16" w16cid:durableId="514925214">
    <w:abstractNumId w:val="6"/>
  </w:num>
  <w:num w:numId="17" w16cid:durableId="841894324">
    <w:abstractNumId w:val="5"/>
  </w:num>
  <w:num w:numId="18" w16cid:durableId="1129938342">
    <w:abstractNumId w:val="4"/>
  </w:num>
  <w:num w:numId="19" w16cid:durableId="172451083">
    <w:abstractNumId w:val="12"/>
  </w:num>
  <w:num w:numId="20" w16cid:durableId="70649322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6"/>
    <w:docVar w:name="PersonGUIDs" w:val="{01BDF579-471C-4239-90B2-2FAC506BC556},{47D16990-C43A-4731-A6AF-F25531560B38}"/>
  </w:docVars>
  <w:rsids>
    <w:rsidRoot w:val="00E52F1D"/>
    <w:rsid w:val="0058729C"/>
    <w:rsid w:val="005D6DE6"/>
    <w:rsid w:val="00E52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E3E0EB-3DCD-478A-B89E-84ADD39C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2856</Characters>
  <Application>Microsoft Office Word</Application>
  <DocSecurity>4</DocSecurity>
  <Lines>77</Lines>
  <Paragraphs>45</Paragraphs>
  <ScaleCrop>false</ScaleCrop>
  <HeadingPairs>
    <vt:vector size="2" baseType="variant">
      <vt:variant>
        <vt:lpstr>Rubrik</vt:lpstr>
      </vt:variant>
      <vt:variant>
        <vt:i4>1</vt:i4>
      </vt:variant>
    </vt:vector>
  </HeadingPairs>
  <TitlesOfParts>
    <vt:vector size="1" baseType="lpstr">
      <vt:lpstr>s21014</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s21014</dc:title>
  <dc:subject>s21014</dc:subject>
  <dc:creator>Riksdagen</dc:creator>
  <cp:keywords>Riksdagen</cp:keywords>
  <dc:description>TKG-ktrl, MSMQ4mb, PersReg-Distribution mm</dc:description>
  <cp:lastModifiedBy>Lars Brink</cp:lastModifiedBy>
  <cp:revision>2</cp:revision>
  <cp:lastPrinted>2007-11-06T13:48:00Z</cp:lastPrinted>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mot2000_492_2007-10-26</vt:lpwstr>
  </property>
  <property fmtid="{D5CDD505-2E9C-101B-9397-08002B2CF9AE}" pid="3" name="version">
    <vt:lpwstr>mot2000_492_2007-10-26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 Vissa punktskattefrågor m.m. med anledning av budgetpropositionen för 2008</vt:lpwstr>
  </property>
  <property fmtid="{D5CDD505-2E9C-101B-9397-08002B2CF9AE}" pid="11" name="SvarFrasKort">
    <vt:lpwstr>med anledning av prop. 2007/08:11</vt:lpwstr>
  </property>
  <property fmtid="{D5CDD505-2E9C-101B-9397-08002B2CF9AE}" pid="12" name="Svar">
    <vt:lpwstr>Proposition</vt:lpwstr>
  </property>
  <property fmtid="{D5CDD505-2E9C-101B-9397-08002B2CF9AE}" pid="13" name="SvarNr">
    <vt:lpwstr>2007/08:11</vt:lpwstr>
  </property>
  <property fmtid="{D5CDD505-2E9C-101B-9397-08002B2CF9AE}" pid="14" name="RubrikSvar">
    <vt:lpwstr>Vissa punktskattefrågor m.m. med anledning av budgetpropositionen för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Kenneth G Forslund (s)</vt:lpwstr>
  </property>
  <property fmtid="{D5CDD505-2E9C-101B-9397-08002B2CF9AE}" pid="26" name="MotionarLista">
    <vt:lpwstr>Brandin, Claes-Göran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20072008000000000115000210140069</vt:lpwstr>
  </property>
  <property fmtid="{D5CDD505-2E9C-101B-9397-08002B2CF9AE}" pid="47" name="datum">
    <vt:lpwstr>071030</vt:lpwstr>
  </property>
  <property fmtid="{D5CDD505-2E9C-101B-9397-08002B2CF9AE}" pid="48" name="avsändar-e-post">
    <vt:lpwstr>monika.v.karlsson@riksdagen.se</vt:lpwstr>
  </property>
  <property fmtid="{D5CDD505-2E9C-101B-9397-08002B2CF9AE}" pid="49" name="id">
    <vt:lpwstr>20072008000000000115000210140069</vt:lpwstr>
  </property>
  <property fmtid="{D5CDD505-2E9C-101B-9397-08002B2CF9AE}" pid="50" name="nummer">
    <vt:lpwstr>3</vt:lpwstr>
  </property>
  <property fmtid="{D5CDD505-2E9C-101B-9397-08002B2CF9AE}" pid="51" name="utskottsbeteckning">
    <vt:lpwstr>Sk</vt:lpwstr>
  </property>
  <property fmtid="{D5CDD505-2E9C-101B-9397-08002B2CF9AE}" pid="52" name="GlobalUID">
    <vt:lpwstr>{AF2FC183-EED8-4297-9B1F-2982D69E080A}</vt:lpwstr>
  </property>
  <property fmtid="{D5CDD505-2E9C-101B-9397-08002B2CF9AE}" pid="53" name="Överföringar">
    <vt:i4>0</vt:i4>
  </property>
  <property fmtid="{D5CDD505-2E9C-101B-9397-08002B2CF9AE}" pid="54" name="Checksum">
    <vt:lpwstr>*0011320644959*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14:48:29.287</vt:lpwstr>
  </property>
  <property fmtid="{D5CDD505-2E9C-101B-9397-08002B2CF9AE}" pid="58" name="urixGuid">
    <vt:lpwstr>{44685B78-5E25-45F3-B477-932C0B33D07D}</vt:lpwstr>
  </property>
</Properties>
</file>