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75E" w:rsidRPr="00480526" w:rsidRDefault="00CD575E">
      <w:pPr>
        <w:pStyle w:val="Frslagsrubrik"/>
      </w:pPr>
      <w:r w:rsidRPr="00480526">
        <w:t>Förslag till riksdagsbeslut</w:t>
      </w:r>
    </w:p>
    <w:p w:rsidR="00CD575E" w:rsidRPr="00480526" w:rsidRDefault="00CD575E">
      <w:pPr>
        <w:pStyle w:val="Hemstlatt"/>
        <w:numPr>
          <w:ilvl w:val="0"/>
          <w:numId w:val="0"/>
        </w:numPr>
      </w:pPr>
      <w:r w:rsidRPr="00480526">
        <w:t>Riksdagen anvisar till utgiftsområde 18 Samhällspl</w:t>
      </w:r>
      <w:r w:rsidRPr="00480526">
        <w:t>a</w:t>
      </w:r>
      <w:r w:rsidRPr="00480526">
        <w:t>nering, bostadsförsörjning, byggande samt konsumentpolitik 105 000 000 kr utöver vad regeringen föreslagit för budgetåret 2012 eller således 1 257 000 000 kr.</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3"/>
        <w:gridCol w:w="3682"/>
        <w:gridCol w:w="1849"/>
      </w:tblGrid>
      <w:tr w:rsidR="00000000" w:rsidRPr="00480526">
        <w:tc>
          <w:tcPr>
            <w:tcW w:w="466" w:type="dxa"/>
            <w:tcBorders>
              <w:top w:val="single" w:sz="4" w:space="0" w:color="auto"/>
              <w:bottom w:val="single" w:sz="4" w:space="0" w:color="auto"/>
            </w:tcBorders>
            <w:noWrap/>
          </w:tcPr>
          <w:p w:rsidR="00CD575E" w:rsidRPr="00480526" w:rsidRDefault="00CD575E">
            <w:pPr>
              <w:spacing w:before="60" w:line="200" w:lineRule="exact"/>
              <w:jc w:val="center"/>
              <w:rPr>
                <w:sz w:val="16"/>
                <w:szCs w:val="16"/>
              </w:rPr>
            </w:pPr>
            <w:r w:rsidRPr="00480526">
              <w:rPr>
                <w:sz w:val="16"/>
                <w:szCs w:val="16"/>
              </w:rPr>
              <w:t> </w:t>
            </w:r>
          </w:p>
        </w:tc>
        <w:tc>
          <w:tcPr>
            <w:tcW w:w="4250" w:type="dxa"/>
            <w:tcBorders>
              <w:top w:val="single" w:sz="4" w:space="0" w:color="auto"/>
              <w:bottom w:val="single" w:sz="4" w:space="0" w:color="auto"/>
            </w:tcBorders>
          </w:tcPr>
          <w:p w:rsidR="00CD575E" w:rsidRPr="00480526" w:rsidRDefault="00CD575E">
            <w:pPr>
              <w:spacing w:before="60" w:line="200" w:lineRule="exact"/>
              <w:rPr>
                <w:b/>
                <w:bCs/>
                <w:sz w:val="16"/>
                <w:szCs w:val="16"/>
              </w:rPr>
            </w:pPr>
            <w:r w:rsidRPr="00480526">
              <w:rPr>
                <w:b/>
                <w:bCs/>
                <w:sz w:val="16"/>
                <w:szCs w:val="16"/>
              </w:rPr>
              <w:t>Anslag</w:t>
            </w:r>
          </w:p>
        </w:tc>
        <w:tc>
          <w:tcPr>
            <w:tcW w:w="2121" w:type="dxa"/>
            <w:tcBorders>
              <w:top w:val="single" w:sz="4" w:space="0" w:color="auto"/>
              <w:bottom w:val="single" w:sz="4" w:space="0" w:color="auto"/>
            </w:tcBorders>
            <w:noWrap/>
          </w:tcPr>
          <w:p w:rsidR="00CD575E" w:rsidRPr="00480526" w:rsidRDefault="00CD575E">
            <w:pPr>
              <w:spacing w:before="60" w:line="200" w:lineRule="exact"/>
              <w:jc w:val="right"/>
              <w:rPr>
                <w:b/>
                <w:sz w:val="16"/>
                <w:szCs w:val="16"/>
              </w:rPr>
            </w:pPr>
            <w:r w:rsidRPr="00480526">
              <w:rPr>
                <w:b/>
                <w:sz w:val="16"/>
                <w:szCs w:val="16"/>
              </w:rPr>
              <w:t>Anslagsförändring </w:t>
            </w:r>
          </w:p>
        </w:tc>
      </w:tr>
      <w:tr w:rsidR="00000000" w:rsidRPr="00480526">
        <w:tc>
          <w:tcPr>
            <w:tcW w:w="466" w:type="dxa"/>
            <w:tcBorders>
              <w:top w:val="single" w:sz="4" w:space="0" w:color="auto"/>
            </w:tcBorders>
            <w:noWrap/>
          </w:tcPr>
          <w:p w:rsidR="00CD575E" w:rsidRPr="00480526" w:rsidRDefault="00CD575E">
            <w:pPr>
              <w:spacing w:before="60" w:line="200" w:lineRule="exact"/>
              <w:jc w:val="center"/>
              <w:rPr>
                <w:sz w:val="16"/>
                <w:szCs w:val="16"/>
              </w:rPr>
            </w:pPr>
            <w:r w:rsidRPr="00480526">
              <w:rPr>
                <w:sz w:val="16"/>
                <w:szCs w:val="16"/>
              </w:rPr>
              <w:t>1:3</w:t>
            </w:r>
          </w:p>
        </w:tc>
        <w:tc>
          <w:tcPr>
            <w:tcW w:w="4250" w:type="dxa"/>
            <w:tcBorders>
              <w:top w:val="single" w:sz="4" w:space="0" w:color="auto"/>
            </w:tcBorders>
          </w:tcPr>
          <w:p w:rsidR="00CD575E" w:rsidRPr="00480526" w:rsidRDefault="00CD575E">
            <w:pPr>
              <w:spacing w:before="60" w:line="200" w:lineRule="exact"/>
              <w:rPr>
                <w:sz w:val="16"/>
                <w:szCs w:val="16"/>
              </w:rPr>
            </w:pPr>
            <w:r w:rsidRPr="00480526">
              <w:rPr>
                <w:sz w:val="16"/>
                <w:szCs w:val="16"/>
              </w:rPr>
              <w:t>Stöd för att underlätta för enskilda att ordna bostad</w:t>
            </w:r>
          </w:p>
        </w:tc>
        <w:tc>
          <w:tcPr>
            <w:tcW w:w="2121" w:type="dxa"/>
            <w:tcBorders>
              <w:top w:val="single" w:sz="4" w:space="0" w:color="auto"/>
            </w:tcBorders>
            <w:noWrap/>
          </w:tcPr>
          <w:p w:rsidR="00CD575E" w:rsidRPr="00480526" w:rsidRDefault="00CD575E">
            <w:pPr>
              <w:pStyle w:val="PunktlistaTankstreck"/>
              <w:numPr>
                <w:ilvl w:val="0"/>
                <w:numId w:val="0"/>
              </w:numPr>
              <w:spacing w:before="60" w:line="200" w:lineRule="exact"/>
              <w:jc w:val="right"/>
              <w:rPr>
                <w:sz w:val="16"/>
                <w:szCs w:val="16"/>
              </w:rPr>
            </w:pPr>
            <w:r w:rsidRPr="00480526">
              <w:rPr>
                <w:sz w:val="16"/>
                <w:szCs w:val="16"/>
              </w:rPr>
              <w:t>–35</w:t>
            </w:r>
          </w:p>
        </w:tc>
      </w:tr>
      <w:tr w:rsidR="00000000" w:rsidRPr="00480526">
        <w:tc>
          <w:tcPr>
            <w:tcW w:w="466" w:type="dxa"/>
            <w:noWrap/>
          </w:tcPr>
          <w:p w:rsidR="00CD575E" w:rsidRPr="00480526" w:rsidRDefault="00CD575E">
            <w:pPr>
              <w:spacing w:before="60" w:line="200" w:lineRule="exact"/>
              <w:jc w:val="center"/>
              <w:rPr>
                <w:sz w:val="16"/>
                <w:szCs w:val="16"/>
              </w:rPr>
            </w:pPr>
            <w:r w:rsidRPr="00480526">
              <w:rPr>
                <w:sz w:val="16"/>
                <w:szCs w:val="16"/>
              </w:rPr>
              <w:t> </w:t>
            </w:r>
          </w:p>
        </w:tc>
        <w:tc>
          <w:tcPr>
            <w:tcW w:w="4250" w:type="dxa"/>
          </w:tcPr>
          <w:p w:rsidR="00CD575E" w:rsidRPr="00480526" w:rsidRDefault="00CD575E">
            <w:pPr>
              <w:spacing w:before="60" w:line="200" w:lineRule="exact"/>
              <w:rPr>
                <w:i/>
                <w:iCs/>
                <w:sz w:val="16"/>
                <w:szCs w:val="16"/>
              </w:rPr>
            </w:pPr>
            <w:r w:rsidRPr="00480526">
              <w:rPr>
                <w:i/>
                <w:iCs/>
                <w:sz w:val="16"/>
                <w:szCs w:val="16"/>
              </w:rPr>
              <w:t>Nya anslag</w:t>
            </w:r>
          </w:p>
        </w:tc>
        <w:tc>
          <w:tcPr>
            <w:tcW w:w="2121" w:type="dxa"/>
            <w:noWrap/>
          </w:tcPr>
          <w:p w:rsidR="00CD575E" w:rsidRPr="00480526" w:rsidRDefault="00CD575E">
            <w:pPr>
              <w:spacing w:before="60" w:line="200" w:lineRule="exact"/>
              <w:jc w:val="right"/>
              <w:rPr>
                <w:sz w:val="16"/>
                <w:szCs w:val="16"/>
              </w:rPr>
            </w:pPr>
            <w:r w:rsidRPr="00480526">
              <w:rPr>
                <w:sz w:val="16"/>
                <w:szCs w:val="16"/>
              </w:rPr>
              <w:t> </w:t>
            </w:r>
          </w:p>
        </w:tc>
      </w:tr>
      <w:tr w:rsidR="00000000" w:rsidRPr="00480526">
        <w:tc>
          <w:tcPr>
            <w:tcW w:w="466" w:type="dxa"/>
            <w:noWrap/>
          </w:tcPr>
          <w:p w:rsidR="00CD575E" w:rsidRPr="00480526" w:rsidRDefault="00CD575E">
            <w:pPr>
              <w:spacing w:before="60" w:line="200" w:lineRule="exact"/>
              <w:jc w:val="center"/>
              <w:rPr>
                <w:sz w:val="16"/>
                <w:szCs w:val="16"/>
              </w:rPr>
            </w:pPr>
            <w:r w:rsidRPr="00480526">
              <w:rPr>
                <w:sz w:val="16"/>
                <w:szCs w:val="16"/>
              </w:rPr>
              <w:t>3:7</w:t>
            </w:r>
          </w:p>
        </w:tc>
        <w:tc>
          <w:tcPr>
            <w:tcW w:w="4250" w:type="dxa"/>
          </w:tcPr>
          <w:p w:rsidR="00CD575E" w:rsidRPr="00480526" w:rsidRDefault="00CD575E">
            <w:pPr>
              <w:spacing w:before="60" w:line="200" w:lineRule="exact"/>
              <w:rPr>
                <w:sz w:val="16"/>
                <w:szCs w:val="16"/>
              </w:rPr>
            </w:pPr>
            <w:r w:rsidRPr="00480526">
              <w:rPr>
                <w:sz w:val="16"/>
                <w:szCs w:val="16"/>
              </w:rPr>
              <w:t>Bidrag till miljonprogrammen</w:t>
            </w:r>
          </w:p>
        </w:tc>
        <w:tc>
          <w:tcPr>
            <w:tcW w:w="2121" w:type="dxa"/>
            <w:noWrap/>
          </w:tcPr>
          <w:p w:rsidR="00CD575E" w:rsidRPr="00480526" w:rsidRDefault="00CD575E">
            <w:pPr>
              <w:spacing w:before="60" w:line="200" w:lineRule="exact"/>
              <w:jc w:val="right"/>
              <w:rPr>
                <w:sz w:val="16"/>
                <w:szCs w:val="16"/>
              </w:rPr>
            </w:pPr>
            <w:r w:rsidRPr="00480526">
              <w:rPr>
                <w:sz w:val="16"/>
                <w:szCs w:val="16"/>
              </w:rPr>
              <w:t>+140</w:t>
            </w:r>
          </w:p>
        </w:tc>
      </w:tr>
      <w:tr w:rsidR="00000000" w:rsidRPr="00480526">
        <w:tc>
          <w:tcPr>
            <w:tcW w:w="466" w:type="dxa"/>
            <w:noWrap/>
          </w:tcPr>
          <w:p w:rsidR="00CD575E" w:rsidRPr="00480526" w:rsidRDefault="00CD575E">
            <w:pPr>
              <w:spacing w:before="60" w:line="200" w:lineRule="exact"/>
              <w:jc w:val="center"/>
              <w:rPr>
                <w:sz w:val="16"/>
                <w:szCs w:val="16"/>
              </w:rPr>
            </w:pPr>
            <w:r w:rsidRPr="00480526">
              <w:rPr>
                <w:sz w:val="16"/>
                <w:szCs w:val="16"/>
              </w:rPr>
              <w:t> </w:t>
            </w:r>
          </w:p>
        </w:tc>
        <w:tc>
          <w:tcPr>
            <w:tcW w:w="4250" w:type="dxa"/>
          </w:tcPr>
          <w:p w:rsidR="00CD575E" w:rsidRPr="00480526" w:rsidRDefault="00CD575E">
            <w:pPr>
              <w:spacing w:before="60" w:line="200" w:lineRule="exact"/>
              <w:rPr>
                <w:b/>
                <w:bCs/>
                <w:i/>
                <w:iCs/>
                <w:sz w:val="16"/>
                <w:szCs w:val="16"/>
              </w:rPr>
            </w:pPr>
            <w:r w:rsidRPr="00480526">
              <w:rPr>
                <w:b/>
                <w:bCs/>
                <w:i/>
                <w:iCs/>
                <w:sz w:val="16"/>
                <w:szCs w:val="16"/>
              </w:rPr>
              <w:t>Summa</w:t>
            </w:r>
          </w:p>
        </w:tc>
        <w:tc>
          <w:tcPr>
            <w:tcW w:w="2121" w:type="dxa"/>
            <w:noWrap/>
          </w:tcPr>
          <w:p w:rsidR="00CD575E" w:rsidRPr="00480526" w:rsidRDefault="00CD575E">
            <w:pPr>
              <w:spacing w:before="60" w:line="200" w:lineRule="exact"/>
              <w:jc w:val="right"/>
              <w:rPr>
                <w:b/>
                <w:bCs/>
                <w:i/>
                <w:iCs/>
                <w:sz w:val="16"/>
                <w:szCs w:val="16"/>
              </w:rPr>
            </w:pPr>
            <w:r w:rsidRPr="00480526">
              <w:rPr>
                <w:b/>
                <w:bCs/>
                <w:i/>
                <w:iCs/>
                <w:sz w:val="16"/>
                <w:szCs w:val="16"/>
              </w:rPr>
              <w:t>+105</w:t>
            </w:r>
          </w:p>
        </w:tc>
      </w:tr>
    </w:tbl>
    <w:p w:rsidR="00CD575E" w:rsidRPr="00480526" w:rsidRDefault="00CD575E">
      <w:pPr>
        <w:pStyle w:val="Rubrik1"/>
      </w:pPr>
      <w:r w:rsidRPr="00480526">
        <w:t>Motivering</w:t>
      </w:r>
    </w:p>
    <w:p w:rsidR="00CD575E" w:rsidRPr="00480526" w:rsidRDefault="00CD575E">
      <w:r w:rsidRPr="00480526">
        <w:t>Vi sänker anslaget 1:3 i enlighet med Bostadskreditnämndens (BKN) bedö</w:t>
      </w:r>
      <w:r w:rsidRPr="00480526">
        <w:t>m</w:t>
      </w:r>
      <w:r w:rsidRPr="00480526">
        <w:t>ning om anslagets nyttograd. Vi tillför samtidigt ett nytt anslag fördelat under budgetperioden för att komma till rätta med miljonprogrammens problematik. Sverigedemokraterna menar i grunden att fastighetsägarna och kommunerna bör ta gemensamt ansvar för upprustningen av miljonprogrammen. Eftersom alla upprustningsåtgärder inom dessa områden inte alltid är företagsekon</w:t>
      </w:r>
      <w:r w:rsidRPr="00480526">
        <w:t>o</w:t>
      </w:r>
      <w:r w:rsidRPr="00480526">
        <w:t>miskt motiverade, finns dock motiv för staten att bidra till att finna finansi</w:t>
      </w:r>
      <w:r w:rsidRPr="00480526">
        <w:t>e</w:t>
      </w:r>
      <w:r w:rsidRPr="00480526">
        <w:t>ringslösningar. Därför föreslår vi ett anslag till garantip</w:t>
      </w:r>
      <w:r w:rsidRPr="00480526">
        <w:t>rogram i enlighet med BKN:s förslag som ger möjlighet att garanterna upprustningslån inom en ram på 20 miljarder kronor, subventionera garantiavgifter för upprustningslån med ett belopp på upp till 500 miljoner kronor samt fördela ett stimulansb</w:t>
      </w:r>
      <w:r w:rsidRPr="00480526">
        <w:t>i</w:t>
      </w:r>
      <w:r w:rsidRPr="00480526">
        <w:t xml:space="preserve">drag på </w:t>
      </w:r>
      <w:r w:rsidRPr="00480526">
        <w:lastRenderedPageBreak/>
        <w:t>50 miljoner kronor till genomförande av upprustningsprojekt. Sat</w:t>
      </w:r>
      <w:r w:rsidRPr="00480526">
        <w:t>s</w:t>
      </w:r>
      <w:r w:rsidRPr="00480526">
        <w:t>ningen på skattefri andrahandsuthyrning bokförs dock som en negativ intäkt.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526">
        <w:trPr>
          <w:cantSplit/>
        </w:trPr>
        <w:tc>
          <w:tcPr>
            <w:tcW w:w="3046" w:type="dxa"/>
          </w:tcPr>
          <w:p w:rsidR="00CD575E" w:rsidRPr="00480526" w:rsidRDefault="00CD575E">
            <w:pPr>
              <w:pStyle w:val="UnderskriftDatum"/>
              <w:spacing w:before="240"/>
            </w:pPr>
            <w:r w:rsidRPr="00480526">
              <w:t>Stockholm den 3 oktober 2011</w:t>
            </w:r>
          </w:p>
        </w:tc>
        <w:tc>
          <w:tcPr>
            <w:tcW w:w="3047" w:type="dxa"/>
          </w:tcPr>
          <w:p w:rsidR="00CD575E" w:rsidRPr="00480526" w:rsidRDefault="00CD575E">
            <w:pPr>
              <w:pStyle w:val="Underskrifter"/>
              <w:spacing w:before="240"/>
            </w:pPr>
          </w:p>
        </w:tc>
      </w:tr>
      <w:tr w:rsidR="00000000" w:rsidRPr="00480526">
        <w:trPr>
          <w:cantSplit/>
        </w:trPr>
        <w:tc>
          <w:tcPr>
            <w:tcW w:w="3046" w:type="dxa"/>
          </w:tcPr>
          <w:p w:rsidR="00CD575E" w:rsidRPr="00480526" w:rsidRDefault="00CD575E">
            <w:pPr>
              <w:pStyle w:val="Underskrifter"/>
            </w:pPr>
            <w:r w:rsidRPr="00480526">
              <w:t>Carina Herrstedt (SD)</w:t>
            </w:r>
          </w:p>
        </w:tc>
        <w:tc>
          <w:tcPr>
            <w:tcW w:w="3046" w:type="dxa"/>
          </w:tcPr>
          <w:p w:rsidR="00CD575E" w:rsidRPr="00480526" w:rsidRDefault="00CD575E">
            <w:pPr>
              <w:pStyle w:val="Underskrifter"/>
            </w:pPr>
            <w:r w:rsidRPr="00480526">
              <w:t>Thoralf Alfsson (SD)</w:t>
            </w:r>
          </w:p>
        </w:tc>
      </w:tr>
    </w:tbl>
    <w:p w:rsidR="00CD575E" w:rsidRPr="00480526" w:rsidRDefault="00CD575E">
      <w:pPr>
        <w:pStyle w:val="Normaltindrag"/>
      </w:pPr>
    </w:p>
    <w:sectPr w:rsidR="00CD575E" w:rsidRPr="00480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75E" w:rsidRPr="00480526" w:rsidRDefault="00CD575E">
      <w:r w:rsidRPr="00480526">
        <w:separator/>
      </w:r>
    </w:p>
  </w:endnote>
  <w:endnote w:type="continuationSeparator" w:id="0">
    <w:p w:rsidR="00CD575E" w:rsidRPr="00480526" w:rsidRDefault="00CD575E">
      <w:r w:rsidRPr="00480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480526">
    <w:pPr>
      <w:pStyle w:val="Sidfot"/>
    </w:pPr>
    <w:r w:rsidRPr="004805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651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5E" w:rsidRDefault="00CD5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75E" w:rsidRDefault="00CD5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480526">
    <w:pPr>
      <w:pStyle w:val="Sidfot"/>
    </w:pPr>
    <w:r w:rsidRPr="004805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811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5E" w:rsidRDefault="00CD57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75E" w:rsidRDefault="00CD57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480526">
    <w:pPr>
      <w:pStyle w:val="Sidfot"/>
    </w:pPr>
    <w:r w:rsidRPr="004805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37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5E" w:rsidRDefault="00CD5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75E" w:rsidRDefault="00CD5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75E" w:rsidRPr="00480526" w:rsidRDefault="00CD575E">
      <w:r w:rsidRPr="00480526">
        <w:separator/>
      </w:r>
    </w:p>
  </w:footnote>
  <w:footnote w:type="continuationSeparator" w:id="0">
    <w:p w:rsidR="00CD575E" w:rsidRPr="00480526" w:rsidRDefault="00CD575E">
      <w:r w:rsidRPr="00480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480526">
    <w:pPr>
      <w:pStyle w:val="Sidhuvud"/>
    </w:pPr>
    <w:r w:rsidRPr="004805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827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5E" w:rsidRDefault="00CD57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75E" w:rsidRDefault="00CD57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480526">
    <w:pPr>
      <w:pStyle w:val="Sidhuvud"/>
    </w:pPr>
    <w:r w:rsidRPr="004805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630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5E" w:rsidRDefault="00CD57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75E" w:rsidRDefault="00CD57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75E" w:rsidRPr="00480526" w:rsidRDefault="00CD575E">
    <w:pPr>
      <w:pStyle w:val="FSHNormal"/>
      <w:tabs>
        <w:tab w:val="right" w:pos="5840"/>
      </w:tabs>
    </w:pPr>
    <w:r w:rsidRPr="00480526">
      <w:br/>
    </w:r>
    <w:r w:rsidRPr="00480526">
      <w:fldChar w:fldCharType="begin" w:fldLock="1"/>
    </w:r>
    <w:r w:rsidRPr="00480526">
      <w:instrText xml:space="preserve"> DOCPROPERTY</w:instrText>
    </w:r>
    <w:r w:rsidRPr="00480526">
      <w:rPr>
        <w:sz w:val="18"/>
      </w:rPr>
      <w:instrText xml:space="preserve"> "YearUser" *\charformat </w:instrText>
    </w:r>
    <w:r w:rsidRPr="00480526">
      <w:fldChar w:fldCharType="separate"/>
    </w:r>
    <w:r w:rsidRPr="00480526">
      <w:t>2011/12</w:t>
    </w:r>
    <w:r w:rsidRPr="00480526">
      <w:fldChar w:fldCharType="end"/>
    </w:r>
    <w:r w:rsidRPr="00480526">
      <w:t xml:space="preserve"> </w:t>
    </w:r>
    <w:r w:rsidRPr="00480526">
      <w:tab/>
      <w:t xml:space="preserve">mnr: </w:t>
    </w:r>
    <w:r w:rsidRPr="00480526">
      <w:fldChar w:fldCharType="begin" w:fldLock="1"/>
    </w:r>
    <w:r w:rsidRPr="00480526">
      <w:instrText xml:space="preserve"> DOCPROPERTY</w:instrText>
    </w:r>
    <w:r w:rsidRPr="00480526">
      <w:rPr>
        <w:sz w:val="18"/>
      </w:rPr>
      <w:instrText xml:space="preserve"> "Motionsnummer" *\charformat </w:instrText>
    </w:r>
    <w:r w:rsidRPr="00480526">
      <w:fldChar w:fldCharType="separate"/>
    </w:r>
    <w:r w:rsidRPr="00480526">
      <w:t>C419</w:t>
    </w:r>
    <w:r w:rsidRPr="00480526">
      <w:fldChar w:fldCharType="end"/>
    </w:r>
    <w:r w:rsidRPr="00480526">
      <w:br/>
    </w:r>
    <w:r w:rsidRPr="00480526">
      <w:fldChar w:fldCharType="begin" w:fldLock="1"/>
    </w:r>
    <w:r w:rsidRPr="00480526">
      <w:instrText xml:space="preserve"> DOCPROPERTY</w:instrText>
    </w:r>
    <w:r w:rsidRPr="00480526">
      <w:rPr>
        <w:sz w:val="18"/>
      </w:rPr>
      <w:instrText xml:space="preserve"> "Samling" *\charformat </w:instrText>
    </w:r>
    <w:r w:rsidRPr="00480526">
      <w:fldChar w:fldCharType="end"/>
    </w:r>
    <w:r w:rsidRPr="00480526">
      <w:tab/>
      <w:t xml:space="preserve">pnr: </w:t>
    </w:r>
    <w:r w:rsidRPr="00480526">
      <w:fldChar w:fldCharType="begin" w:fldLock="1"/>
    </w:r>
    <w:r w:rsidRPr="00480526">
      <w:instrText xml:space="preserve"> DOCPROPERTY</w:instrText>
    </w:r>
    <w:r w:rsidRPr="00480526">
      <w:rPr>
        <w:sz w:val="18"/>
      </w:rPr>
      <w:instrText xml:space="preserve"> "Partinummer" *\charformat </w:instrText>
    </w:r>
    <w:r w:rsidRPr="00480526">
      <w:fldChar w:fldCharType="separate"/>
    </w:r>
    <w:r w:rsidRPr="00480526">
      <w:t>SD268</w:t>
    </w:r>
    <w:r w:rsidRPr="00480526">
      <w:fldChar w:fldCharType="end"/>
    </w:r>
  </w:p>
  <w:p w:rsidR="00CD575E" w:rsidRPr="00480526" w:rsidRDefault="00CD575E">
    <w:pPr>
      <w:pStyle w:val="FSHRub1"/>
    </w:pPr>
    <w:r w:rsidRPr="00480526">
      <w:t>Motion till riksdagen</w:t>
    </w:r>
    <w:r w:rsidRPr="00480526">
      <w:br/>
    </w:r>
    <w:r w:rsidRPr="00480526">
      <w:fldChar w:fldCharType="begin" w:fldLock="1"/>
    </w:r>
    <w:r w:rsidRPr="00480526">
      <w:instrText xml:space="preserve"> DOCPROPERTY "YearUser" *\charformat </w:instrText>
    </w:r>
    <w:r w:rsidRPr="00480526">
      <w:fldChar w:fldCharType="separate"/>
    </w:r>
    <w:r w:rsidRPr="00480526">
      <w:t>2011/12</w:t>
    </w:r>
    <w:r w:rsidRPr="00480526">
      <w:fldChar w:fldCharType="end"/>
    </w:r>
    <w:r w:rsidRPr="00480526">
      <w:t>:</w:t>
    </w:r>
    <w:r w:rsidRPr="00480526">
      <w:fldChar w:fldCharType="begin" w:fldLock="1"/>
    </w:r>
    <w:r w:rsidRPr="00480526">
      <w:instrText xml:space="preserve"> DOCPROPERTY "Motionsnummer" *\charformat </w:instrText>
    </w:r>
    <w:r w:rsidRPr="00480526">
      <w:fldChar w:fldCharType="separate"/>
    </w:r>
    <w:r w:rsidRPr="00480526">
      <w:t>C419</w:t>
    </w:r>
    <w:r w:rsidRPr="00480526">
      <w:fldChar w:fldCharType="end"/>
    </w:r>
  </w:p>
  <w:p w:rsidR="00CD575E" w:rsidRPr="00480526" w:rsidRDefault="00CD575E">
    <w:pPr>
      <w:pStyle w:val="FSHNormalS5"/>
    </w:pPr>
    <w:r w:rsidRPr="00480526">
      <w:fldChar w:fldCharType="begin" w:fldLock="1"/>
    </w:r>
    <w:r w:rsidRPr="00480526">
      <w:instrText xml:space="preserve"> DOCPROPERTY "MotionarText" *\charformat </w:instrText>
    </w:r>
    <w:r w:rsidRPr="00480526">
      <w:fldChar w:fldCharType="separate"/>
    </w:r>
    <w:r w:rsidRPr="00480526">
      <w:t>av Carina Herrstedt och Thoralf Alfsson (SD)</w:t>
    </w:r>
    <w:r w:rsidRPr="00480526">
      <w:fldChar w:fldCharType="end"/>
    </w:r>
    <w:r w:rsidRPr="00480526">
      <w:br/>
    </w:r>
    <w:r w:rsidRPr="00480526">
      <w:fldChar w:fldCharType="begin" w:fldLock="1"/>
    </w:r>
    <w:r w:rsidRPr="00480526">
      <w:instrText xml:space="preserve"> DOCPROPERTY "SvarFrasKort" *\charformat </w:instrText>
    </w:r>
    <w:r w:rsidRPr="00480526">
      <w:fldChar w:fldCharType="end"/>
    </w:r>
  </w:p>
  <w:p w:rsidR="00CD575E" w:rsidRPr="00480526" w:rsidRDefault="00CD575E">
    <w:pPr>
      <w:pStyle w:val="FSHTitel"/>
    </w:pPr>
    <w:r w:rsidRPr="00480526">
      <w:fldChar w:fldCharType="begin" w:fldLock="1"/>
    </w:r>
    <w:r w:rsidRPr="00480526">
      <w:instrText xml:space="preserve"> DOCPROPERTY</w:instrText>
    </w:r>
    <w:r w:rsidRPr="00480526">
      <w:rPr>
        <w:sz w:val="18"/>
      </w:rPr>
      <w:instrText xml:space="preserve"> "RubrikSvar" *\charformat </w:instrText>
    </w:r>
    <w:r w:rsidRPr="00480526">
      <w:fldChar w:fldCharType="separate"/>
    </w:r>
    <w:r w:rsidRPr="00480526">
      <w:t>Utgiftsområde 18 Samhällsplanering, bostadsförsörjning, byggande samt konsumentpolitik</w:t>
    </w:r>
    <w:r w:rsidRPr="00480526">
      <w:fldChar w:fldCharType="end"/>
    </w:r>
  </w:p>
  <w:p w:rsidR="00CD575E" w:rsidRPr="00480526" w:rsidRDefault="00CD575E">
    <w:pPr>
      <w:pStyle w:val="Normal00"/>
    </w:pPr>
  </w:p>
  <w:p w:rsidR="00CD575E" w:rsidRPr="00480526" w:rsidRDefault="00CD57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E17EFF"/>
    <w:multiLevelType w:val="hybridMultilevel"/>
    <w:tmpl w:val="91BA0042"/>
    <w:lvl w:ilvl="0" w:tplc="412234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0729497">
    <w:abstractNumId w:val="3"/>
  </w:num>
  <w:num w:numId="2" w16cid:durableId="1437628959">
    <w:abstractNumId w:val="2"/>
  </w:num>
  <w:num w:numId="3" w16cid:durableId="1382366595">
    <w:abstractNumId w:val="1"/>
  </w:num>
  <w:num w:numId="4" w16cid:durableId="115176078">
    <w:abstractNumId w:val="0"/>
  </w:num>
  <w:num w:numId="5" w16cid:durableId="195511780">
    <w:abstractNumId w:val="7"/>
  </w:num>
  <w:num w:numId="6" w16cid:durableId="2139059392">
    <w:abstractNumId w:val="6"/>
  </w:num>
  <w:num w:numId="7" w16cid:durableId="880828785">
    <w:abstractNumId w:val="5"/>
  </w:num>
  <w:num w:numId="8" w16cid:durableId="2093550618">
    <w:abstractNumId w:val="4"/>
  </w:num>
  <w:num w:numId="9" w16cid:durableId="1862862345">
    <w:abstractNumId w:val="8"/>
  </w:num>
  <w:num w:numId="10" w16cid:durableId="715740959">
    <w:abstractNumId w:val="9"/>
  </w:num>
  <w:num w:numId="11" w16cid:durableId="267928380">
    <w:abstractNumId w:val="10"/>
  </w:num>
  <w:num w:numId="12" w16cid:durableId="338433002">
    <w:abstractNumId w:val="13"/>
  </w:num>
  <w:num w:numId="13" w16cid:durableId="501968202">
    <w:abstractNumId w:val="15"/>
  </w:num>
  <w:num w:numId="14" w16cid:durableId="2088569589">
    <w:abstractNumId w:val="16"/>
  </w:num>
  <w:num w:numId="15" w16cid:durableId="2054725">
    <w:abstractNumId w:val="11"/>
  </w:num>
  <w:num w:numId="16" w16cid:durableId="1471749225">
    <w:abstractNumId w:val="19"/>
  </w:num>
  <w:num w:numId="17" w16cid:durableId="544946357">
    <w:abstractNumId w:val="17"/>
  </w:num>
  <w:num w:numId="18" w16cid:durableId="1057044466">
    <w:abstractNumId w:val="14"/>
  </w:num>
  <w:num w:numId="19" w16cid:durableId="2054425249">
    <w:abstractNumId w:val="12"/>
  </w:num>
  <w:num w:numId="20" w16cid:durableId="1785270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E777D43E-410F-4BC9-BB70-4814C6DA875C}"/>
  </w:docVars>
  <w:rsids>
    <w:rsidRoot w:val="003576EF"/>
    <w:rsid w:val="003576EF"/>
    <w:rsid w:val="00480526"/>
    <w:rsid w:val="00CD57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DA9AF7-88F1-474E-8A19-FB2BAE6E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1268</Characters>
  <Application>Microsoft Office Word</Application>
  <DocSecurity>4</DocSecurity>
  <Lines>38</Lines>
  <Paragraphs>20</Paragraphs>
  <ScaleCrop>false</ScaleCrop>
  <HeadingPairs>
    <vt:vector size="2" baseType="variant">
      <vt:variant>
        <vt:lpstr>Rubrik</vt:lpstr>
      </vt:variant>
      <vt:variant>
        <vt:i4>1</vt:i4>
      </vt:variant>
    </vt:vector>
  </HeadingPairs>
  <TitlesOfParts>
    <vt:vector size="1" baseType="lpstr">
      <vt:lpstr>SD268</vt:lpstr>
    </vt:vector>
  </TitlesOfParts>
  <Company>Riksdagen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SD268</dc:title>
  <dc:subject>SD268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2011-11-03T14:59:00Z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SD268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Thoralf Alfsson (SD)</vt:lpwstr>
  </property>
  <property fmtid="{D5CDD505-2E9C-101B-9397-08002B2CF9AE}" pid="26" name="MotionarLista">
    <vt:lpwstr>Herrstedt, Carina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20112012000000830068000002680075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20112012000000830068000002680075</vt:lpwstr>
  </property>
  <property fmtid="{D5CDD505-2E9C-101B-9397-08002B2CF9AE}" pid="50" name="nummer">
    <vt:lpwstr>419</vt:lpwstr>
  </property>
  <property fmtid="{D5CDD505-2E9C-101B-9397-08002B2CF9AE}" pid="51" name="utskottsbeteckning">
    <vt:lpwstr>C</vt:lpwstr>
  </property>
  <property fmtid="{D5CDD505-2E9C-101B-9397-08002B2CF9AE}" pid="52" name="GlobalUID">
    <vt:lpwstr>{6F635567-1CB9-494E-BA47-65D39DADF586}</vt:lpwstr>
  </property>
  <property fmtid="{D5CDD505-2E9C-101B-9397-08002B2CF9AE}" pid="53" name="Överföringar">
    <vt:i4>0</vt:i4>
  </property>
  <property fmtid="{D5CDD505-2E9C-101B-9397-08002B2CF9AE}" pid="54" name="Checksum">
    <vt:lpwstr>*0008880569075*</vt:lpwstr>
  </property>
  <property fmtid="{D5CDD505-2E9C-101B-9397-08002B2CF9AE}" pid="55" name="skuggnummer">
    <vt:lpwstr>3174</vt:lpwstr>
  </property>
  <property fmtid="{D5CDD505-2E9C-101B-9397-08002B2CF9AE}" pid="56" name="urixVersion">
    <vt:lpwstr>4.5.0.25</vt:lpwstr>
  </property>
  <property fmtid="{D5CDD505-2E9C-101B-9397-08002B2CF9AE}" pid="57" name="urixOrigin">
    <vt:lpwstr>111108 16:04:03.814</vt:lpwstr>
  </property>
  <property fmtid="{D5CDD505-2E9C-101B-9397-08002B2CF9AE}" pid="58" name="urixGuid">
    <vt:lpwstr>{FF61FD52-9FCC-4A0D-A104-DA23B467CB4E}</vt:lpwstr>
  </property>
</Properties>
</file>