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743E" w14:textId="77777777" w:rsidR="00FB32B9" w:rsidRDefault="00DF43F6" w:rsidP="00FB32B9">
      <w:pPr>
        <w:pStyle w:val="UDrubrik"/>
        <w:tabs>
          <w:tab w:val="left" w:pos="1701"/>
          <w:tab w:val="left" w:pos="1985"/>
        </w:tabs>
        <w:rPr>
          <w:rFonts w:cs="Arial"/>
          <w:sz w:val="28"/>
        </w:rPr>
      </w:pPr>
    </w:p>
    <w:p w14:paraId="691B743F" w14:textId="77777777" w:rsidR="00FB32B9" w:rsidRDefault="00DF43F6" w:rsidP="00FB32B9">
      <w:pPr>
        <w:pStyle w:val="UDrubrik"/>
        <w:tabs>
          <w:tab w:val="left" w:pos="1701"/>
          <w:tab w:val="left" w:pos="1985"/>
        </w:tabs>
        <w:rPr>
          <w:rFonts w:cs="Arial"/>
          <w:sz w:val="28"/>
        </w:rPr>
      </w:pPr>
    </w:p>
    <w:p w14:paraId="691B7440" w14:textId="77777777" w:rsidR="00FB32B9" w:rsidRDefault="00DF43F6" w:rsidP="00FB32B9">
      <w:pPr>
        <w:pStyle w:val="UDrubrik"/>
        <w:tabs>
          <w:tab w:val="left" w:pos="1701"/>
          <w:tab w:val="left" w:pos="1985"/>
        </w:tabs>
        <w:rPr>
          <w:rFonts w:cs="Arial"/>
          <w:sz w:val="28"/>
        </w:rPr>
      </w:pPr>
    </w:p>
    <w:p w14:paraId="691B7441" w14:textId="77777777" w:rsidR="00FB32B9" w:rsidRDefault="00DF43F6" w:rsidP="00FB32B9">
      <w:pPr>
        <w:pStyle w:val="UDrubrik"/>
        <w:tabs>
          <w:tab w:val="left" w:pos="1701"/>
          <w:tab w:val="left" w:pos="1985"/>
        </w:tabs>
        <w:rPr>
          <w:rFonts w:cs="Arial"/>
          <w:sz w:val="28"/>
        </w:rPr>
      </w:pPr>
    </w:p>
    <w:p w14:paraId="691B7442" w14:textId="6FA179A9" w:rsidR="00FB32B9" w:rsidRDefault="00190E9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w:t>
      </w:r>
      <w:r w:rsidR="00734C4F">
        <w:rPr>
          <w:rFonts w:cs="Arial"/>
          <w:sz w:val="28"/>
        </w:rPr>
        <w:t xml:space="preserve"> onsdagen</w:t>
      </w:r>
      <w:r w:rsidR="000D6692">
        <w:rPr>
          <w:rFonts w:cs="Arial"/>
          <w:sz w:val="28"/>
        </w:rPr>
        <w:t xml:space="preserve"> den 16 september 2015, vecka 38</w:t>
      </w:r>
      <w:r>
        <w:rPr>
          <w:rFonts w:cs="Arial"/>
          <w:sz w:val="28"/>
        </w:rPr>
        <w:t>.</w:t>
      </w:r>
    </w:p>
    <w:p w14:paraId="691B7443" w14:textId="77777777" w:rsidR="00FB32B9" w:rsidRDefault="00DF43F6" w:rsidP="00FB32B9">
      <w:pPr>
        <w:pStyle w:val="Brdtext"/>
      </w:pPr>
    </w:p>
    <w:p w14:paraId="691B7444" w14:textId="3B4601A6" w:rsidR="00FB32B9" w:rsidRDefault="00190E9D" w:rsidP="00FB32B9">
      <w:pPr>
        <w:pStyle w:val="Brdtext"/>
      </w:pPr>
      <w:r>
        <w:t xml:space="preserve">Överlämnas för skriftligt samråd till </w:t>
      </w:r>
      <w:r w:rsidR="000D6692">
        <w:t>onsdagen den 16</w:t>
      </w:r>
      <w:r w:rsidR="00734C4F">
        <w:t xml:space="preserve"> </w:t>
      </w:r>
      <w:r w:rsidR="00DF43F6">
        <w:t xml:space="preserve">september 2015, </w:t>
      </w:r>
      <w:proofErr w:type="spellStart"/>
      <w:r w:rsidR="00DF43F6">
        <w:t>kl</w:t>
      </w:r>
      <w:proofErr w:type="spellEnd"/>
      <w:r w:rsidR="00DF43F6">
        <w:t xml:space="preserve"> 16</w:t>
      </w:r>
      <w:bookmarkStart w:id="0" w:name="_GoBack"/>
      <w:bookmarkEnd w:id="0"/>
      <w:r w:rsidR="00734C4F">
        <w:t>.00.</w:t>
      </w:r>
    </w:p>
    <w:p w14:paraId="691B7445" w14:textId="77777777" w:rsidR="00FB32B9" w:rsidRDefault="00190E9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91B7446" w14:textId="77777777" w:rsidR="00D957FB" w:rsidRPr="00FB32B9" w:rsidRDefault="00190E9D">
          <w:pPr>
            <w:pStyle w:val="Innehllsfrteckningsrubrik"/>
            <w:rPr>
              <w:color w:val="auto"/>
            </w:rPr>
          </w:pPr>
          <w:proofErr w:type="spellStart"/>
          <w:r w:rsidRPr="00FB32B9">
            <w:rPr>
              <w:color w:val="auto"/>
            </w:rPr>
            <w:t>Innehållsförteckning</w:t>
          </w:r>
          <w:proofErr w:type="spellEnd"/>
        </w:p>
        <w:p w14:paraId="691B7447" w14:textId="77777777" w:rsidR="00DA7250" w:rsidRPr="00DA7250" w:rsidRDefault="00DF43F6" w:rsidP="00DA7250">
          <w:pPr>
            <w:rPr>
              <w:lang w:val="en-US" w:eastAsia="ja-JP"/>
            </w:rPr>
          </w:pPr>
        </w:p>
        <w:p w14:paraId="1367F412" w14:textId="77777777" w:rsidR="00734C4F" w:rsidRDefault="00190E9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0090562" w:history="1">
            <w:r w:rsidR="00734C4F" w:rsidRPr="00CB4E0D">
              <w:rPr>
                <w:rStyle w:val="Hyperlnk"/>
                <w:noProof/>
              </w:rPr>
              <w:t>1.</w:t>
            </w:r>
            <w:r w:rsidR="00734C4F">
              <w:rPr>
                <w:rFonts w:asciiTheme="minorHAnsi" w:eastAsiaTheme="minorEastAsia" w:hAnsiTheme="minorHAnsi" w:cstheme="minorBidi"/>
                <w:noProof/>
                <w:lang w:eastAsia="sv-SE"/>
              </w:rPr>
              <w:tab/>
            </w:r>
            <w:r w:rsidR="00734C4F" w:rsidRPr="00CB4E0D">
              <w:rPr>
                <w:rStyle w:val="Hyperlnk"/>
                <w:noProof/>
              </w:rPr>
              <w:t>Affaire portée devant la Cour de justice Affaire C-408/15 P (Ackermann Saatzucht e.a. / Parlement et Conseil)</w:t>
            </w:r>
            <w:r w:rsidR="00734C4F">
              <w:rPr>
                <w:noProof/>
                <w:webHidden/>
              </w:rPr>
              <w:tab/>
            </w:r>
            <w:r w:rsidR="00734C4F">
              <w:rPr>
                <w:noProof/>
                <w:webHidden/>
              </w:rPr>
              <w:fldChar w:fldCharType="begin"/>
            </w:r>
            <w:r w:rsidR="00734C4F">
              <w:rPr>
                <w:noProof/>
                <w:webHidden/>
              </w:rPr>
              <w:instrText xml:space="preserve"> PAGEREF _Toc430090562 \h </w:instrText>
            </w:r>
            <w:r w:rsidR="00734C4F">
              <w:rPr>
                <w:noProof/>
                <w:webHidden/>
              </w:rPr>
            </w:r>
            <w:r w:rsidR="00734C4F">
              <w:rPr>
                <w:noProof/>
                <w:webHidden/>
              </w:rPr>
              <w:fldChar w:fldCharType="separate"/>
            </w:r>
            <w:r w:rsidR="00734C4F">
              <w:rPr>
                <w:noProof/>
                <w:webHidden/>
              </w:rPr>
              <w:t>3</w:t>
            </w:r>
            <w:r w:rsidR="00734C4F">
              <w:rPr>
                <w:noProof/>
                <w:webHidden/>
              </w:rPr>
              <w:fldChar w:fldCharType="end"/>
            </w:r>
          </w:hyperlink>
        </w:p>
        <w:p w14:paraId="160B1482"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3" w:history="1">
            <w:r w:rsidR="00734C4F" w:rsidRPr="00CB4E0D">
              <w:rPr>
                <w:rStyle w:val="Hyperlnk"/>
                <w:noProof/>
              </w:rPr>
              <w:t>2.</w:t>
            </w:r>
            <w:r w:rsidR="00734C4F">
              <w:rPr>
                <w:rFonts w:asciiTheme="minorHAnsi" w:eastAsiaTheme="minorEastAsia" w:hAnsiTheme="minorHAnsi" w:cstheme="minorBidi"/>
                <w:noProof/>
                <w:lang w:eastAsia="sv-SE"/>
              </w:rPr>
              <w:tab/>
            </w:r>
            <w:r w:rsidR="00734C4F" w:rsidRPr="00CB4E0D">
              <w:rPr>
                <w:rStyle w:val="Hyperlnk"/>
                <w:noProof/>
              </w:rPr>
              <w:t>Affaire portée devant le Tribunal de l'Union européenne  Affaire T-296/15 (Industrias Químicas del Vallés contre Commission européenne) Intervention du Conseil devant le Tribunal au soutien de la Commission</w:t>
            </w:r>
            <w:r w:rsidR="00734C4F">
              <w:rPr>
                <w:noProof/>
                <w:webHidden/>
              </w:rPr>
              <w:tab/>
            </w:r>
            <w:r w:rsidR="00734C4F">
              <w:rPr>
                <w:noProof/>
                <w:webHidden/>
              </w:rPr>
              <w:fldChar w:fldCharType="begin"/>
            </w:r>
            <w:r w:rsidR="00734C4F">
              <w:rPr>
                <w:noProof/>
                <w:webHidden/>
              </w:rPr>
              <w:instrText xml:space="preserve"> PAGEREF _Toc430090563 \h </w:instrText>
            </w:r>
            <w:r w:rsidR="00734C4F">
              <w:rPr>
                <w:noProof/>
                <w:webHidden/>
              </w:rPr>
            </w:r>
            <w:r w:rsidR="00734C4F">
              <w:rPr>
                <w:noProof/>
                <w:webHidden/>
              </w:rPr>
              <w:fldChar w:fldCharType="separate"/>
            </w:r>
            <w:r w:rsidR="00734C4F">
              <w:rPr>
                <w:noProof/>
                <w:webHidden/>
              </w:rPr>
              <w:t>3</w:t>
            </w:r>
            <w:r w:rsidR="00734C4F">
              <w:rPr>
                <w:noProof/>
                <w:webHidden/>
              </w:rPr>
              <w:fldChar w:fldCharType="end"/>
            </w:r>
          </w:hyperlink>
        </w:p>
        <w:p w14:paraId="421E7B05"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4" w:history="1">
            <w:r w:rsidR="00734C4F" w:rsidRPr="00CB4E0D">
              <w:rPr>
                <w:rStyle w:val="Hyperlnk"/>
                <w:noProof/>
              </w:rPr>
              <w:t>3.</w:t>
            </w:r>
            <w:r w:rsidR="00734C4F">
              <w:rPr>
                <w:rFonts w:asciiTheme="minorHAnsi" w:eastAsiaTheme="minorEastAsia" w:hAnsiTheme="minorHAnsi" w:cstheme="minorBidi"/>
                <w:noProof/>
                <w:lang w:eastAsia="sv-SE"/>
              </w:rPr>
              <w:tab/>
            </w:r>
            <w:r w:rsidR="00734C4F" w:rsidRPr="00CB4E0D">
              <w:rPr>
                <w:rStyle w:val="Hyperlnk"/>
                <w:noProof/>
              </w:rPr>
              <w:t>Décision de Commission du XXX établissant les critères écologiques pour l'attribution du label écologique de l'UE aux milieux de culture, amendements pour sols et paillis</w:t>
            </w:r>
            <w:r w:rsidR="00734C4F">
              <w:rPr>
                <w:noProof/>
                <w:webHidden/>
              </w:rPr>
              <w:tab/>
            </w:r>
            <w:r w:rsidR="00734C4F">
              <w:rPr>
                <w:noProof/>
                <w:webHidden/>
              </w:rPr>
              <w:fldChar w:fldCharType="begin"/>
            </w:r>
            <w:r w:rsidR="00734C4F">
              <w:rPr>
                <w:noProof/>
                <w:webHidden/>
              </w:rPr>
              <w:instrText xml:space="preserve"> PAGEREF _Toc430090564 \h </w:instrText>
            </w:r>
            <w:r w:rsidR="00734C4F">
              <w:rPr>
                <w:noProof/>
                <w:webHidden/>
              </w:rPr>
            </w:r>
            <w:r w:rsidR="00734C4F">
              <w:rPr>
                <w:noProof/>
                <w:webHidden/>
              </w:rPr>
              <w:fldChar w:fldCharType="separate"/>
            </w:r>
            <w:r w:rsidR="00734C4F">
              <w:rPr>
                <w:noProof/>
                <w:webHidden/>
              </w:rPr>
              <w:t>3</w:t>
            </w:r>
            <w:r w:rsidR="00734C4F">
              <w:rPr>
                <w:noProof/>
                <w:webHidden/>
              </w:rPr>
              <w:fldChar w:fldCharType="end"/>
            </w:r>
          </w:hyperlink>
        </w:p>
        <w:p w14:paraId="266246B6"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5" w:history="1">
            <w:r w:rsidR="00734C4F" w:rsidRPr="00CB4E0D">
              <w:rPr>
                <w:rStyle w:val="Hyperlnk"/>
                <w:noProof/>
              </w:rPr>
              <w:t>4.</w:t>
            </w:r>
            <w:r w:rsidR="00734C4F">
              <w:rPr>
                <w:rFonts w:asciiTheme="minorHAnsi" w:eastAsiaTheme="minorEastAsia" w:hAnsiTheme="minorHAnsi" w:cstheme="minorBidi"/>
                <w:noProof/>
                <w:lang w:eastAsia="sv-SE"/>
              </w:rPr>
              <w:tab/>
            </w:r>
            <w:r w:rsidR="00734C4F" w:rsidRPr="00CB4E0D">
              <w:rPr>
                <w:rStyle w:val="Hyperlnk"/>
                <w:noProof/>
              </w:rPr>
              <w:t>Règlement (UE) …/… de la Commission du XXX modifiant le règlement (CE) n° 850/2004 du Parlement européen et du Conseil concernant les polluants organiques persistants en ce qui concerne l'annexe I</w:t>
            </w:r>
            <w:r w:rsidR="00734C4F">
              <w:rPr>
                <w:noProof/>
                <w:webHidden/>
              </w:rPr>
              <w:tab/>
            </w:r>
            <w:r w:rsidR="00734C4F">
              <w:rPr>
                <w:noProof/>
                <w:webHidden/>
              </w:rPr>
              <w:fldChar w:fldCharType="begin"/>
            </w:r>
            <w:r w:rsidR="00734C4F">
              <w:rPr>
                <w:noProof/>
                <w:webHidden/>
              </w:rPr>
              <w:instrText xml:space="preserve"> PAGEREF _Toc430090565 \h </w:instrText>
            </w:r>
            <w:r w:rsidR="00734C4F">
              <w:rPr>
                <w:noProof/>
                <w:webHidden/>
              </w:rPr>
            </w:r>
            <w:r w:rsidR="00734C4F">
              <w:rPr>
                <w:noProof/>
                <w:webHidden/>
              </w:rPr>
              <w:fldChar w:fldCharType="separate"/>
            </w:r>
            <w:r w:rsidR="00734C4F">
              <w:rPr>
                <w:noProof/>
                <w:webHidden/>
              </w:rPr>
              <w:t>4</w:t>
            </w:r>
            <w:r w:rsidR="00734C4F">
              <w:rPr>
                <w:noProof/>
                <w:webHidden/>
              </w:rPr>
              <w:fldChar w:fldCharType="end"/>
            </w:r>
          </w:hyperlink>
        </w:p>
        <w:p w14:paraId="233F6A11"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6" w:history="1">
            <w:r w:rsidR="00734C4F" w:rsidRPr="00CB4E0D">
              <w:rPr>
                <w:rStyle w:val="Hyperlnk"/>
                <w:noProof/>
              </w:rPr>
              <w:t>5.</w:t>
            </w:r>
            <w:r w:rsidR="00734C4F">
              <w:rPr>
                <w:rFonts w:asciiTheme="minorHAnsi" w:eastAsiaTheme="minorEastAsia" w:hAnsiTheme="minorHAnsi" w:cstheme="minorBidi"/>
                <w:noProof/>
                <w:lang w:eastAsia="sv-SE"/>
              </w:rPr>
              <w:tab/>
            </w:r>
            <w:r w:rsidR="00734C4F" w:rsidRPr="00CB4E0D">
              <w:rPr>
                <w:rStyle w:val="Hyperlnk"/>
                <w:noProof/>
              </w:rPr>
              <w:t>Règlement (UE) …/… de la Commission du XXX modifiant les annexes IC et V du règlement (CE) n° 1013/2006 du Parlement européen et du Conseil concernant les transferts de déchets</w:t>
            </w:r>
            <w:r w:rsidR="00734C4F">
              <w:rPr>
                <w:noProof/>
                <w:webHidden/>
              </w:rPr>
              <w:tab/>
            </w:r>
            <w:r w:rsidR="00734C4F">
              <w:rPr>
                <w:noProof/>
                <w:webHidden/>
              </w:rPr>
              <w:fldChar w:fldCharType="begin"/>
            </w:r>
            <w:r w:rsidR="00734C4F">
              <w:rPr>
                <w:noProof/>
                <w:webHidden/>
              </w:rPr>
              <w:instrText xml:space="preserve"> PAGEREF _Toc430090566 \h </w:instrText>
            </w:r>
            <w:r w:rsidR="00734C4F">
              <w:rPr>
                <w:noProof/>
                <w:webHidden/>
              </w:rPr>
            </w:r>
            <w:r w:rsidR="00734C4F">
              <w:rPr>
                <w:noProof/>
                <w:webHidden/>
              </w:rPr>
              <w:fldChar w:fldCharType="separate"/>
            </w:r>
            <w:r w:rsidR="00734C4F">
              <w:rPr>
                <w:noProof/>
                <w:webHidden/>
              </w:rPr>
              <w:t>5</w:t>
            </w:r>
            <w:r w:rsidR="00734C4F">
              <w:rPr>
                <w:noProof/>
                <w:webHidden/>
              </w:rPr>
              <w:fldChar w:fldCharType="end"/>
            </w:r>
          </w:hyperlink>
        </w:p>
        <w:p w14:paraId="52D4DF9F"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7" w:history="1">
            <w:r w:rsidR="00734C4F" w:rsidRPr="00CB4E0D">
              <w:rPr>
                <w:rStyle w:val="Hyperlnk"/>
                <w:noProof/>
              </w:rPr>
              <w:t>6.</w:t>
            </w:r>
            <w:r w:rsidR="00734C4F">
              <w:rPr>
                <w:rFonts w:asciiTheme="minorHAnsi" w:eastAsiaTheme="minorEastAsia" w:hAnsiTheme="minorHAnsi" w:cstheme="minorBidi"/>
                <w:noProof/>
                <w:lang w:eastAsia="sv-SE"/>
              </w:rPr>
              <w:tab/>
            </w:r>
            <w:r w:rsidR="00734C4F" w:rsidRPr="00CB4E0D">
              <w:rPr>
                <w:rStyle w:val="Hyperlnk"/>
                <w:noProof/>
              </w:rPr>
              <w:t>Décision de la Commission du XXX modifiant les décisions 2009/300/CE, 2009/563/CE, 2009/894/CE, 2011/330/UE et 2011/337/UE afin de prolonger la période de validité des critères écologiques pour l'attribution du label écologique de l'Union européenne à des produits spécifiques</w:t>
            </w:r>
            <w:r w:rsidR="00734C4F">
              <w:rPr>
                <w:noProof/>
                <w:webHidden/>
              </w:rPr>
              <w:tab/>
            </w:r>
            <w:r w:rsidR="00734C4F">
              <w:rPr>
                <w:noProof/>
                <w:webHidden/>
              </w:rPr>
              <w:fldChar w:fldCharType="begin"/>
            </w:r>
            <w:r w:rsidR="00734C4F">
              <w:rPr>
                <w:noProof/>
                <w:webHidden/>
              </w:rPr>
              <w:instrText xml:space="preserve"> PAGEREF _Toc430090567 \h </w:instrText>
            </w:r>
            <w:r w:rsidR="00734C4F">
              <w:rPr>
                <w:noProof/>
                <w:webHidden/>
              </w:rPr>
            </w:r>
            <w:r w:rsidR="00734C4F">
              <w:rPr>
                <w:noProof/>
                <w:webHidden/>
              </w:rPr>
              <w:fldChar w:fldCharType="separate"/>
            </w:r>
            <w:r w:rsidR="00734C4F">
              <w:rPr>
                <w:noProof/>
                <w:webHidden/>
              </w:rPr>
              <w:t>5</w:t>
            </w:r>
            <w:r w:rsidR="00734C4F">
              <w:rPr>
                <w:noProof/>
                <w:webHidden/>
              </w:rPr>
              <w:fldChar w:fldCharType="end"/>
            </w:r>
          </w:hyperlink>
        </w:p>
        <w:p w14:paraId="4B93C19C"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8" w:history="1">
            <w:r w:rsidR="00734C4F" w:rsidRPr="00CB4E0D">
              <w:rPr>
                <w:rStyle w:val="Hyperlnk"/>
                <w:noProof/>
              </w:rPr>
              <w:t>7.</w:t>
            </w:r>
            <w:r w:rsidR="00734C4F">
              <w:rPr>
                <w:rFonts w:asciiTheme="minorHAnsi" w:eastAsiaTheme="minorEastAsia" w:hAnsiTheme="minorHAnsi" w:cstheme="minorBidi"/>
                <w:noProof/>
                <w:lang w:eastAsia="sv-SE"/>
              </w:rPr>
              <w:tab/>
            </w:r>
            <w:r w:rsidR="00734C4F" w:rsidRPr="00CB4E0D">
              <w:rPr>
                <w:rStyle w:val="Hyperlnk"/>
                <w:noProof/>
              </w:rPr>
              <w:t>Règlement délégué (UE) …/... de la Commission du 13.7.2015 modifiant le règlement (UE) n° 389/2013 en ce qui concerne la mise en œuvre technique du protocole de Kyoto après 2012</w:t>
            </w:r>
            <w:r w:rsidR="00734C4F">
              <w:rPr>
                <w:noProof/>
                <w:webHidden/>
              </w:rPr>
              <w:tab/>
            </w:r>
            <w:r w:rsidR="00734C4F">
              <w:rPr>
                <w:noProof/>
                <w:webHidden/>
              </w:rPr>
              <w:fldChar w:fldCharType="begin"/>
            </w:r>
            <w:r w:rsidR="00734C4F">
              <w:rPr>
                <w:noProof/>
                <w:webHidden/>
              </w:rPr>
              <w:instrText xml:space="preserve"> PAGEREF _Toc430090568 \h </w:instrText>
            </w:r>
            <w:r w:rsidR="00734C4F">
              <w:rPr>
                <w:noProof/>
                <w:webHidden/>
              </w:rPr>
            </w:r>
            <w:r w:rsidR="00734C4F">
              <w:rPr>
                <w:noProof/>
                <w:webHidden/>
              </w:rPr>
              <w:fldChar w:fldCharType="separate"/>
            </w:r>
            <w:r w:rsidR="00734C4F">
              <w:rPr>
                <w:noProof/>
                <w:webHidden/>
              </w:rPr>
              <w:t>6</w:t>
            </w:r>
            <w:r w:rsidR="00734C4F">
              <w:rPr>
                <w:noProof/>
                <w:webHidden/>
              </w:rPr>
              <w:fldChar w:fldCharType="end"/>
            </w:r>
          </w:hyperlink>
        </w:p>
        <w:p w14:paraId="7E775842"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69" w:history="1">
            <w:r w:rsidR="00734C4F" w:rsidRPr="00CB4E0D">
              <w:rPr>
                <w:rStyle w:val="Hyperlnk"/>
                <w:noProof/>
              </w:rPr>
              <w:t>8.</w:t>
            </w:r>
            <w:r w:rsidR="00734C4F">
              <w:rPr>
                <w:rFonts w:asciiTheme="minorHAnsi" w:eastAsiaTheme="minorEastAsia" w:hAnsiTheme="minorHAnsi" w:cstheme="minorBidi"/>
                <w:noProof/>
                <w:lang w:eastAsia="sv-SE"/>
              </w:rPr>
              <w:tab/>
            </w:r>
            <w:r w:rsidR="00734C4F" w:rsidRPr="00CB4E0D">
              <w:rPr>
                <w:rStyle w:val="Hyperlnk"/>
                <w:noProof/>
              </w:rPr>
              <w:t>Proposition de décision du Conseil sur la conclusion de l'accord de coopération scientifique et technologique entre l'Union européenne et la Communauté européenne de l'énergie atomique et la Confédération suisse associant la Confédération suisse au programme-cadre pour la recherche et l'innovation Horizon 2020 et au programme de recherche et de formation de la Communauté européenne de l'énergie atomique complétant le programme-cadre Horizon 2020, et réglementant la participation de la Confédération suisse aux activités d'ITER menées par "Fusion for Energy"</w:t>
            </w:r>
            <w:r w:rsidR="00734C4F">
              <w:rPr>
                <w:noProof/>
                <w:webHidden/>
              </w:rPr>
              <w:tab/>
            </w:r>
            <w:r w:rsidR="00734C4F">
              <w:rPr>
                <w:noProof/>
                <w:webHidden/>
              </w:rPr>
              <w:fldChar w:fldCharType="begin"/>
            </w:r>
            <w:r w:rsidR="00734C4F">
              <w:rPr>
                <w:noProof/>
                <w:webHidden/>
              </w:rPr>
              <w:instrText xml:space="preserve"> PAGEREF _Toc430090569 \h </w:instrText>
            </w:r>
            <w:r w:rsidR="00734C4F">
              <w:rPr>
                <w:noProof/>
                <w:webHidden/>
              </w:rPr>
            </w:r>
            <w:r w:rsidR="00734C4F">
              <w:rPr>
                <w:noProof/>
                <w:webHidden/>
              </w:rPr>
              <w:fldChar w:fldCharType="separate"/>
            </w:r>
            <w:r w:rsidR="00734C4F">
              <w:rPr>
                <w:noProof/>
                <w:webHidden/>
              </w:rPr>
              <w:t>7</w:t>
            </w:r>
            <w:r w:rsidR="00734C4F">
              <w:rPr>
                <w:noProof/>
                <w:webHidden/>
              </w:rPr>
              <w:fldChar w:fldCharType="end"/>
            </w:r>
          </w:hyperlink>
        </w:p>
        <w:p w14:paraId="4381CCF8" w14:textId="77777777" w:rsidR="00734C4F" w:rsidRDefault="00DF43F6">
          <w:pPr>
            <w:pStyle w:val="Innehll1"/>
            <w:tabs>
              <w:tab w:val="left" w:pos="440"/>
              <w:tab w:val="right" w:leader="dot" w:pos="9062"/>
            </w:tabs>
            <w:rPr>
              <w:rFonts w:asciiTheme="minorHAnsi" w:eastAsiaTheme="minorEastAsia" w:hAnsiTheme="minorHAnsi" w:cstheme="minorBidi"/>
              <w:noProof/>
              <w:lang w:eastAsia="sv-SE"/>
            </w:rPr>
          </w:pPr>
          <w:hyperlink w:anchor="_Toc430090570" w:history="1">
            <w:r w:rsidR="00734C4F" w:rsidRPr="00CB4E0D">
              <w:rPr>
                <w:rStyle w:val="Hyperlnk"/>
                <w:noProof/>
              </w:rPr>
              <w:t>9.</w:t>
            </w:r>
            <w:r w:rsidR="00734C4F">
              <w:rPr>
                <w:rFonts w:asciiTheme="minorHAnsi" w:eastAsiaTheme="minorEastAsia" w:hAnsiTheme="minorHAnsi" w:cstheme="minorBidi"/>
                <w:noProof/>
                <w:lang w:eastAsia="sv-SE"/>
              </w:rPr>
              <w:tab/>
            </w:r>
            <w:r w:rsidR="00734C4F" w:rsidRPr="00CB4E0D">
              <w:rPr>
                <w:rStyle w:val="Hyperlnk"/>
                <w:noProof/>
              </w:rPr>
              <w:t>Proposition de décision du Conseil relative à la conclusion de l'accord de coopération scientifique et technologique entre l'Union européenne et les Îles Féroé associant les Îles Féroé au programme-cadre pour la recherche et l'innovation "Horizon 2020" (2014-2020)</w:t>
            </w:r>
            <w:r w:rsidR="00734C4F">
              <w:rPr>
                <w:noProof/>
                <w:webHidden/>
              </w:rPr>
              <w:tab/>
            </w:r>
            <w:r w:rsidR="00734C4F">
              <w:rPr>
                <w:noProof/>
                <w:webHidden/>
              </w:rPr>
              <w:fldChar w:fldCharType="begin"/>
            </w:r>
            <w:r w:rsidR="00734C4F">
              <w:rPr>
                <w:noProof/>
                <w:webHidden/>
              </w:rPr>
              <w:instrText xml:space="preserve"> PAGEREF _Toc430090570 \h </w:instrText>
            </w:r>
            <w:r w:rsidR="00734C4F">
              <w:rPr>
                <w:noProof/>
                <w:webHidden/>
              </w:rPr>
            </w:r>
            <w:r w:rsidR="00734C4F">
              <w:rPr>
                <w:noProof/>
                <w:webHidden/>
              </w:rPr>
              <w:fldChar w:fldCharType="separate"/>
            </w:r>
            <w:r w:rsidR="00734C4F">
              <w:rPr>
                <w:noProof/>
                <w:webHidden/>
              </w:rPr>
              <w:t>7</w:t>
            </w:r>
            <w:r w:rsidR="00734C4F">
              <w:rPr>
                <w:noProof/>
                <w:webHidden/>
              </w:rPr>
              <w:fldChar w:fldCharType="end"/>
            </w:r>
          </w:hyperlink>
        </w:p>
        <w:p w14:paraId="65A11CA2" w14:textId="77777777" w:rsidR="00734C4F" w:rsidRDefault="00DF43F6">
          <w:pPr>
            <w:pStyle w:val="Innehll1"/>
            <w:tabs>
              <w:tab w:val="left" w:pos="660"/>
              <w:tab w:val="right" w:leader="dot" w:pos="9062"/>
            </w:tabs>
            <w:rPr>
              <w:rFonts w:asciiTheme="minorHAnsi" w:eastAsiaTheme="minorEastAsia" w:hAnsiTheme="minorHAnsi" w:cstheme="minorBidi"/>
              <w:noProof/>
              <w:lang w:eastAsia="sv-SE"/>
            </w:rPr>
          </w:pPr>
          <w:hyperlink w:anchor="_Toc430090571" w:history="1">
            <w:r w:rsidR="00734C4F" w:rsidRPr="00CB4E0D">
              <w:rPr>
                <w:rStyle w:val="Hyperlnk"/>
                <w:noProof/>
              </w:rPr>
              <w:t>10.</w:t>
            </w:r>
            <w:r w:rsidR="00734C4F">
              <w:rPr>
                <w:rFonts w:asciiTheme="minorHAnsi" w:eastAsiaTheme="minorEastAsia" w:hAnsiTheme="minorHAnsi" w:cstheme="minorBidi"/>
                <w:noProof/>
                <w:lang w:eastAsia="sv-SE"/>
              </w:rPr>
              <w:tab/>
            </w:r>
            <w:r w:rsidR="00734C4F" w:rsidRPr="00CB4E0D">
              <w:rPr>
                <w:rStyle w:val="Hyperlnk"/>
                <w:noProof/>
              </w:rPr>
              <w:t>Proposition de décision du Conseil concernant le renouvellement de l'accord de coopération scientifique et technologique entre la Communauté européenne et le gouvernement de la République de l'Inde</w:t>
            </w:r>
            <w:r w:rsidR="00734C4F">
              <w:rPr>
                <w:noProof/>
                <w:webHidden/>
              </w:rPr>
              <w:tab/>
            </w:r>
            <w:r w:rsidR="00734C4F">
              <w:rPr>
                <w:noProof/>
                <w:webHidden/>
              </w:rPr>
              <w:fldChar w:fldCharType="begin"/>
            </w:r>
            <w:r w:rsidR="00734C4F">
              <w:rPr>
                <w:noProof/>
                <w:webHidden/>
              </w:rPr>
              <w:instrText xml:space="preserve"> PAGEREF _Toc430090571 \h </w:instrText>
            </w:r>
            <w:r w:rsidR="00734C4F">
              <w:rPr>
                <w:noProof/>
                <w:webHidden/>
              </w:rPr>
            </w:r>
            <w:r w:rsidR="00734C4F">
              <w:rPr>
                <w:noProof/>
                <w:webHidden/>
              </w:rPr>
              <w:fldChar w:fldCharType="separate"/>
            </w:r>
            <w:r w:rsidR="00734C4F">
              <w:rPr>
                <w:noProof/>
                <w:webHidden/>
              </w:rPr>
              <w:t>8</w:t>
            </w:r>
            <w:r w:rsidR="00734C4F">
              <w:rPr>
                <w:noProof/>
                <w:webHidden/>
              </w:rPr>
              <w:fldChar w:fldCharType="end"/>
            </w:r>
          </w:hyperlink>
        </w:p>
        <w:p w14:paraId="691B7452" w14:textId="77777777" w:rsidR="00D957FB" w:rsidRDefault="00190E9D">
          <w:r>
            <w:rPr>
              <w:b/>
              <w:bCs/>
              <w:noProof/>
            </w:rPr>
            <w:fldChar w:fldCharType="end"/>
          </w:r>
        </w:p>
      </w:sdtContent>
    </w:sdt>
    <w:p w14:paraId="691B7453" w14:textId="77777777" w:rsidR="00D957FB" w:rsidRDefault="00190E9D">
      <w:pPr>
        <w:ind w:left="0"/>
      </w:pPr>
      <w:r>
        <w:br w:type="page"/>
      </w:r>
    </w:p>
    <w:p w14:paraId="691B7454" w14:textId="77777777" w:rsidR="00643D86" w:rsidRDefault="00DF43F6" w:rsidP="00643D86">
      <w:pPr>
        <w:pStyle w:val="Rubrik1"/>
        <w:numPr>
          <w:ilvl w:val="0"/>
          <w:numId w:val="0"/>
        </w:numPr>
      </w:pPr>
      <w:bookmarkStart w:id="1" w:name="_Toc364854645"/>
    </w:p>
    <w:p w14:paraId="691B7455" w14:textId="77777777" w:rsidR="00643D86" w:rsidRPr="00D4465B" w:rsidRDefault="00190E9D" w:rsidP="00643D86">
      <w:pPr>
        <w:pStyle w:val="Rubrik1"/>
        <w:rPr>
          <w:lang w:val="en-US"/>
        </w:rPr>
      </w:pPr>
      <w:bookmarkStart w:id="2" w:name="_Toc430090562"/>
      <w:r w:rsidRPr="00D4465B">
        <w:rPr>
          <w:noProof/>
          <w:lang w:val="en-US"/>
        </w:rPr>
        <w:t>Affaire portée devant la Cour de justice</w:t>
      </w:r>
      <w:r w:rsidRPr="00D4465B">
        <w:rPr>
          <w:noProof/>
          <w:lang w:val="en-US"/>
        </w:rPr>
        <w:br/>
        <w:t>Affaire C-408/15 P (Ackermann Saatzucht e.a. / Parlement et Conseil)</w:t>
      </w:r>
      <w:bookmarkEnd w:id="2"/>
    </w:p>
    <w:p w14:paraId="015EC7B7" w14:textId="77777777" w:rsidR="00734C4F" w:rsidRPr="00D4465B" w:rsidRDefault="00190E9D" w:rsidP="00643D86">
      <w:proofErr w:type="gramStart"/>
      <w:r w:rsidRPr="00D4465B">
        <w:rPr>
          <w:noProof/>
        </w:rPr>
        <w:t>–</w:t>
      </w:r>
      <w:r w:rsidRPr="00D4465B">
        <w:t>Note</w:t>
      </w:r>
      <w:proofErr w:type="gramEnd"/>
      <w:r w:rsidRPr="00D4465B">
        <w:t xml:space="preserve"> </w:t>
      </w:r>
      <w:proofErr w:type="spellStart"/>
      <w:r w:rsidRPr="00D4465B">
        <w:t>d'information</w:t>
      </w:r>
      <w:proofErr w:type="spellEnd"/>
      <w:r w:rsidRPr="00D4465B">
        <w:t xml:space="preserve"> à </w:t>
      </w:r>
      <w:proofErr w:type="spellStart"/>
      <w:r w:rsidRPr="00D4465B">
        <w:t>l'attention</w:t>
      </w:r>
      <w:proofErr w:type="spellEnd"/>
      <w:r w:rsidRPr="00D4465B">
        <w:t xml:space="preserve"> du </w:t>
      </w:r>
      <w:proofErr w:type="spellStart"/>
      <w:r w:rsidRPr="00D4465B">
        <w:t>Comité</w:t>
      </w:r>
      <w:proofErr w:type="spellEnd"/>
      <w:r w:rsidRPr="00D4465B">
        <w:t xml:space="preserve"> des </w:t>
      </w:r>
      <w:proofErr w:type="spellStart"/>
      <w:r w:rsidRPr="00D4465B">
        <w:t>représentants</w:t>
      </w:r>
      <w:proofErr w:type="spellEnd"/>
      <w:r w:rsidRPr="00D4465B">
        <w:t xml:space="preserve"> permanents (1ére </w:t>
      </w:r>
      <w:proofErr w:type="spellStart"/>
      <w:r w:rsidRPr="00D4465B">
        <w:t>partie</w:t>
      </w:r>
      <w:proofErr w:type="spellEnd"/>
      <w:r w:rsidRPr="00D4465B">
        <w:t>)</w:t>
      </w:r>
    </w:p>
    <w:p w14:paraId="691B7456" w14:textId="222205F7" w:rsidR="00643D86" w:rsidRPr="00D4465B" w:rsidRDefault="00190E9D" w:rsidP="00643D86">
      <w:r w:rsidRPr="00D4465B">
        <w:rPr>
          <w:noProof/>
        </w:rPr>
        <w:t>11839</w:t>
      </w:r>
      <w:r w:rsidRPr="00D4465B">
        <w:t>/15 JUR 585 ENV 549 AGRI 464</w:t>
      </w:r>
    </w:p>
    <w:p w14:paraId="691B7457" w14:textId="77777777" w:rsidR="00643D86" w:rsidRDefault="00190E9D" w:rsidP="00643D86">
      <w:r>
        <w:rPr>
          <w:b/>
        </w:rPr>
        <w:t>Ansvarigt statsråd</w:t>
      </w:r>
      <w:r>
        <w:rPr>
          <w:b/>
        </w:rPr>
        <w:br/>
      </w:r>
      <w:r>
        <w:rPr>
          <w:noProof/>
        </w:rPr>
        <w:t>Margot Wallström</w:t>
      </w:r>
    </w:p>
    <w:p w14:paraId="691B745A" w14:textId="77777777" w:rsidR="00643D86" w:rsidRDefault="00190E9D" w:rsidP="00643D86">
      <w:r w:rsidRPr="00B44CE2">
        <w:rPr>
          <w:b/>
        </w:rPr>
        <w:t>Annotering</w:t>
      </w:r>
      <w:r>
        <w:rPr>
          <w:b/>
        </w:rPr>
        <w:br/>
      </w:r>
      <w:r>
        <w:rPr>
          <w:b/>
          <w:bCs/>
        </w:rPr>
        <w:t>Avsikt med behandlingen i rådet:</w:t>
      </w:r>
      <w:r>
        <w:t xml:space="preserve"> Information om ett mål vid EU-domstolen där rådet har utsett ombud.   </w:t>
      </w:r>
    </w:p>
    <w:p w14:paraId="691B745B" w14:textId="77777777" w:rsidR="00B933B9" w:rsidRDefault="00190E9D">
      <w:pPr>
        <w:spacing w:after="280" w:afterAutospacing="1"/>
      </w:pPr>
      <w:r>
        <w:rPr>
          <w:b/>
          <w:bCs/>
        </w:rPr>
        <w:t>Hur regeringen ställer sig till den blivande A-punkten:</w:t>
      </w:r>
      <w:r>
        <w:t xml:space="preserve"> Regeringen har ingen erinran mot denna informationspunkt. </w:t>
      </w:r>
    </w:p>
    <w:p w14:paraId="691B745D" w14:textId="6B8F4DBB" w:rsidR="00FB32B9" w:rsidRDefault="00190E9D">
      <w:pPr>
        <w:spacing w:after="280" w:afterAutospacing="1"/>
        <w:rPr>
          <w:noProof/>
        </w:rPr>
      </w:pPr>
      <w:r>
        <w:rPr>
          <w:b/>
          <w:bCs/>
        </w:rPr>
        <w:t xml:space="preserve">Bakgrund: </w:t>
      </w:r>
      <w:r>
        <w:t>Målet, som är överklagat från tribunalen, rör en talan om ogiltighetsförklaring av förordning (EU) nr 511/2014 av den 16 april 2014 om åtgärder för användarnas efterlevnad i Nagoyaprotokollet om tillträde till och rimlig och rättvis fördelning av vinster från utnyttjande av genetiska resurser i unionen.</w:t>
      </w:r>
    </w:p>
    <w:p w14:paraId="691B745E" w14:textId="77777777" w:rsidR="00643D86" w:rsidRDefault="00190E9D" w:rsidP="00643D86">
      <w:pPr>
        <w:pStyle w:val="Rubrik1"/>
      </w:pPr>
      <w:bookmarkStart w:id="3" w:name="_Toc430090563"/>
      <w:r>
        <w:rPr>
          <w:noProof/>
        </w:rPr>
        <w:t xml:space="preserve">Affaire portée devant le Tribunal de l'Union européenne </w:t>
      </w:r>
      <w:r>
        <w:rPr>
          <w:noProof/>
        </w:rPr>
        <w:br/>
        <w:t>Affaire T-296/15 (Industrias Químicas del Vallés contre Commission européenne)</w:t>
      </w:r>
      <w:r>
        <w:rPr>
          <w:noProof/>
        </w:rPr>
        <w:br/>
        <w:t>Intervention du Conseil devant le Tribunal au soutien de la Commission</w:t>
      </w:r>
      <w:bookmarkEnd w:id="3"/>
    </w:p>
    <w:p w14:paraId="6F4D0230" w14:textId="77777777" w:rsidR="00734C4F" w:rsidRDefault="00190E9D" w:rsidP="00643D86">
      <w:pPr>
        <w:rPr>
          <w:lang w:val="en-US"/>
        </w:rPr>
      </w:pPr>
      <w:r>
        <w:rPr>
          <w:noProof/>
          <w:lang w:val="en-US"/>
        </w:rPr>
        <w:t>–</w:t>
      </w:r>
      <w:r>
        <w:rPr>
          <w:lang w:val="en-US"/>
        </w:rPr>
        <w:t xml:space="preserve">Note </w:t>
      </w:r>
      <w:proofErr w:type="spellStart"/>
      <w:r>
        <w:rPr>
          <w:lang w:val="en-US"/>
        </w:rPr>
        <w:t>d'information</w:t>
      </w:r>
      <w:proofErr w:type="spellEnd"/>
      <w:r>
        <w:rPr>
          <w:lang w:val="en-US"/>
        </w:rPr>
        <w:t xml:space="preserve"> à </w:t>
      </w:r>
      <w:proofErr w:type="spellStart"/>
      <w:r>
        <w:rPr>
          <w:lang w:val="en-US"/>
        </w:rPr>
        <w:t>l'attention</w:t>
      </w:r>
      <w:proofErr w:type="spellEnd"/>
      <w:r>
        <w:rPr>
          <w:lang w:val="en-US"/>
        </w:rPr>
        <w:t xml:space="preserve"> du </w:t>
      </w:r>
      <w:proofErr w:type="spellStart"/>
      <w:r>
        <w:rPr>
          <w:lang w:val="en-US"/>
        </w:rPr>
        <w:t>Comité</w:t>
      </w:r>
      <w:proofErr w:type="spellEnd"/>
      <w:r>
        <w:rPr>
          <w:lang w:val="en-US"/>
        </w:rPr>
        <w:t xml:space="preserve"> des </w:t>
      </w:r>
      <w:proofErr w:type="spellStart"/>
      <w:r>
        <w:rPr>
          <w:lang w:val="en-US"/>
        </w:rPr>
        <w:t>représentants</w:t>
      </w:r>
      <w:proofErr w:type="spellEnd"/>
      <w:r>
        <w:rPr>
          <w:lang w:val="en-US"/>
        </w:rPr>
        <w:t xml:space="preserve"> permanents (1ére </w:t>
      </w:r>
      <w:proofErr w:type="spellStart"/>
      <w:r>
        <w:rPr>
          <w:lang w:val="en-US"/>
        </w:rPr>
        <w:t>partie</w:t>
      </w:r>
      <w:proofErr w:type="spellEnd"/>
      <w:r>
        <w:rPr>
          <w:lang w:val="en-US"/>
        </w:rPr>
        <w:t>)</w:t>
      </w:r>
    </w:p>
    <w:p w14:paraId="691B745F" w14:textId="4FBC8D8B" w:rsidR="00643D86" w:rsidRDefault="00190E9D" w:rsidP="00643D86">
      <w:pPr>
        <w:rPr>
          <w:lang w:val="en-US"/>
        </w:rPr>
      </w:pPr>
      <w:r>
        <w:rPr>
          <w:noProof/>
          <w:lang w:val="en-US"/>
        </w:rPr>
        <w:t>11876</w:t>
      </w:r>
      <w:r>
        <w:rPr>
          <w:lang w:val="en-US"/>
        </w:rPr>
        <w:t>/15 JUR 589 AGRI 467 AGRILEG 168 ENV 554 PHYTOSAN 41 PESTICIDE 2</w:t>
      </w:r>
    </w:p>
    <w:p w14:paraId="691B7460" w14:textId="77777777" w:rsidR="00643D86" w:rsidRDefault="00190E9D" w:rsidP="00643D86">
      <w:r>
        <w:rPr>
          <w:b/>
        </w:rPr>
        <w:t>Ansvarigt statsråd</w:t>
      </w:r>
      <w:r>
        <w:rPr>
          <w:b/>
        </w:rPr>
        <w:br/>
      </w:r>
      <w:r>
        <w:rPr>
          <w:noProof/>
        </w:rPr>
        <w:t>Margot Wallström</w:t>
      </w:r>
    </w:p>
    <w:p w14:paraId="691B7463" w14:textId="77777777" w:rsidR="00643D86" w:rsidRDefault="00190E9D" w:rsidP="00643D86">
      <w:r w:rsidRPr="00B44CE2">
        <w:rPr>
          <w:b/>
        </w:rPr>
        <w:t>Annotering</w:t>
      </w:r>
      <w:r>
        <w:rPr>
          <w:b/>
        </w:rPr>
        <w:br/>
      </w:r>
      <w:r>
        <w:rPr>
          <w:b/>
          <w:bCs/>
        </w:rPr>
        <w:t>Avsikt med behandlingen i rådet:</w:t>
      </w:r>
      <w:r>
        <w:t xml:space="preserve"> Information om ett mål vid tribunalen där rådet har intervenerat och utsett ombud.  </w:t>
      </w:r>
    </w:p>
    <w:p w14:paraId="691B7464" w14:textId="77777777" w:rsidR="00B933B9" w:rsidRDefault="00190E9D">
      <w:pPr>
        <w:spacing w:after="280" w:afterAutospacing="1"/>
      </w:pPr>
      <w:r>
        <w:rPr>
          <w:b/>
          <w:bCs/>
        </w:rPr>
        <w:t>Hur regeringen ställer sig till den blivande A-punkten:</w:t>
      </w:r>
      <w:r>
        <w:t xml:space="preserve"> Regeringen har ingen erinran mot denna informationspunkt. </w:t>
      </w:r>
    </w:p>
    <w:p w14:paraId="691B7466" w14:textId="683FD03F" w:rsidR="00FB32B9" w:rsidRDefault="00190E9D">
      <w:pPr>
        <w:spacing w:after="280" w:afterAutospacing="1"/>
        <w:rPr>
          <w:noProof/>
        </w:rPr>
      </w:pPr>
      <w:r>
        <w:rPr>
          <w:b/>
          <w:bCs/>
        </w:rPr>
        <w:t xml:space="preserve">Bakgrund: </w:t>
      </w:r>
      <w:r>
        <w:t>I målet har klaganden bl.a. ifrågasatt giltigheten av Europaparlamentets och rådets förordning (EG) nr 1107/2009 av den 21 oktober 2009 om utsläppande av växtskyddsmedel på marknaden och om upphävande av rådets direktiv 79/117/EEG och 91/414/EEG.</w:t>
      </w:r>
    </w:p>
    <w:p w14:paraId="691B7467" w14:textId="77777777" w:rsidR="00643D86" w:rsidRDefault="00190E9D" w:rsidP="00643D86">
      <w:pPr>
        <w:pStyle w:val="Rubrik1"/>
      </w:pPr>
      <w:bookmarkStart w:id="4" w:name="_Toc430090564"/>
      <w:r>
        <w:rPr>
          <w:noProof/>
        </w:rPr>
        <w:t>Décision de Commission du XXX établissant les critères écologiques pour l'attribution du label écologique de l'UE aux milieux de culture, amendements pour sols et paillis</w:t>
      </w:r>
      <w:bookmarkEnd w:id="4"/>
    </w:p>
    <w:p w14:paraId="4325CDFE" w14:textId="77777777" w:rsidR="00734C4F" w:rsidRDefault="00190E9D"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91B7468" w14:textId="42B94AD1" w:rsidR="00643D86" w:rsidRPr="00D4465B" w:rsidRDefault="00190E9D" w:rsidP="00643D86">
      <w:r w:rsidRPr="00D4465B">
        <w:rPr>
          <w:noProof/>
        </w:rPr>
        <w:t>11762</w:t>
      </w:r>
      <w:r w:rsidRPr="00D4465B">
        <w:t>/15 ENV 543</w:t>
      </w:r>
      <w:r w:rsidR="00734C4F" w:rsidRPr="00D4465B">
        <w:t xml:space="preserve"> </w:t>
      </w:r>
      <w:r w:rsidRPr="00D4465B">
        <w:t>10889/15 ENV 485+ ADD 1</w:t>
      </w:r>
    </w:p>
    <w:p w14:paraId="691B7469" w14:textId="77777777" w:rsidR="00643D86" w:rsidRDefault="00190E9D" w:rsidP="00643D86">
      <w:r>
        <w:rPr>
          <w:b/>
        </w:rPr>
        <w:lastRenderedPageBreak/>
        <w:t>Ansvarigt statsråd</w:t>
      </w:r>
      <w:r>
        <w:rPr>
          <w:b/>
        </w:rPr>
        <w:br/>
      </w:r>
      <w:r>
        <w:rPr>
          <w:noProof/>
        </w:rPr>
        <w:t>Per Bolund</w:t>
      </w:r>
    </w:p>
    <w:p w14:paraId="691B746D" w14:textId="39374D24" w:rsidR="00B933B9" w:rsidRDefault="00190E9D" w:rsidP="00734C4F">
      <w:r w:rsidRPr="00B44CE2">
        <w:rPr>
          <w:b/>
        </w:rPr>
        <w:t>Annotering</w:t>
      </w:r>
      <w:r>
        <w:rPr>
          <w:b/>
        </w:rPr>
        <w:br/>
      </w:r>
      <w:r>
        <w:rPr>
          <w:b/>
          <w:bCs/>
        </w:rPr>
        <w:t>Avsikt med behandlingen i rådet:</w:t>
      </w:r>
      <w:r>
        <w:t xml:space="preserve"> Rådet föreslås inte ha några invändningar mot att anta beslut om EU </w:t>
      </w:r>
      <w:proofErr w:type="spellStart"/>
      <w:r>
        <w:t>Ecolabel</w:t>
      </w:r>
      <w:proofErr w:type="spellEnd"/>
      <w:r>
        <w:t xml:space="preserve">-kriterier för jordförbättringsmedel, odlingssubstrat och täckkompost. </w:t>
      </w:r>
    </w:p>
    <w:p w14:paraId="691B746F" w14:textId="71F8B67C" w:rsidR="00B933B9" w:rsidRDefault="00190E9D">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691B7471" w14:textId="2ADC3DCA" w:rsidR="00B933B9" w:rsidRDefault="00190E9D">
      <w:pPr>
        <w:spacing w:after="280" w:afterAutospacing="1"/>
      </w:pPr>
      <w:r>
        <w:rPr>
          <w:b/>
          <w:bCs/>
        </w:rPr>
        <w:t>Bakgrund:</w:t>
      </w:r>
      <w:r w:rsidR="00734C4F">
        <w:rPr>
          <w:b/>
          <w:bCs/>
        </w:rPr>
        <w:t xml:space="preserve"> </w:t>
      </w:r>
      <w:r>
        <w:t xml:space="preserve">Kriterierna för jordförbättringsmedel, odlingssubstrat och täckkompost behandlades på möte i föreskrivande kommitté i april 2015 och röstades igenom med kvalificerad majoritet. Sveriges lade ned sin röst. </w:t>
      </w:r>
    </w:p>
    <w:p w14:paraId="691B7472" w14:textId="77777777" w:rsidR="00B933B9" w:rsidRDefault="00190E9D">
      <w:pPr>
        <w:spacing w:after="280" w:afterAutospacing="1"/>
      </w:pPr>
      <w:r>
        <w:t>Motivet till att Sverige lade ned sin röst är förbudet mot användning av torv. Torv används som jordförbättringsmedel i Sverige på grund av dess goda egenskaper. Torv är en lokal och förnybar resurs i Sverige, och utvinningen sker utan betydande miljöpåverkan. Sverige har verkat för att torv ska kunna användas vid ekologisk odling, och argumenterade på motsvarande sätt för att det bör kunna användas i miljömärkta produkter. Eftersom kriterierna röstats igenom med kvalificerad majoritet har Sverige dock nu inga invändningar mot att anta beslutet.</w:t>
      </w:r>
    </w:p>
    <w:p w14:paraId="691B7474" w14:textId="16F40546" w:rsidR="00FB32B9" w:rsidRDefault="00190E9D">
      <w:pPr>
        <w:spacing w:after="280" w:afterAutospacing="1"/>
        <w:rPr>
          <w:noProof/>
        </w:rPr>
      </w:pPr>
      <w:r>
        <w:t xml:space="preserve">EU </w:t>
      </w:r>
      <w:proofErr w:type="spellStart"/>
      <w:r>
        <w:t>Ecolabel</w:t>
      </w:r>
      <w:proofErr w:type="spellEnd"/>
      <w:r>
        <w:t xml:space="preserve"> är det gemensamma frivilliga miljömärkningssystemet inom EU (förordning (EG) nr 66/2010 om ett EU-miljömärke).</w:t>
      </w:r>
    </w:p>
    <w:p w14:paraId="691B7475" w14:textId="77777777" w:rsidR="00643D86" w:rsidRDefault="00190E9D" w:rsidP="00643D86">
      <w:pPr>
        <w:pStyle w:val="Rubrik1"/>
      </w:pPr>
      <w:bookmarkStart w:id="5" w:name="_Toc430090565"/>
      <w:r>
        <w:rPr>
          <w:noProof/>
        </w:rPr>
        <w:t>Règlement (UE) …/… de la Commission du XXX modifiant le règlement (CE) n° 850/2004 du Parlement européen et du Conseil concernant les polluants organiques persistants en ce qui concerne l'annexe I</w:t>
      </w:r>
      <w:bookmarkEnd w:id="5"/>
    </w:p>
    <w:p w14:paraId="673BC043" w14:textId="77777777" w:rsidR="00734C4F" w:rsidRDefault="00190E9D"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91B7476" w14:textId="31206CD2" w:rsidR="00643D86" w:rsidRPr="00D4465B" w:rsidRDefault="00190E9D" w:rsidP="00643D86">
      <w:r w:rsidRPr="00D4465B">
        <w:rPr>
          <w:noProof/>
        </w:rPr>
        <w:t>11763</w:t>
      </w:r>
      <w:r w:rsidRPr="00D4465B">
        <w:t>/15 ENV 544 ENT 185</w:t>
      </w:r>
      <w:r w:rsidR="00734C4F" w:rsidRPr="00D4465B">
        <w:t xml:space="preserve"> </w:t>
      </w:r>
      <w:r w:rsidRPr="00D4465B">
        <w:t>10888/15 ENV 484 ENV 162+ ADD 1</w:t>
      </w:r>
    </w:p>
    <w:p w14:paraId="691B7477" w14:textId="77777777" w:rsidR="00643D86" w:rsidRPr="00734C4F" w:rsidRDefault="00190E9D" w:rsidP="00643D86">
      <w:pPr>
        <w:rPr>
          <w:b/>
        </w:rPr>
      </w:pPr>
      <w:r>
        <w:rPr>
          <w:b/>
        </w:rPr>
        <w:t>Ansvarigt statsråd</w:t>
      </w:r>
      <w:r>
        <w:rPr>
          <w:b/>
        </w:rPr>
        <w:br/>
      </w:r>
      <w:r w:rsidRPr="00734C4F">
        <w:rPr>
          <w:b/>
          <w:noProof/>
        </w:rPr>
        <w:t>Åsa Romson</w:t>
      </w:r>
    </w:p>
    <w:p w14:paraId="691B747B" w14:textId="29A2F6D8" w:rsidR="00B933B9" w:rsidRDefault="00190E9D" w:rsidP="00734C4F">
      <w:r w:rsidRPr="00B44CE2">
        <w:rPr>
          <w:b/>
        </w:rPr>
        <w:t>Annotering</w:t>
      </w:r>
      <w:r>
        <w:rPr>
          <w:b/>
        </w:rPr>
        <w:br/>
      </w:r>
      <w:r>
        <w:rPr>
          <w:b/>
          <w:bCs/>
        </w:rPr>
        <w:t>Avsikt med behandlingen i rådet:</w:t>
      </w:r>
      <w:r>
        <w:t xml:space="preserve"> Beslut om att inte motsätta sig antagandet av Kommissionens förordning (EU).../... av den xxx om ändring av Bilaga I till Europaparlamentet och rådets förordning (EG) nr 850/2004 om </w:t>
      </w:r>
      <w:proofErr w:type="spellStart"/>
      <w:r>
        <w:t>långlivande</w:t>
      </w:r>
      <w:proofErr w:type="spellEnd"/>
      <w:r>
        <w:t xml:space="preserve"> organiska föreningar. Detta innebär att kommissionen kan anta de föreslagna åtgärderna i enlighet med artikel 5a.3 d i rådets beslut 1999/468/EG, förutsatt att Europaparlamentet inte motsätter sig åtgärderna. </w:t>
      </w:r>
    </w:p>
    <w:p w14:paraId="691B747D" w14:textId="13BC1ABB" w:rsidR="00B933B9" w:rsidRDefault="00190E9D">
      <w:pPr>
        <w:spacing w:after="280" w:afterAutospacing="1"/>
      </w:pPr>
      <w:r>
        <w:rPr>
          <w:b/>
          <w:bCs/>
        </w:rPr>
        <w:t>Hur regeringen ställer sig till den blivande A-punkten:</w:t>
      </w:r>
      <w:r>
        <w:t xml:space="preserve"> SE stöder förslaget. </w:t>
      </w:r>
    </w:p>
    <w:p w14:paraId="691B747F" w14:textId="0DE7922D" w:rsidR="00B933B9" w:rsidRDefault="00190E9D">
      <w:pPr>
        <w:spacing w:after="280" w:afterAutospacing="1"/>
      </w:pPr>
      <w:r>
        <w:rPr>
          <w:b/>
          <w:bCs/>
        </w:rPr>
        <w:t>Bakgrund:</w:t>
      </w:r>
      <w:r w:rsidR="00734C4F">
        <w:rPr>
          <w:b/>
          <w:bCs/>
        </w:rPr>
        <w:t xml:space="preserve"> </w:t>
      </w:r>
      <w:proofErr w:type="spellStart"/>
      <w:r>
        <w:t>POPs</w:t>
      </w:r>
      <w:proofErr w:type="spellEnd"/>
      <w:r>
        <w:t xml:space="preserve">-förordningen är EU:s verktyg för att genomföra Stockholmskonventionen och </w:t>
      </w:r>
      <w:proofErr w:type="spellStart"/>
      <w:r>
        <w:t>POPs</w:t>
      </w:r>
      <w:proofErr w:type="spellEnd"/>
      <w:r>
        <w:t xml:space="preserve">-protokollet till konventionen om långväga gränsöverskridande luftföroreningar (CLRTAP). </w:t>
      </w:r>
      <w:proofErr w:type="spellStart"/>
      <w:r>
        <w:t>POPs</w:t>
      </w:r>
      <w:proofErr w:type="spellEnd"/>
      <w:r>
        <w:t xml:space="preserve">-ämnen anses vara särskilt problematiska på grund av sina hälso- och miljöfarliga egenskaper och införs i förordningen baserat på beslut inom båda konventionerna. </w:t>
      </w:r>
      <w:r>
        <w:lastRenderedPageBreak/>
        <w:t xml:space="preserve">Förordningen förbjuder eller starkt begränsar användningen av </w:t>
      </w:r>
      <w:proofErr w:type="spellStart"/>
      <w:r>
        <w:t>POPs</w:t>
      </w:r>
      <w:proofErr w:type="spellEnd"/>
      <w:r>
        <w:t xml:space="preserve">-ämnen. Den innehåller även bestämmelser om oavsiktligt bildade utsläpp, avfallshantering och miljöövervakning. Förordningen reglerar innehåll av </w:t>
      </w:r>
      <w:proofErr w:type="spellStart"/>
      <w:r>
        <w:t>POPs</w:t>
      </w:r>
      <w:proofErr w:type="spellEnd"/>
      <w:r>
        <w:t>-ämnen i såväl kemiska produkter som varor.</w:t>
      </w:r>
    </w:p>
    <w:p w14:paraId="691B7480" w14:textId="77777777" w:rsidR="00B933B9" w:rsidRDefault="00190E9D">
      <w:pPr>
        <w:spacing w:after="280" w:afterAutospacing="1"/>
      </w:pPr>
      <w:r>
        <w:t xml:space="preserve">Förslaget gäller två ändringar i Bilaga1 i förordningen; de två kvarvarande tillåtna användningsområdena för </w:t>
      </w:r>
      <w:proofErr w:type="spellStart"/>
      <w:r>
        <w:t>SCCPs</w:t>
      </w:r>
      <w:proofErr w:type="spellEnd"/>
      <w:r>
        <w:t xml:space="preserve"> (tätningsmedel i dammar samt i transportband för gruvindustrin) tas bort samt att ett gränsvärde på 0,15 viktsprocent sätts för kortkedjiga klorparaffiner (</w:t>
      </w:r>
      <w:proofErr w:type="spellStart"/>
      <w:r>
        <w:t>SCCPs</w:t>
      </w:r>
      <w:proofErr w:type="spellEnd"/>
      <w:r>
        <w:t xml:space="preserve">) i varor. </w:t>
      </w:r>
    </w:p>
    <w:p w14:paraId="691B7482" w14:textId="4384943C" w:rsidR="00FB32B9" w:rsidRDefault="00190E9D">
      <w:pPr>
        <w:spacing w:after="280" w:afterAutospacing="1"/>
        <w:rPr>
          <w:noProof/>
        </w:rPr>
      </w:pPr>
      <w:r>
        <w:t xml:space="preserve">De föreslagna åtgärderna är förenliga med den berörda kommitténs yttrande från mötet den 26 maj 2015. SE röstade för förslaget i </w:t>
      </w:r>
      <w:r w:rsidR="00734C4F">
        <w:t>kommittén</w:t>
      </w:r>
      <w:r>
        <w:t xml:space="preserve">. </w:t>
      </w:r>
    </w:p>
    <w:p w14:paraId="691B7483" w14:textId="77777777" w:rsidR="00643D86" w:rsidRDefault="00190E9D" w:rsidP="00643D86">
      <w:pPr>
        <w:pStyle w:val="Rubrik1"/>
      </w:pPr>
      <w:bookmarkStart w:id="6" w:name="_Toc430090566"/>
      <w:r>
        <w:rPr>
          <w:noProof/>
        </w:rPr>
        <w:t>Règlement (UE) …/… de la Commission du XXX modifiant les annexes IC et V du règlement (CE) n° 1013/2006 du Parlement européen et du Conseil concernant les transferts de déchets</w:t>
      </w:r>
      <w:bookmarkEnd w:id="6"/>
    </w:p>
    <w:p w14:paraId="221B5399" w14:textId="77777777" w:rsidR="00734C4F" w:rsidRDefault="00190E9D"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91B7484" w14:textId="7D05997A" w:rsidR="00643D86" w:rsidRPr="00D4465B" w:rsidRDefault="00190E9D" w:rsidP="00643D86">
      <w:r w:rsidRPr="00D4465B">
        <w:rPr>
          <w:noProof/>
        </w:rPr>
        <w:t>11764</w:t>
      </w:r>
      <w:r w:rsidRPr="00D4465B">
        <w:t>/</w:t>
      </w:r>
      <w:proofErr w:type="gramStart"/>
      <w:r w:rsidRPr="00D4465B">
        <w:t xml:space="preserve">1/15 </w:t>
      </w:r>
      <w:proofErr w:type="gramEnd"/>
      <w:r w:rsidRPr="00D4465B">
        <w:t>ENV 545 MI 546 RELEX 696 REV 1+ REV 1ADD 1</w:t>
      </w:r>
      <w:r w:rsidR="00734C4F" w:rsidRPr="00D4465B">
        <w:t xml:space="preserve"> </w:t>
      </w:r>
      <w:r w:rsidRPr="00D4465B">
        <w:t>10884/15 ENV 482 MI 489 RELEX 599+ ADD 1+ ADD 1 REV 1 (et)</w:t>
      </w:r>
    </w:p>
    <w:p w14:paraId="691B7485" w14:textId="77777777" w:rsidR="00643D86" w:rsidRDefault="00190E9D" w:rsidP="00643D86">
      <w:r>
        <w:rPr>
          <w:b/>
        </w:rPr>
        <w:t>Ansvarigt statsråd</w:t>
      </w:r>
      <w:r>
        <w:rPr>
          <w:b/>
        </w:rPr>
        <w:br/>
      </w:r>
      <w:r>
        <w:rPr>
          <w:noProof/>
        </w:rPr>
        <w:t>Åsa Romson</w:t>
      </w:r>
    </w:p>
    <w:p w14:paraId="691B7488" w14:textId="77777777" w:rsidR="00643D86" w:rsidRDefault="00190E9D" w:rsidP="00643D86">
      <w:r w:rsidRPr="00B44CE2">
        <w:rPr>
          <w:b/>
        </w:rPr>
        <w:t>Annotering</w:t>
      </w:r>
      <w:r>
        <w:rPr>
          <w:b/>
        </w:rPr>
        <w:br/>
      </w:r>
      <w:r>
        <w:t>Föranleder ingen annotering.</w:t>
      </w:r>
    </w:p>
    <w:p w14:paraId="691B7489" w14:textId="77777777" w:rsidR="00643D86" w:rsidRDefault="00190E9D" w:rsidP="00643D86">
      <w:pPr>
        <w:pStyle w:val="Rubrik1"/>
      </w:pPr>
      <w:bookmarkStart w:id="7" w:name="_Toc430090567"/>
      <w:r>
        <w:rPr>
          <w:noProof/>
        </w:rPr>
        <w:t>Décision de la Commission du XXX modifiant les décisions 2009/300/CE, 2009/563/CE, 2009/894/CE, 2011/330/UE et 2011/337/UE afin de prolonger la période de validité des critères écologiques pour l'attribution du label écologique de l'Union européenne à des produits spécifiques</w:t>
      </w:r>
      <w:bookmarkEnd w:id="7"/>
    </w:p>
    <w:p w14:paraId="1D710913" w14:textId="77777777" w:rsidR="00734C4F" w:rsidRPr="00D4465B" w:rsidRDefault="00190E9D" w:rsidP="00643D86">
      <w:proofErr w:type="gramStart"/>
      <w:r w:rsidRPr="00D4465B">
        <w:rPr>
          <w:noProof/>
        </w:rPr>
        <w:t>–</w:t>
      </w:r>
      <w:proofErr w:type="spellStart"/>
      <w:r w:rsidRPr="00D4465B">
        <w:t>Décision</w:t>
      </w:r>
      <w:proofErr w:type="spellEnd"/>
      <w:proofErr w:type="gramEnd"/>
      <w:r w:rsidRPr="00D4465B">
        <w:t xml:space="preserve"> de </w:t>
      </w:r>
      <w:proofErr w:type="spellStart"/>
      <w:r w:rsidRPr="00D4465B">
        <w:t>ne</w:t>
      </w:r>
      <w:proofErr w:type="spellEnd"/>
      <w:r w:rsidRPr="00D4465B">
        <w:t xml:space="preserve"> </w:t>
      </w:r>
      <w:proofErr w:type="spellStart"/>
      <w:r w:rsidRPr="00D4465B">
        <w:t>pas</w:t>
      </w:r>
      <w:proofErr w:type="spellEnd"/>
      <w:r w:rsidRPr="00D4465B">
        <w:t xml:space="preserve"> </w:t>
      </w:r>
      <w:proofErr w:type="spellStart"/>
      <w:r w:rsidRPr="00D4465B">
        <w:t>s'opposer</w:t>
      </w:r>
      <w:proofErr w:type="spellEnd"/>
      <w:r w:rsidRPr="00D4465B">
        <w:t xml:space="preserve"> à l'adoption11765/15 ENV 546</w:t>
      </w:r>
    </w:p>
    <w:p w14:paraId="691B748A" w14:textId="2218CE5E" w:rsidR="00643D86" w:rsidRPr="00D4465B" w:rsidRDefault="00190E9D" w:rsidP="00643D86">
      <w:r w:rsidRPr="00D4465B">
        <w:rPr>
          <w:noProof/>
        </w:rPr>
        <w:t>11765</w:t>
      </w:r>
      <w:r w:rsidRPr="00D4465B">
        <w:t>/15 ENV 546</w:t>
      </w:r>
      <w:r w:rsidR="00734C4F" w:rsidRPr="00D4465B">
        <w:t xml:space="preserve"> </w:t>
      </w:r>
      <w:r w:rsidRPr="00D4465B">
        <w:t>11287/15 ENV 505</w:t>
      </w:r>
    </w:p>
    <w:p w14:paraId="691B748B" w14:textId="77777777" w:rsidR="00643D86" w:rsidRDefault="00190E9D" w:rsidP="00643D86">
      <w:r>
        <w:rPr>
          <w:b/>
        </w:rPr>
        <w:t>Ansvarigt statsråd</w:t>
      </w:r>
      <w:r>
        <w:rPr>
          <w:b/>
        </w:rPr>
        <w:br/>
      </w:r>
      <w:r>
        <w:rPr>
          <w:noProof/>
        </w:rPr>
        <w:t>Per Bolund</w:t>
      </w:r>
    </w:p>
    <w:p w14:paraId="691B748F" w14:textId="7B7B2D62" w:rsidR="00B933B9" w:rsidRDefault="00190E9D" w:rsidP="00734C4F">
      <w:r w:rsidRPr="00B44CE2">
        <w:rPr>
          <w:b/>
        </w:rPr>
        <w:t>Annotering</w:t>
      </w:r>
      <w:r>
        <w:rPr>
          <w:b/>
        </w:rPr>
        <w:br/>
      </w:r>
      <w:r>
        <w:rPr>
          <w:b/>
          <w:bCs/>
        </w:rPr>
        <w:t>Avsikt med behandlingen i rådet:</w:t>
      </w:r>
      <w:r>
        <w:t xml:space="preserve"> Rådet föreslås inte ha några invändningar mot att anta beslut om en förlängning av kriterier för miljömärkning av vissa produkter (TV, skor, trämöbler, bärbara och stationära datorer). </w:t>
      </w:r>
    </w:p>
    <w:p w14:paraId="691B7491" w14:textId="530843B9" w:rsidR="00B933B9" w:rsidRDefault="00190E9D">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691B7493" w14:textId="508BEE11" w:rsidR="00B933B9" w:rsidRDefault="00190E9D">
      <w:pPr>
        <w:spacing w:after="280" w:afterAutospacing="1"/>
      </w:pPr>
      <w:r>
        <w:rPr>
          <w:b/>
          <w:bCs/>
        </w:rPr>
        <w:t>Bakgrund:</w:t>
      </w:r>
      <w:r w:rsidR="00734C4F">
        <w:rPr>
          <w:b/>
          <w:bCs/>
        </w:rPr>
        <w:t xml:space="preserve"> </w:t>
      </w:r>
      <w:r>
        <w:t>Kriterierna för de aktuella produktgrupperna upphör alla enligt nuvarande kriteriebeslut att gälla 31 december 2015. Kommissionen föreslår att kriterierna förlängs i avvaktan på att reviderade kriterier tas fram och beslutas. Sverige har inom ramen för föreskrivande kommitténs arbete skriftligen meddelat att vi inte har några invändningar mot beslutet.</w:t>
      </w:r>
    </w:p>
    <w:p w14:paraId="691B7495" w14:textId="1F24A8BD" w:rsidR="00FB32B9" w:rsidRDefault="00190E9D">
      <w:pPr>
        <w:spacing w:after="280" w:afterAutospacing="1"/>
        <w:rPr>
          <w:noProof/>
        </w:rPr>
      </w:pPr>
      <w:r>
        <w:t xml:space="preserve">EU </w:t>
      </w:r>
      <w:proofErr w:type="spellStart"/>
      <w:r>
        <w:t>Ecolabel</w:t>
      </w:r>
      <w:proofErr w:type="spellEnd"/>
      <w:r>
        <w:t xml:space="preserve"> är det gemensamma frivilliga miljömärkningssystemet inom EU (förordning (EG) nr 66/2010 om ett EU-miljömärke).</w:t>
      </w:r>
    </w:p>
    <w:p w14:paraId="691B7496" w14:textId="77777777" w:rsidR="00643D86" w:rsidRDefault="00190E9D" w:rsidP="00643D86">
      <w:pPr>
        <w:pStyle w:val="Rubrik1"/>
      </w:pPr>
      <w:bookmarkStart w:id="8" w:name="_Toc430090568"/>
      <w:r>
        <w:rPr>
          <w:noProof/>
        </w:rPr>
        <w:t>Règlement délégué (UE) …/... de la Commission du 13.7.2015 modifiant le règlement (UE) n° 389/2013 en ce qui concerne la mise en œuvre technique du protocole de Kyoto après 2012</w:t>
      </w:r>
      <w:bookmarkEnd w:id="8"/>
    </w:p>
    <w:p w14:paraId="45466BE7" w14:textId="77777777" w:rsidR="00734C4F" w:rsidRDefault="00190E9D" w:rsidP="00643D86">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691B7497" w14:textId="5E31C2A9" w:rsidR="00643D86" w:rsidRDefault="00190E9D" w:rsidP="00643D86">
      <w:pPr>
        <w:rPr>
          <w:lang w:val="en-US"/>
        </w:rPr>
      </w:pPr>
      <w:r>
        <w:rPr>
          <w:noProof/>
          <w:lang w:val="en-US"/>
        </w:rPr>
        <w:t>11766</w:t>
      </w:r>
      <w:r>
        <w:rPr>
          <w:lang w:val="en-US"/>
        </w:rPr>
        <w:t>/15 CLIMA 96 ENV 547 ENER 319 TRANS 274 IND 127 ONU 107 AGRI 459 FORETS 30 ECOFIN 689 DELACT 116</w:t>
      </w:r>
      <w:r w:rsidR="00734C4F">
        <w:rPr>
          <w:lang w:val="en-US"/>
        </w:rPr>
        <w:t xml:space="preserve"> </w:t>
      </w:r>
      <w:r>
        <w:rPr>
          <w:lang w:val="en-US"/>
        </w:rPr>
        <w:t>11023/15 CLIMA 86 ENV 497 ENER 288 TRANS 240 IND 115 ONU 100 AGRI 409 FORETS 23 ECOFIN 618 DELACT 97+ ADD 1</w:t>
      </w:r>
    </w:p>
    <w:p w14:paraId="691B7498" w14:textId="77777777" w:rsidR="00643D86" w:rsidRDefault="00190E9D" w:rsidP="00643D86">
      <w:r>
        <w:rPr>
          <w:b/>
        </w:rPr>
        <w:t>Ansvarigt statsråd</w:t>
      </w:r>
      <w:r>
        <w:rPr>
          <w:b/>
        </w:rPr>
        <w:br/>
      </w:r>
      <w:r>
        <w:rPr>
          <w:noProof/>
        </w:rPr>
        <w:t>Åsa Romson</w:t>
      </w:r>
    </w:p>
    <w:p w14:paraId="691B749B" w14:textId="77777777" w:rsidR="00643D86" w:rsidRDefault="00190E9D" w:rsidP="00643D86">
      <w:r w:rsidRPr="00B44CE2">
        <w:rPr>
          <w:b/>
        </w:rPr>
        <w:t>Annotering</w:t>
      </w:r>
      <w:r>
        <w:rPr>
          <w:b/>
        </w:rPr>
        <w:br/>
      </w:r>
      <w:r>
        <w:rPr>
          <w:b/>
          <w:bCs/>
        </w:rPr>
        <w:t xml:space="preserve">Avsikt med behandlingen i rådet: </w:t>
      </w:r>
      <w:r>
        <w:t xml:space="preserve">Rådet föreslås bekräfta att man inte avser att invända mot den delegerade akten.  </w:t>
      </w:r>
    </w:p>
    <w:p w14:paraId="691B749C" w14:textId="77777777" w:rsidR="00B933B9" w:rsidRDefault="00190E9D">
      <w:pPr>
        <w:spacing w:after="280" w:afterAutospacing="1"/>
      </w:pPr>
      <w:r>
        <w:rPr>
          <w:b/>
          <w:bCs/>
        </w:rPr>
        <w:t>Hur regeringen ställer sig till den blivande A-punkten:</w:t>
      </w:r>
      <w:r>
        <w:t xml:space="preserve"> Regeringen kommer att rösta ja till den delegerade akten. Det är viktigt att den kan träda ikraft så snart som möjligt eftersom den kommer att utgöra rättslig grund för överföringar i registren för utsläppsrätter som behöver genomföras inom snäva tidsramar. </w:t>
      </w:r>
    </w:p>
    <w:p w14:paraId="691B749D" w14:textId="77777777" w:rsidR="00B933B9" w:rsidRDefault="00190E9D">
      <w:pPr>
        <w:spacing w:after="280" w:afterAutospacing="1"/>
      </w:pPr>
      <w:r>
        <w:rPr>
          <w:b/>
          <w:bCs/>
        </w:rPr>
        <w:t xml:space="preserve">Bakgrund: </w:t>
      </w:r>
      <w:r>
        <w:t xml:space="preserve">Kommissionen presenterade i november 2014 ett förslag till inriktning för en delegerad akt under </w:t>
      </w:r>
      <w:proofErr w:type="spellStart"/>
      <w:r>
        <w:t>Monitoring</w:t>
      </w:r>
      <w:proofErr w:type="spellEnd"/>
      <w:r>
        <w:t xml:space="preserve"> </w:t>
      </w:r>
      <w:proofErr w:type="spellStart"/>
      <w:r>
        <w:t>Mechanism</w:t>
      </w:r>
      <w:proofErr w:type="spellEnd"/>
      <w:r>
        <w:t xml:space="preserve"> </w:t>
      </w:r>
      <w:proofErr w:type="spellStart"/>
      <w:r>
        <w:t>Regulation</w:t>
      </w:r>
      <w:proofErr w:type="spellEnd"/>
      <w:r>
        <w:t xml:space="preserve"> (535/2013/EU) för det tekniska genomförandet av Kyotoprotokollets andra åtagandeperiod (KP2) i förhållande till ETS och ESD. Kommissionen skapade också en expertgrupp med deltagare från medlemsstaterna för arbetet med akten. Kommissionen lämnade över sitt förslag till rådet 13 juli 2015 och även Europaparlamentet har det för behandling.</w:t>
      </w:r>
    </w:p>
    <w:p w14:paraId="691B749E" w14:textId="77777777" w:rsidR="00B933B9" w:rsidRDefault="00190E9D">
      <w:pPr>
        <w:spacing w:after="280" w:afterAutospacing="1"/>
      </w:pPr>
      <w:r>
        <w:t xml:space="preserve">Den delegerade akten reglerar det tekniska genomförandet av avräkningen av Kyotoprotokollets första åtagandeperiod och genomförandet av den andra åtagandeperioden. Den delegerade akten innehåller bestämmelser om </w:t>
      </w:r>
      <w:proofErr w:type="spellStart"/>
      <w:r>
        <w:t>bl</w:t>
      </w:r>
      <w:proofErr w:type="spellEnd"/>
      <w:r>
        <w:t xml:space="preserve"> a hur och när AAU utfärdas för den andra åtagandeperioden och hur uppfyllandet av åtagandena för handelssystemet (EU ETS) och för den icke-handlande sektorn (ESD) för 2013-2020 ska ske med olika typer av enheter i registren. En annan fråga som omfattas är hur </w:t>
      </w:r>
      <w:proofErr w:type="spellStart"/>
      <w:r>
        <w:t>kyotoenheter</w:t>
      </w:r>
      <w:proofErr w:type="spellEnd"/>
      <w:r>
        <w:t xml:space="preserve"> som har förvärvats av verksamhetsutövare i EU ETS och sedan växlats in till utsläppsrätter ska hanteras för att säkerställa miljöintegriteten och att ingen dubbelräkning kan ske.</w:t>
      </w:r>
    </w:p>
    <w:p w14:paraId="691B74A1" w14:textId="18A0EDDC" w:rsidR="00FB32B9" w:rsidRDefault="00190E9D">
      <w:pPr>
        <w:spacing w:after="280" w:afterAutospacing="1"/>
        <w:rPr>
          <w:noProof/>
        </w:rPr>
      </w:pPr>
      <w:r>
        <w:t xml:space="preserve">Viktiga delar i den delegerade akten är att den innebär att Sverige överför AAU till EU: reserv av överskott från föregående period (PPSR) i utbyte mot de </w:t>
      </w:r>
      <w:proofErr w:type="spellStart"/>
      <w:r>
        <w:t>kyotoenheter</w:t>
      </w:r>
      <w:proofErr w:type="spellEnd"/>
      <w:r>
        <w:t xml:space="preserve"> från CDM- och JI-projekt (CER/ERU) som har tillhört verksamhetsutövare i EU ETS och växlats in mot utsläppsrätter. Sverige har i arbetet med den delegerade akten stött den lösningen för den tekniska avräkningen då den innebär att det svenska överskottet av </w:t>
      </w:r>
      <w:proofErr w:type="spellStart"/>
      <w:r>
        <w:t>kyotoenheter</w:t>
      </w:r>
      <w:proofErr w:type="spellEnd"/>
      <w:r>
        <w:t xml:space="preserve"> från den första åtagandeperioden blir konstant. Genom denna lösning tas inte heller medlemsstaternas utrymme för att föra över (</w:t>
      </w:r>
      <w:proofErr w:type="spellStart"/>
      <w:r>
        <w:t>carry</w:t>
      </w:r>
      <w:proofErr w:type="spellEnd"/>
      <w:r>
        <w:t xml:space="preserve"> over) CER och ERU från KP1 till KP2 i anspråk av företagens enheter. Därmed finns hela detta utrymme tillgängligt för att föra över det statliga innehavet av CER och ERU om så beslutas. </w:t>
      </w:r>
    </w:p>
    <w:p w14:paraId="691B74A2" w14:textId="77777777" w:rsidR="00643D86" w:rsidRDefault="00190E9D" w:rsidP="00643D86">
      <w:pPr>
        <w:pStyle w:val="Rubrik1"/>
      </w:pPr>
      <w:bookmarkStart w:id="9" w:name="_Toc430090569"/>
      <w:r>
        <w:rPr>
          <w:noProof/>
        </w:rPr>
        <w:t>Proposition de décision du Conseil sur la conclusion de l'accord de coopération scientifique et technologique entre l'Union européenne et la Communauté européenne de l'énergie atomique et la Confédération suisse associant la Confédération suisse au programme-cadre pour la recherche et l'innovation Horizon 2020 et au programme de recherche et de formation de la Communauté européenne de l'énergie atomique complétant le programme-cadre Horizon 2020, et réglementant la participation de la Confédération suisse aux activités d'ITER menées par "Fusion for Energy"</w:t>
      </w:r>
      <w:bookmarkEnd w:id="9"/>
    </w:p>
    <w:p w14:paraId="46E661AC" w14:textId="77777777" w:rsidR="00734C4F" w:rsidRDefault="00190E9D" w:rsidP="00643D86">
      <w:pPr>
        <w:rPr>
          <w:lang w:val="en-US"/>
        </w:rPr>
      </w:pPr>
      <w:r>
        <w:rPr>
          <w:noProof/>
          <w:lang w:val="en-US"/>
        </w:rPr>
        <w:t>–</w:t>
      </w:r>
      <w:r>
        <w:rPr>
          <w:lang w:val="en-US"/>
        </w:rPr>
        <w:t>Adoption</w:t>
      </w:r>
    </w:p>
    <w:p w14:paraId="691B74A3" w14:textId="77900EA4" w:rsidR="00643D86" w:rsidRDefault="00190E9D" w:rsidP="00643D86">
      <w:pPr>
        <w:rPr>
          <w:lang w:val="en-US"/>
        </w:rPr>
      </w:pPr>
      <w:r>
        <w:rPr>
          <w:noProof/>
          <w:lang w:val="en-US"/>
        </w:rPr>
        <w:t>11767</w:t>
      </w:r>
      <w:r>
        <w:rPr>
          <w:lang w:val="en-US"/>
        </w:rPr>
        <w:t>/15 RECH 222 ATO 44 CH 23 AELE 3</w:t>
      </w:r>
      <w:r w:rsidR="00734C4F">
        <w:rPr>
          <w:lang w:val="en-US"/>
        </w:rPr>
        <w:t xml:space="preserve"> </w:t>
      </w:r>
      <w:r>
        <w:rPr>
          <w:lang w:val="en-US"/>
        </w:rPr>
        <w:t>85662/15 RECH 7 ATO 9 CH 3 AELE 6</w:t>
      </w:r>
    </w:p>
    <w:p w14:paraId="691B74A4" w14:textId="77777777" w:rsidR="00643D86" w:rsidRDefault="00190E9D" w:rsidP="00643D86">
      <w:r>
        <w:rPr>
          <w:b/>
        </w:rPr>
        <w:t>Ansvarigt statsråd</w:t>
      </w:r>
      <w:r>
        <w:rPr>
          <w:b/>
        </w:rPr>
        <w:br/>
      </w:r>
      <w:r>
        <w:rPr>
          <w:noProof/>
        </w:rPr>
        <w:t>Helene Hellmark Knutsson</w:t>
      </w:r>
    </w:p>
    <w:p w14:paraId="691B74A6" w14:textId="77777777" w:rsidR="00643D86" w:rsidRPr="00643D86" w:rsidRDefault="00190E9D" w:rsidP="00643D86">
      <w:r w:rsidRPr="00643D86">
        <w:rPr>
          <w:b/>
        </w:rPr>
        <w:t>Tidigare behandling vid rådsmöte</w:t>
      </w:r>
      <w:r>
        <w:rPr>
          <w:b/>
        </w:rPr>
        <w:br/>
      </w:r>
      <w:r>
        <w:rPr>
          <w:noProof/>
        </w:rPr>
        <w:t>2015-03-17</w:t>
      </w:r>
    </w:p>
    <w:p w14:paraId="691B74A8" w14:textId="3C178EBE" w:rsidR="00B933B9" w:rsidRDefault="00190E9D" w:rsidP="00734C4F">
      <w:r w:rsidRPr="00B44CE2">
        <w:rPr>
          <w:b/>
        </w:rPr>
        <w:t>Annotering</w:t>
      </w:r>
      <w:r>
        <w:rPr>
          <w:b/>
        </w:rPr>
        <w:br/>
      </w:r>
      <w:r>
        <w:rPr>
          <w:b/>
          <w:bCs/>
        </w:rPr>
        <w:t>Avsikt med behandlingen i rådet:</w:t>
      </w:r>
      <w:r>
        <w:t xml:space="preserve"> Att godkänna avtal om vetenskapligt och tekniskt samarbete mellan EU/</w:t>
      </w:r>
      <w:proofErr w:type="spellStart"/>
      <w:r>
        <w:t>Euroatom</w:t>
      </w:r>
      <w:proofErr w:type="spellEnd"/>
      <w:r>
        <w:t xml:space="preserve"> och Schweiz, om anslutning av Schweiz till Horisont 2020, till </w:t>
      </w:r>
      <w:proofErr w:type="spellStart"/>
      <w:r>
        <w:t>Euroatoms</w:t>
      </w:r>
      <w:proofErr w:type="spellEnd"/>
      <w:r>
        <w:t xml:space="preserve"> forskningsprogram och om reglering av Schweiz deltagande i Fusion for Energy verksamhet.</w:t>
      </w:r>
    </w:p>
    <w:p w14:paraId="691B74A9" w14:textId="77777777" w:rsidR="00B933B9" w:rsidRDefault="00190E9D">
      <w:pPr>
        <w:spacing w:after="280" w:afterAutospacing="1"/>
      </w:pPr>
      <w:r>
        <w:rPr>
          <w:b/>
          <w:bCs/>
        </w:rPr>
        <w:t>Hur regeringen ställer sig till den blivande A-punkten:</w:t>
      </w:r>
      <w:r>
        <w:t xml:space="preserve"> regeringen kan godkänna A-punkten.</w:t>
      </w:r>
    </w:p>
    <w:p w14:paraId="691B74AB" w14:textId="73D69AA1" w:rsidR="00FB32B9" w:rsidRDefault="00190E9D">
      <w:pPr>
        <w:spacing w:after="280" w:afterAutospacing="1"/>
        <w:rPr>
          <w:noProof/>
        </w:rPr>
      </w:pPr>
      <w:r>
        <w:rPr>
          <w:b/>
          <w:bCs/>
        </w:rPr>
        <w:t xml:space="preserve">Bakgrund: </w:t>
      </w:r>
      <w:r>
        <w:t>Schweiz har varit associerat till EU:s ramprogram för vetenskaplig och teknisk utveckling sedan 2004. Schweiz associering till EU:s ramprogram har varit fördelaktigt för EU, då det har ökat forskningssamarbetet mellan enheter från Europeiska unionen och Schweiz. Den 24 oktober 2014 förelade kommissionen rådet sitt förslag till rådets beslut om ingående av avtalet om vetenskapligt och tekniskt samarbete mellan Europeiska unionen och Europeiska atomenergigemenskapen. Avtalet undertecknades den 5 december 2014 efter rådets beslut av den 4 december 2014. Den 17 februari 2015 beslutade rådet att överlämna utkastet till rådets beslut om ingående av avtalet till Europaparlamentet för godkännande. Vid plenarsammanträdet den 6–9 juli 2015 godkände Europaparlamentet ingåendet av avtalet.</w:t>
      </w:r>
    </w:p>
    <w:p w14:paraId="691B74AC" w14:textId="77777777" w:rsidR="00643D86" w:rsidRPr="00D4465B" w:rsidRDefault="00190E9D" w:rsidP="00643D86">
      <w:pPr>
        <w:pStyle w:val="Rubrik1"/>
        <w:rPr>
          <w:lang w:val="en-US"/>
        </w:rPr>
      </w:pPr>
      <w:bookmarkStart w:id="10" w:name="_Toc430090570"/>
      <w:r w:rsidRPr="00D4465B">
        <w:rPr>
          <w:noProof/>
          <w:lang w:val="en-US"/>
        </w:rPr>
        <w:t>Proposition de décision du Conseil relative à la conclusion de l'accord de coopération scientifique et technologique entre l'Union européenne et les Îles Féroé associant les Îles Féroé au programme-cadre pour la recherche et l'innovation "Horizon 2020" (2014-2020)</w:t>
      </w:r>
      <w:bookmarkEnd w:id="10"/>
    </w:p>
    <w:p w14:paraId="3609341F" w14:textId="77777777" w:rsidR="00734C4F" w:rsidRDefault="00190E9D" w:rsidP="00643D86">
      <w:pPr>
        <w:rPr>
          <w:lang w:val="en-US"/>
        </w:rPr>
      </w:pPr>
      <w:r>
        <w:rPr>
          <w:noProof/>
          <w:lang w:val="en-US"/>
        </w:rPr>
        <w:t>–</w:t>
      </w:r>
      <w:r>
        <w:rPr>
          <w:lang w:val="en-US"/>
        </w:rPr>
        <w:t>Adoption</w:t>
      </w:r>
    </w:p>
    <w:p w14:paraId="691B74AD" w14:textId="2E866128" w:rsidR="00643D86" w:rsidRDefault="00190E9D" w:rsidP="00643D86">
      <w:pPr>
        <w:rPr>
          <w:lang w:val="en-US"/>
        </w:rPr>
      </w:pPr>
      <w:r>
        <w:rPr>
          <w:noProof/>
          <w:lang w:val="en-US"/>
        </w:rPr>
        <w:t>11769</w:t>
      </w:r>
      <w:r>
        <w:rPr>
          <w:lang w:val="en-US"/>
        </w:rPr>
        <w:t>/15 RECH 223 FEROE 65660/15 RECH 6 FEROE 1</w:t>
      </w:r>
    </w:p>
    <w:p w14:paraId="691B74AE" w14:textId="77777777" w:rsidR="00643D86" w:rsidRDefault="00190E9D" w:rsidP="00643D86">
      <w:r>
        <w:rPr>
          <w:b/>
        </w:rPr>
        <w:t>Ansvarigt statsråd</w:t>
      </w:r>
      <w:r>
        <w:rPr>
          <w:b/>
        </w:rPr>
        <w:br/>
      </w:r>
      <w:r>
        <w:rPr>
          <w:noProof/>
        </w:rPr>
        <w:t>Helene Hellmark Knutsson</w:t>
      </w:r>
    </w:p>
    <w:p w14:paraId="691B74B0" w14:textId="77777777" w:rsidR="00643D86" w:rsidRPr="00643D86" w:rsidRDefault="00190E9D" w:rsidP="00643D86">
      <w:r w:rsidRPr="00643D86">
        <w:rPr>
          <w:b/>
        </w:rPr>
        <w:t>Tidigare behandling vid rådsmöte</w:t>
      </w:r>
      <w:r>
        <w:rPr>
          <w:b/>
        </w:rPr>
        <w:br/>
      </w:r>
      <w:r>
        <w:rPr>
          <w:noProof/>
        </w:rPr>
        <w:t>2014-11-09</w:t>
      </w:r>
    </w:p>
    <w:p w14:paraId="691B74B2" w14:textId="60986F26" w:rsidR="00B933B9" w:rsidRDefault="00190E9D" w:rsidP="00734C4F">
      <w:r w:rsidRPr="00B44CE2">
        <w:rPr>
          <w:b/>
        </w:rPr>
        <w:t>Annotering</w:t>
      </w:r>
      <w:r>
        <w:rPr>
          <w:b/>
        </w:rPr>
        <w:br/>
      </w:r>
      <w:r>
        <w:rPr>
          <w:b/>
          <w:bCs/>
        </w:rPr>
        <w:t>Avsikt med behandlingen i rådet:</w:t>
      </w:r>
      <w:r>
        <w:t xml:space="preserve"> </w:t>
      </w:r>
      <w:r w:rsidR="00734C4F">
        <w:t>A</w:t>
      </w:r>
      <w:r>
        <w:t xml:space="preserve">tt rådet som A-punkt antar rådets beslut om ingående av avtalet. </w:t>
      </w:r>
    </w:p>
    <w:p w14:paraId="691B74B4" w14:textId="72C013C6" w:rsidR="00B933B9" w:rsidRDefault="00190E9D">
      <w:pPr>
        <w:spacing w:after="280" w:afterAutospacing="1"/>
      </w:pPr>
      <w:r>
        <w:rPr>
          <w:b/>
          <w:bCs/>
        </w:rPr>
        <w:t>Hur regeringen ställer sig till den blivande A-punkten:</w:t>
      </w:r>
      <w:r>
        <w:t xml:space="preserve"> Regeringen kan godkänna a-punkten </w:t>
      </w:r>
    </w:p>
    <w:p w14:paraId="691B74B7" w14:textId="1FCB33A0" w:rsidR="00FB32B9" w:rsidRDefault="00190E9D">
      <w:pPr>
        <w:spacing w:after="280" w:afterAutospacing="1"/>
        <w:rPr>
          <w:noProof/>
        </w:rPr>
      </w:pPr>
      <w:r>
        <w:rPr>
          <w:b/>
          <w:bCs/>
        </w:rPr>
        <w:t>Bakgrund:</w:t>
      </w:r>
      <w:r w:rsidR="00734C4F">
        <w:rPr>
          <w:b/>
          <w:bCs/>
        </w:rPr>
        <w:t xml:space="preserve"> </w:t>
      </w:r>
      <w:r>
        <w:t>Den 29 juli 2014 förelade kommissionen sitt förslag till rådets beslut om Färöarnas association till Horisont2020. Efter att kommissionen blivit bemyndigat att förhandla om avtalet om Färöarnas association till Horisont2020 fattade rådet beslut om detta i november 2014. Parlamentet godkände avtalet den 6-9 juli och avtalet föreslås nu slutligt beslutas som en a-punkt.</w:t>
      </w:r>
    </w:p>
    <w:p w14:paraId="691B74B8" w14:textId="77777777" w:rsidR="00643D86" w:rsidRDefault="00190E9D" w:rsidP="00643D86">
      <w:pPr>
        <w:pStyle w:val="Rubrik1"/>
      </w:pPr>
      <w:bookmarkStart w:id="11" w:name="_Toc430090571"/>
      <w:r>
        <w:rPr>
          <w:noProof/>
        </w:rPr>
        <w:t>Proposition de décision du Conseil concernant le renouvellement de l'accord de coopération scientifique et technologique entre la Communauté européenne et le gouvernement de la République de l'Inde</w:t>
      </w:r>
      <w:bookmarkEnd w:id="11"/>
    </w:p>
    <w:p w14:paraId="7067E439" w14:textId="77777777" w:rsidR="00734C4F" w:rsidRDefault="00190E9D" w:rsidP="00643D86">
      <w:pPr>
        <w:rPr>
          <w:lang w:val="en-US"/>
        </w:rPr>
      </w:pPr>
      <w:r>
        <w:rPr>
          <w:noProof/>
          <w:lang w:val="en-US"/>
        </w:rPr>
        <w:t>–</w:t>
      </w:r>
      <w:r>
        <w:rPr>
          <w:lang w:val="en-US"/>
        </w:rPr>
        <w:t>Adoption</w:t>
      </w:r>
    </w:p>
    <w:p w14:paraId="691B74B9" w14:textId="3FD28910" w:rsidR="00643D86" w:rsidRDefault="00190E9D" w:rsidP="00643D86">
      <w:pPr>
        <w:rPr>
          <w:lang w:val="en-US"/>
        </w:rPr>
      </w:pPr>
      <w:r>
        <w:rPr>
          <w:noProof/>
          <w:lang w:val="en-US"/>
        </w:rPr>
        <w:t>11771</w:t>
      </w:r>
      <w:r>
        <w:rPr>
          <w:lang w:val="en-US"/>
        </w:rPr>
        <w:t>/15 RECH 224 ASIE 45</w:t>
      </w:r>
      <w:r w:rsidR="00734C4F">
        <w:rPr>
          <w:lang w:val="en-US"/>
        </w:rPr>
        <w:t xml:space="preserve"> </w:t>
      </w:r>
      <w:r>
        <w:rPr>
          <w:lang w:val="en-US"/>
        </w:rPr>
        <w:t>5872/15 RECH 12 ASIE 5</w:t>
      </w:r>
    </w:p>
    <w:p w14:paraId="691B74BA" w14:textId="77777777" w:rsidR="00643D86" w:rsidRDefault="00190E9D" w:rsidP="00643D86">
      <w:r>
        <w:rPr>
          <w:b/>
        </w:rPr>
        <w:t>Ansvarigt statsråd</w:t>
      </w:r>
      <w:r>
        <w:rPr>
          <w:b/>
        </w:rPr>
        <w:br/>
      </w:r>
      <w:r>
        <w:rPr>
          <w:noProof/>
        </w:rPr>
        <w:t>Helene Hellmark Knutsson</w:t>
      </w:r>
    </w:p>
    <w:p w14:paraId="691B74BC" w14:textId="77777777" w:rsidR="00643D86" w:rsidRPr="00643D86" w:rsidRDefault="00190E9D" w:rsidP="00643D86">
      <w:r w:rsidRPr="00643D86">
        <w:rPr>
          <w:b/>
        </w:rPr>
        <w:t>Tidigare behandling vid rådsmöte</w:t>
      </w:r>
      <w:r>
        <w:rPr>
          <w:b/>
        </w:rPr>
        <w:br/>
      </w:r>
      <w:r>
        <w:rPr>
          <w:noProof/>
        </w:rPr>
        <w:t>2015-03-01</w:t>
      </w:r>
    </w:p>
    <w:p w14:paraId="691B74BE" w14:textId="4E1DEDDA" w:rsidR="00B933B9" w:rsidRDefault="00190E9D" w:rsidP="00734C4F">
      <w:r w:rsidRPr="00B44CE2">
        <w:rPr>
          <w:b/>
        </w:rPr>
        <w:t>Annotering</w:t>
      </w:r>
      <w:r>
        <w:rPr>
          <w:b/>
        </w:rPr>
        <w:br/>
      </w:r>
      <w:r>
        <w:rPr>
          <w:b/>
          <w:bCs/>
        </w:rPr>
        <w:t>Avsikt med behandlingen i rådet:</w:t>
      </w:r>
      <w:r>
        <w:t xml:space="preserve"> Rådet antar, som a-punkt, sitt beslut om förlängning av avtalet </w:t>
      </w:r>
    </w:p>
    <w:p w14:paraId="691B74C0" w14:textId="789B0EFA" w:rsidR="00B933B9" w:rsidRDefault="00190E9D">
      <w:pPr>
        <w:spacing w:after="280" w:afterAutospacing="1"/>
      </w:pPr>
      <w:r>
        <w:rPr>
          <w:b/>
          <w:bCs/>
        </w:rPr>
        <w:t>Hur regeringen ställer sig till den blivande A-punkten:</w:t>
      </w:r>
      <w:r>
        <w:t xml:space="preserve"> Regeringen kan godkänna a-punkt</w:t>
      </w:r>
      <w:r w:rsidR="00734C4F">
        <w:t>en.</w:t>
      </w:r>
      <w:r>
        <w:t xml:space="preserve"> </w:t>
      </w:r>
    </w:p>
    <w:p w14:paraId="691B74C4" w14:textId="75054995" w:rsidR="00643D86" w:rsidRPr="00D4465B" w:rsidRDefault="00190E9D" w:rsidP="00734C4F">
      <w:pPr>
        <w:spacing w:after="280" w:afterAutospacing="1"/>
        <w:rPr>
          <w:sz w:val="24"/>
        </w:rPr>
      </w:pPr>
      <w:r w:rsidRPr="00734C4F">
        <w:rPr>
          <w:b/>
          <w:bCs/>
          <w:sz w:val="24"/>
        </w:rPr>
        <w:t>Bakgrund:</w:t>
      </w:r>
      <w:r w:rsidR="00734C4F">
        <w:rPr>
          <w:b/>
          <w:bCs/>
          <w:sz w:val="24"/>
        </w:rPr>
        <w:t xml:space="preserve"> </w:t>
      </w:r>
      <w:r w:rsidRPr="00734C4F">
        <w:rPr>
          <w:sz w:val="24"/>
        </w:rPr>
        <w:t>Rådet beslutade den 2 mars 2015 om att överlämna sitt beslut om förlängning av det vetenskapliga och tekniska samarbetsavtalet mellan EU och Indien till Europaparlamentet. EP godkände den 6-7 juli avtalets förlängning och rådet uppmanas nu att slutligt anta beslutet om förlängning.</w:t>
      </w:r>
      <w:bookmarkEnd w:id="1"/>
    </w:p>
    <w:sectPr w:rsidR="00643D86" w:rsidRPr="00D4465B"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B74D6" w14:textId="77777777" w:rsidR="00DE368A" w:rsidRDefault="00190E9D">
      <w:pPr>
        <w:spacing w:after="0" w:line="240" w:lineRule="auto"/>
      </w:pPr>
      <w:r>
        <w:separator/>
      </w:r>
    </w:p>
  </w:endnote>
  <w:endnote w:type="continuationSeparator" w:id="0">
    <w:p w14:paraId="691B74D8" w14:textId="77777777" w:rsidR="00DE368A" w:rsidRDefault="0019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74D2" w14:textId="77777777" w:rsidR="00DE368A" w:rsidRDefault="00190E9D">
      <w:pPr>
        <w:spacing w:after="0" w:line="240" w:lineRule="auto"/>
      </w:pPr>
      <w:r>
        <w:separator/>
      </w:r>
    </w:p>
  </w:footnote>
  <w:footnote w:type="continuationSeparator" w:id="0">
    <w:p w14:paraId="691B74D4" w14:textId="77777777" w:rsidR="00DE368A" w:rsidRDefault="00190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41537"/>
      <w:docPartObj>
        <w:docPartGallery w:val="Page Numbers (Top of Page)"/>
        <w:docPartUnique/>
      </w:docPartObj>
    </w:sdtPr>
    <w:sdtEndPr/>
    <w:sdtContent>
      <w:p w14:paraId="32986353" w14:textId="48298DA8" w:rsidR="00734C4F" w:rsidRDefault="00734C4F">
        <w:pPr>
          <w:pStyle w:val="Sidhuvud"/>
          <w:jc w:val="right"/>
        </w:pPr>
        <w:r>
          <w:fldChar w:fldCharType="begin"/>
        </w:r>
        <w:r>
          <w:instrText>PAGE   \* MERGEFORMAT</w:instrText>
        </w:r>
        <w:r>
          <w:fldChar w:fldCharType="separate"/>
        </w:r>
        <w:r w:rsidR="00DF43F6">
          <w:rPr>
            <w:noProof/>
          </w:rPr>
          <w:t>8</w:t>
        </w:r>
        <w:r>
          <w:fldChar w:fldCharType="end"/>
        </w:r>
      </w:p>
    </w:sdtContent>
  </w:sdt>
  <w:p w14:paraId="691B74C6" w14:textId="77777777" w:rsidR="006F1C0D" w:rsidRDefault="00DF43F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B933B9" w14:paraId="691B74CC" w14:textId="77777777" w:rsidTr="006E71D7">
      <w:tc>
        <w:tcPr>
          <w:tcW w:w="4606" w:type="dxa"/>
        </w:tcPr>
        <w:p w14:paraId="691B74C7" w14:textId="77777777" w:rsidR="006E71D7" w:rsidRDefault="00190E9D" w:rsidP="00752770">
          <w:pPr>
            <w:pStyle w:val="Sidhuvud"/>
            <w:ind w:left="0"/>
          </w:pPr>
          <w:r>
            <w:rPr>
              <w:noProof/>
              <w:lang w:eastAsia="sv-SE"/>
            </w:rPr>
            <w:drawing>
              <wp:inline distT="0" distB="0" distL="0" distR="0" wp14:anchorId="691B74D2" wp14:editId="691B74D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91B74C8" w14:textId="77777777" w:rsidR="00FB32B9" w:rsidRDefault="00DF43F6" w:rsidP="00FB32B9">
          <w:pPr>
            <w:ind w:right="916"/>
            <w:rPr>
              <w:rFonts w:ascii="TradeGothic" w:hAnsi="TradeGothic"/>
              <w:b/>
            </w:rPr>
          </w:pPr>
        </w:p>
        <w:p w14:paraId="691B74C9" w14:textId="77777777" w:rsidR="00FB32B9" w:rsidRDefault="00190E9D" w:rsidP="00FB32B9">
          <w:pPr>
            <w:ind w:right="916"/>
          </w:pPr>
          <w:r>
            <w:rPr>
              <w:rFonts w:ascii="TradeGothic" w:hAnsi="TradeGothic"/>
              <w:b/>
            </w:rPr>
            <w:t>Promemoria</w:t>
          </w:r>
        </w:p>
        <w:p w14:paraId="691B74CA" w14:textId="77777777" w:rsidR="00FB32B9" w:rsidRDefault="00DF43F6" w:rsidP="00FB32B9">
          <w:pPr>
            <w:jc w:val="right"/>
          </w:pPr>
        </w:p>
        <w:p w14:paraId="691B74CB" w14:textId="1D6A8583" w:rsidR="006E71D7" w:rsidRDefault="00190E9D" w:rsidP="00FB32B9">
          <w:pPr>
            <w:ind w:right="916"/>
          </w:pPr>
          <w:r>
            <w:rPr>
              <w:rFonts w:ascii="TradeGothic" w:hAnsi="TradeGothic"/>
              <w:b/>
              <w:noProof/>
            </w:rPr>
            <w:t>2015-09-1</w:t>
          </w:r>
          <w:r w:rsidR="00734C4F">
            <w:rPr>
              <w:rFonts w:ascii="TradeGothic" w:hAnsi="TradeGothic"/>
              <w:b/>
              <w:noProof/>
            </w:rPr>
            <w:t>6</w:t>
          </w:r>
          <w:r w:rsidRPr="00934953">
            <w:t xml:space="preserve"> </w:t>
          </w:r>
        </w:p>
      </w:tc>
    </w:tr>
  </w:tbl>
  <w:p w14:paraId="691B74CD" w14:textId="77777777" w:rsidR="00FB32B9" w:rsidRDefault="00DF43F6" w:rsidP="00FB32B9">
    <w:pPr>
      <w:pStyle w:val="Avsndare"/>
      <w:framePr w:w="0" w:hRule="auto" w:hSpace="0" w:wrap="auto" w:vAnchor="margin" w:hAnchor="text" w:xAlign="left" w:yAlign="inline"/>
      <w:rPr>
        <w:b/>
        <w:i w:val="0"/>
        <w:sz w:val="22"/>
      </w:rPr>
    </w:pPr>
  </w:p>
  <w:p w14:paraId="691B74CE" w14:textId="77777777" w:rsidR="00FB32B9" w:rsidRDefault="00190E9D" w:rsidP="00FB32B9">
    <w:pPr>
      <w:pStyle w:val="Avsndare"/>
      <w:framePr w:w="0" w:hRule="auto" w:hSpace="0" w:wrap="auto" w:vAnchor="margin" w:hAnchor="text" w:xAlign="left" w:yAlign="inline"/>
      <w:rPr>
        <w:b/>
        <w:i w:val="0"/>
        <w:sz w:val="22"/>
      </w:rPr>
    </w:pPr>
    <w:r>
      <w:rPr>
        <w:b/>
        <w:i w:val="0"/>
        <w:sz w:val="22"/>
      </w:rPr>
      <w:t>Statsrådsberedningen</w:t>
    </w:r>
  </w:p>
  <w:p w14:paraId="691B74CF" w14:textId="77777777" w:rsidR="00FB32B9" w:rsidRDefault="00DF43F6" w:rsidP="00FB32B9">
    <w:pPr>
      <w:pStyle w:val="Avsndare"/>
      <w:framePr w:w="0" w:hRule="auto" w:hSpace="0" w:wrap="auto" w:vAnchor="margin" w:hAnchor="text" w:xAlign="left" w:yAlign="inline"/>
    </w:pPr>
  </w:p>
  <w:p w14:paraId="691B74D0" w14:textId="77777777" w:rsidR="00FB32B9" w:rsidRDefault="00190E9D" w:rsidP="00FB32B9">
    <w:pPr>
      <w:pStyle w:val="Avsndare"/>
      <w:framePr w:w="0" w:hRule="auto" w:hSpace="0" w:wrap="auto" w:vAnchor="margin" w:hAnchor="text" w:xAlign="left" w:yAlign="inline"/>
    </w:pPr>
    <w:r>
      <w:t>EU-kansliet</w:t>
    </w:r>
  </w:p>
  <w:p w14:paraId="691B74D1" w14:textId="77777777" w:rsidR="0012376B" w:rsidRDefault="00DF43F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9EC8F72E">
      <w:start w:val="1"/>
      <w:numFmt w:val="decimal"/>
      <w:pStyle w:val="Rubrik1"/>
      <w:lvlText w:val="%1."/>
      <w:lvlJc w:val="left"/>
      <w:pPr>
        <w:ind w:left="720" w:hanging="360"/>
      </w:pPr>
    </w:lvl>
    <w:lvl w:ilvl="1" w:tplc="57086348" w:tentative="1">
      <w:start w:val="1"/>
      <w:numFmt w:val="lowerLetter"/>
      <w:lvlText w:val="%2."/>
      <w:lvlJc w:val="left"/>
      <w:pPr>
        <w:ind w:left="1440" w:hanging="360"/>
      </w:pPr>
    </w:lvl>
    <w:lvl w:ilvl="2" w:tplc="57B671C0" w:tentative="1">
      <w:start w:val="1"/>
      <w:numFmt w:val="lowerRoman"/>
      <w:lvlText w:val="%3."/>
      <w:lvlJc w:val="right"/>
      <w:pPr>
        <w:ind w:left="2160" w:hanging="180"/>
      </w:pPr>
    </w:lvl>
    <w:lvl w:ilvl="3" w:tplc="6D9670F2" w:tentative="1">
      <w:start w:val="1"/>
      <w:numFmt w:val="decimal"/>
      <w:lvlText w:val="%4."/>
      <w:lvlJc w:val="left"/>
      <w:pPr>
        <w:ind w:left="2880" w:hanging="360"/>
      </w:pPr>
    </w:lvl>
    <w:lvl w:ilvl="4" w:tplc="93082926" w:tentative="1">
      <w:start w:val="1"/>
      <w:numFmt w:val="lowerLetter"/>
      <w:lvlText w:val="%5."/>
      <w:lvlJc w:val="left"/>
      <w:pPr>
        <w:ind w:left="3600" w:hanging="360"/>
      </w:pPr>
    </w:lvl>
    <w:lvl w:ilvl="5" w:tplc="256617B6" w:tentative="1">
      <w:start w:val="1"/>
      <w:numFmt w:val="lowerRoman"/>
      <w:lvlText w:val="%6."/>
      <w:lvlJc w:val="right"/>
      <w:pPr>
        <w:ind w:left="4320" w:hanging="180"/>
      </w:pPr>
    </w:lvl>
    <w:lvl w:ilvl="6" w:tplc="FD80B05C" w:tentative="1">
      <w:start w:val="1"/>
      <w:numFmt w:val="decimal"/>
      <w:lvlText w:val="%7."/>
      <w:lvlJc w:val="left"/>
      <w:pPr>
        <w:ind w:left="5040" w:hanging="360"/>
      </w:pPr>
    </w:lvl>
    <w:lvl w:ilvl="7" w:tplc="33BC249C" w:tentative="1">
      <w:start w:val="1"/>
      <w:numFmt w:val="lowerLetter"/>
      <w:lvlText w:val="%8."/>
      <w:lvlJc w:val="left"/>
      <w:pPr>
        <w:ind w:left="5760" w:hanging="360"/>
      </w:pPr>
    </w:lvl>
    <w:lvl w:ilvl="8" w:tplc="005E722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7786F68">
      <w:start w:val="1"/>
      <w:numFmt w:val="decimal"/>
      <w:lvlText w:val="%1."/>
      <w:lvlJc w:val="left"/>
      <w:pPr>
        <w:ind w:left="360" w:hanging="360"/>
      </w:pPr>
      <w:rPr>
        <w:b w:val="0"/>
      </w:rPr>
    </w:lvl>
    <w:lvl w:ilvl="1" w:tplc="54B0709A" w:tentative="1">
      <w:start w:val="1"/>
      <w:numFmt w:val="lowerLetter"/>
      <w:lvlText w:val="%2."/>
      <w:lvlJc w:val="left"/>
      <w:pPr>
        <w:ind w:left="1080" w:hanging="360"/>
      </w:pPr>
    </w:lvl>
    <w:lvl w:ilvl="2" w:tplc="6270E474" w:tentative="1">
      <w:start w:val="1"/>
      <w:numFmt w:val="lowerRoman"/>
      <w:lvlText w:val="%3."/>
      <w:lvlJc w:val="right"/>
      <w:pPr>
        <w:ind w:left="1800" w:hanging="180"/>
      </w:pPr>
    </w:lvl>
    <w:lvl w:ilvl="3" w:tplc="E21844A6" w:tentative="1">
      <w:start w:val="1"/>
      <w:numFmt w:val="decimal"/>
      <w:lvlText w:val="%4."/>
      <w:lvlJc w:val="left"/>
      <w:pPr>
        <w:ind w:left="2520" w:hanging="360"/>
      </w:pPr>
    </w:lvl>
    <w:lvl w:ilvl="4" w:tplc="19A2CA18" w:tentative="1">
      <w:start w:val="1"/>
      <w:numFmt w:val="lowerLetter"/>
      <w:lvlText w:val="%5."/>
      <w:lvlJc w:val="left"/>
      <w:pPr>
        <w:ind w:left="3240" w:hanging="360"/>
      </w:pPr>
    </w:lvl>
    <w:lvl w:ilvl="5" w:tplc="B97AF954" w:tentative="1">
      <w:start w:val="1"/>
      <w:numFmt w:val="lowerRoman"/>
      <w:lvlText w:val="%6."/>
      <w:lvlJc w:val="right"/>
      <w:pPr>
        <w:ind w:left="3960" w:hanging="180"/>
      </w:pPr>
    </w:lvl>
    <w:lvl w:ilvl="6" w:tplc="AF54B138" w:tentative="1">
      <w:start w:val="1"/>
      <w:numFmt w:val="decimal"/>
      <w:lvlText w:val="%7."/>
      <w:lvlJc w:val="left"/>
      <w:pPr>
        <w:ind w:left="4680" w:hanging="360"/>
      </w:pPr>
    </w:lvl>
    <w:lvl w:ilvl="7" w:tplc="2A963260" w:tentative="1">
      <w:start w:val="1"/>
      <w:numFmt w:val="lowerLetter"/>
      <w:lvlText w:val="%8."/>
      <w:lvlJc w:val="left"/>
      <w:pPr>
        <w:ind w:left="5400" w:hanging="360"/>
      </w:pPr>
    </w:lvl>
    <w:lvl w:ilvl="8" w:tplc="DDC4502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B9"/>
    <w:rsid w:val="000D6692"/>
    <w:rsid w:val="00190E9D"/>
    <w:rsid w:val="00734C4F"/>
    <w:rsid w:val="00963726"/>
    <w:rsid w:val="00AB4B59"/>
    <w:rsid w:val="00B933B9"/>
    <w:rsid w:val="00D4465B"/>
    <w:rsid w:val="00DE368A"/>
    <w:rsid w:val="00DF4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B743E"/>
  <w15:docId w15:val="{00AA5AEC-B939-4AB8-9670-FDC2B454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JE6N4JFJXNNF-9-69033</_dlc_DocId>
    <_dlc_DocIdUrl xmlns="8b66ae41-1ec6-402e-b662-35d1932ca064">
      <Url>http://rkdhs-sb/enhet/EUKansli/_layouts/DocIdRedir.aspx?ID=JE6N4JFJXNNF-9-69033</Url>
      <Description>JE6N4JFJXNNF-9-69033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1314-F7DE-4708-852C-EA55648CDC6E}">
  <ds:schemaRefs>
    <ds:schemaRef ds:uri="http://schemas.microsoft.com/sharepoint/v3/contenttype/forms/url"/>
  </ds:schemaRefs>
</ds:datastoreItem>
</file>

<file path=customXml/itemProps2.xml><?xml version="1.0" encoding="utf-8"?>
<ds:datastoreItem xmlns:ds="http://schemas.openxmlformats.org/officeDocument/2006/customXml" ds:itemID="{4E745358-0654-47B3-A604-6DF1617C8750}">
  <ds:schemaRefs>
    <ds:schemaRef ds:uri="http://schemas.microsoft.com/sharepoint/v3/contenttype/forms"/>
  </ds:schemaRefs>
</ds:datastoreItem>
</file>

<file path=customXml/itemProps3.xml><?xml version="1.0" encoding="utf-8"?>
<ds:datastoreItem xmlns:ds="http://schemas.openxmlformats.org/officeDocument/2006/customXml" ds:itemID="{03B17808-5665-4B37-8333-BDC07BD408C1}">
  <ds:schemaRefs>
    <ds:schemaRef ds:uri="http://schemas.microsoft.com/office/2006/metadata/properties"/>
    <ds:schemaRef ds:uri="http://purl.org/dc/terms/"/>
    <ds:schemaRef ds:uri="e4c0beb7-0294-4d25-9600-346807c0961e"/>
    <ds:schemaRef ds:uri="http://schemas.microsoft.com/office/2006/documentManagement/types"/>
    <ds:schemaRef ds:uri="http://schemas.openxmlformats.org/package/2006/metadata/core-properties"/>
    <ds:schemaRef ds:uri="8b66ae41-1ec6-402e-b662-35d1932ca064"/>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908C8F-3619-4015-B2EE-6654D5634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D37E60-5513-4960-939C-A6148FADCE05}">
  <ds:schemaRefs>
    <ds:schemaRef ds:uri="http://schemas.microsoft.com/sharepoint/events"/>
  </ds:schemaRefs>
</ds:datastoreItem>
</file>

<file path=customXml/itemProps6.xml><?xml version="1.0" encoding="utf-8"?>
<ds:datastoreItem xmlns:ds="http://schemas.openxmlformats.org/officeDocument/2006/customXml" ds:itemID="{25BA69B9-14B7-484C-A031-E0413C5DC81D}">
  <ds:schemaRefs>
    <ds:schemaRef ds:uri="http://schemas.microsoft.com/office/2006/metadata/customXsn"/>
  </ds:schemaRefs>
</ds:datastoreItem>
</file>

<file path=customXml/itemProps7.xml><?xml version="1.0" encoding="utf-8"?>
<ds:datastoreItem xmlns:ds="http://schemas.openxmlformats.org/officeDocument/2006/customXml" ds:itemID="{BF9CEF0D-C0F0-42D7-840E-62CB9E21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2441</Words>
  <Characters>14259</Characters>
  <Application>Microsoft Office Word</Application>
  <DocSecurity>0</DocSecurity>
  <Lines>274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3</cp:revision>
  <dcterms:created xsi:type="dcterms:W3CDTF">2015-09-16T11:38:00Z</dcterms:created>
  <dcterms:modified xsi:type="dcterms:W3CDTF">2015-09-16T11:46:00Z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e3568aed-5885-42b8-939e-9eae848cd6c0</vt:lpwstr>
  </property>
</Properties>
</file>