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23 november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2022/23:8 Tisdagen den 15 november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2022/23:39 av Märta Stenevi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nå klimatmålen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2022/23:41 av Gunilla Svantorp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Nya stambanor i järnvägssystemet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2022:25 Miljömässig hållbarhet vid statlig upphandling – på rätt väg men långt kvar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 Riksrevisionens rapport om statens insatser mot invasiva främmande arter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461 Förslag till Europaparlamentets och rådets förordning om ändring av förordningarna (EU) 2016/424, (EU) 2016/425, (EU) 2016/426, (EU) 2019/1009 och (EU) nr 305/2011 vad gäller krisförfaranden för bedömning av överensstämmelse, antagande av gemensamma specifikationer och marknadskontroll till följd av en krissituation på den inre marknaden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februari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462 Förslag till Europaparlamentets och rådets direktiv om ändring av direktiven 2000/14/EG, 2006/42/EG, 2010/35/EU, 2013/29/EU, 2014/28/EU, 2014/29/EU, 2014/30/EU, 2014/31/EU, 2014/32/EU, 2014/33/EU, 2014/34/EU, 2014/35/EU, 2014/53/EU och 2014/68/EU vad gäller krisförfaranden för bedömning av överensstämmelse, antagande av gemensamma specifikationer och marknadskontroll till följd av en krissituation på den inre marknaden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februari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571 Förslag till Europaparlamentets och rådets förordning om datainsamling och datadelning avseende korttidsuthyrning av boende och om ändring av förordning (EU) 2018/1724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7 februari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2022/23:CU2 Ett oberoende tvistlösningsförfarande för kollektiva hyrestvister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2022/23:CU3 Bolags rörlighet över gränserna inom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2022/23:CU4 Riksrevisionens rapport om fastighetsbildningen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2022/23:KU2 En ny beteckning för kommuner på regional nivå och vissa frågor om regionindelning (vilande grundlagsförslag)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2022/23:KU8 En ny riksbankslag (vilande grundlagsförslag m.m.)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2022/23:KU9 Ett teknikneutralt krav på underskrift av regeringsbeslut (vilande grundlagsförslag)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2022/23:KU13 Ökad insyn i ägandet av radio- och tv-företag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2022/23:SfU5 Förvalsalternativet inom premiepensionen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2022/23:SfU6 Anmälan av föreskrifter om att ytterligare kategorier av fördrivna personer ska ges tillfälligt 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2022/23:KrU2 En förstärkt spelreglering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2022/23:KrU4 Riksrevisionens rapport om statens krisstöd till idrott och kultur under coronapandemin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2022/23:FiU7 Sveriges genomförande av Agenda 2030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2022/23:FiU8 Medgivande för Riksbanken att ingå avtal om lån till Internationella valutafonden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2022/23:FiU15 Samverkan mot penningtvätt och finansiering av terrorism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2022/23:SoU2 Redovisning av fördelning av medel från Allmänna arvsfonden under budgetåret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2022/23:SoU3 Vissa frågor inom hälso- och sjukvårdsområdet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23 november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2022-11-23</SAFIR_Sammantradesdatum_Doc>
    <SAFIR_SammantradeID xmlns="C07A1A6C-0B19-41D9-BDF8-F523BA3921EB">ec1d3e3e-375f-4863-9b3e-98185cfb1815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269C7-5D46-4DE1-BA18-01A5134FFC8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