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9AB24" w14:textId="77777777" w:rsidR="00FB32B9" w:rsidRDefault="00EE694C" w:rsidP="00FB32B9">
      <w:pPr>
        <w:pStyle w:val="UDrubrik"/>
        <w:tabs>
          <w:tab w:val="left" w:pos="1701"/>
          <w:tab w:val="left" w:pos="1985"/>
        </w:tabs>
        <w:rPr>
          <w:rFonts w:cs="Arial"/>
          <w:sz w:val="28"/>
        </w:rPr>
      </w:pPr>
      <w:bookmarkStart w:id="0" w:name="_GoBack"/>
      <w:bookmarkEnd w:id="0"/>
    </w:p>
    <w:p w14:paraId="08A9AB25" w14:textId="77777777" w:rsidR="00FB32B9" w:rsidRDefault="00EE694C" w:rsidP="00FB32B9">
      <w:pPr>
        <w:pStyle w:val="UDrubrik"/>
        <w:tabs>
          <w:tab w:val="left" w:pos="1701"/>
          <w:tab w:val="left" w:pos="1985"/>
        </w:tabs>
        <w:rPr>
          <w:rFonts w:cs="Arial"/>
          <w:sz w:val="28"/>
        </w:rPr>
      </w:pPr>
    </w:p>
    <w:p w14:paraId="08A9AB26" w14:textId="77777777" w:rsidR="00FB32B9" w:rsidRDefault="00EE694C" w:rsidP="00FB32B9">
      <w:pPr>
        <w:pStyle w:val="UDrubrik"/>
        <w:tabs>
          <w:tab w:val="left" w:pos="1701"/>
          <w:tab w:val="left" w:pos="1985"/>
        </w:tabs>
        <w:rPr>
          <w:rFonts w:cs="Arial"/>
          <w:sz w:val="28"/>
        </w:rPr>
      </w:pPr>
    </w:p>
    <w:p w14:paraId="08A9AB27" w14:textId="77777777" w:rsidR="00FB32B9" w:rsidRDefault="00EE694C" w:rsidP="00FB32B9">
      <w:pPr>
        <w:pStyle w:val="UDrubrik"/>
        <w:tabs>
          <w:tab w:val="left" w:pos="1701"/>
          <w:tab w:val="left" w:pos="1985"/>
        </w:tabs>
        <w:rPr>
          <w:rFonts w:cs="Arial"/>
          <w:sz w:val="28"/>
        </w:rPr>
      </w:pPr>
    </w:p>
    <w:p w14:paraId="08A9AB28" w14:textId="19837784" w:rsidR="00FB32B9" w:rsidRDefault="00E97075" w:rsidP="00FB32B9">
      <w:pPr>
        <w:pStyle w:val="UDrubrik"/>
        <w:tabs>
          <w:tab w:val="left" w:pos="1701"/>
          <w:tab w:val="left" w:pos="1985"/>
        </w:tabs>
        <w:rPr>
          <w:rFonts w:cs="Arial"/>
          <w:sz w:val="28"/>
        </w:rPr>
      </w:pPr>
      <w:r>
        <w:rPr>
          <w:rFonts w:cs="Arial"/>
          <w:sz w:val="28"/>
        </w:rPr>
        <w:t>Troliga A-punkter inför kommande rådsmöten som förväntas godkännas vid Coreper I</w:t>
      </w:r>
      <w:r w:rsidR="00B929E7">
        <w:rPr>
          <w:rFonts w:cs="Arial"/>
          <w:sz w:val="28"/>
        </w:rPr>
        <w:t xml:space="preserve"> fredagen den 20 november 2015, vecka 47.</w:t>
      </w:r>
    </w:p>
    <w:p w14:paraId="08A9AB29" w14:textId="77777777" w:rsidR="00FB32B9" w:rsidRDefault="00EE694C" w:rsidP="00FB32B9">
      <w:pPr>
        <w:pStyle w:val="Brdtext"/>
      </w:pPr>
    </w:p>
    <w:p w14:paraId="08A9AB2A" w14:textId="32D4FE2A" w:rsidR="00FB32B9" w:rsidRDefault="00E97075" w:rsidP="00FB32B9">
      <w:pPr>
        <w:pStyle w:val="Brdtext"/>
      </w:pPr>
      <w:r>
        <w:t>Överlä</w:t>
      </w:r>
      <w:r w:rsidR="00C07370">
        <w:t xml:space="preserve">mnas för skriftligt samråd till </w:t>
      </w:r>
      <w:r w:rsidR="00B929E7">
        <w:t>fredagen den 20 november 2015, kl 08.30.</w:t>
      </w:r>
    </w:p>
    <w:p w14:paraId="08A9AB2B" w14:textId="77777777" w:rsidR="00FB32B9" w:rsidRDefault="00E9707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8A9AB2C" w14:textId="77777777" w:rsidR="00D957FB" w:rsidRPr="00FB32B9" w:rsidRDefault="00E97075">
          <w:pPr>
            <w:pStyle w:val="Innehllsfrteckningsrubrik"/>
            <w:rPr>
              <w:color w:val="auto"/>
            </w:rPr>
          </w:pPr>
          <w:proofErr w:type="spellStart"/>
          <w:r w:rsidRPr="00FB32B9">
            <w:rPr>
              <w:color w:val="auto"/>
            </w:rPr>
            <w:t>Innehållsförteckning</w:t>
          </w:r>
          <w:proofErr w:type="spellEnd"/>
        </w:p>
        <w:p w14:paraId="08A9AB2D" w14:textId="77777777" w:rsidR="00DA7250" w:rsidRPr="00DA7250" w:rsidRDefault="00EE694C" w:rsidP="00DA7250">
          <w:pPr>
            <w:rPr>
              <w:lang w:val="en-US" w:eastAsia="ja-JP"/>
            </w:rPr>
          </w:pPr>
        </w:p>
        <w:p w14:paraId="57563773" w14:textId="77777777" w:rsidR="00E97075" w:rsidRDefault="00E9707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5623941" w:history="1">
            <w:r w:rsidRPr="00302799">
              <w:rPr>
                <w:rStyle w:val="Hyperlnk"/>
                <w:noProof/>
              </w:rPr>
              <w:t>1.</w:t>
            </w:r>
            <w:r>
              <w:rPr>
                <w:rFonts w:asciiTheme="minorHAnsi" w:eastAsiaTheme="minorEastAsia" w:hAnsiTheme="minorHAnsi" w:cstheme="minorBidi"/>
                <w:noProof/>
                <w:lang w:eastAsia="sv-SE"/>
              </w:rPr>
              <w:tab/>
            </w:r>
            <w:r w:rsidRPr="00302799">
              <w:rPr>
                <w:rStyle w:val="Hyperlnk"/>
                <w:noProof/>
              </w:rPr>
              <w:t>Réponses aux questions écrites posées au Conseil par des membres du Parlement européen (+)</w:t>
            </w:r>
            <w:r>
              <w:rPr>
                <w:noProof/>
                <w:webHidden/>
              </w:rPr>
              <w:tab/>
            </w:r>
            <w:r>
              <w:rPr>
                <w:noProof/>
                <w:webHidden/>
              </w:rPr>
              <w:fldChar w:fldCharType="begin"/>
            </w:r>
            <w:r>
              <w:rPr>
                <w:noProof/>
                <w:webHidden/>
              </w:rPr>
              <w:instrText xml:space="preserve"> PAGEREF _Toc435623941 \h </w:instrText>
            </w:r>
            <w:r>
              <w:rPr>
                <w:noProof/>
                <w:webHidden/>
              </w:rPr>
            </w:r>
            <w:r>
              <w:rPr>
                <w:noProof/>
                <w:webHidden/>
              </w:rPr>
              <w:fldChar w:fldCharType="separate"/>
            </w:r>
            <w:r>
              <w:rPr>
                <w:noProof/>
                <w:webHidden/>
              </w:rPr>
              <w:t>3</w:t>
            </w:r>
            <w:r>
              <w:rPr>
                <w:noProof/>
                <w:webHidden/>
              </w:rPr>
              <w:fldChar w:fldCharType="end"/>
            </w:r>
          </w:hyperlink>
        </w:p>
        <w:p w14:paraId="219A2C6B" w14:textId="77777777" w:rsidR="00E97075" w:rsidRDefault="00EE694C">
          <w:pPr>
            <w:pStyle w:val="Innehll1"/>
            <w:tabs>
              <w:tab w:val="left" w:pos="440"/>
              <w:tab w:val="right" w:leader="dot" w:pos="9062"/>
            </w:tabs>
            <w:rPr>
              <w:rFonts w:asciiTheme="minorHAnsi" w:eastAsiaTheme="minorEastAsia" w:hAnsiTheme="minorHAnsi" w:cstheme="minorBidi"/>
              <w:noProof/>
              <w:lang w:eastAsia="sv-SE"/>
            </w:rPr>
          </w:pPr>
          <w:hyperlink w:anchor="_Toc435623942" w:history="1">
            <w:r w:rsidR="00E97075" w:rsidRPr="00302799">
              <w:rPr>
                <w:rStyle w:val="Hyperlnk"/>
                <w:noProof/>
              </w:rPr>
              <w:t>2.</w:t>
            </w:r>
            <w:r w:rsidR="00E97075">
              <w:rPr>
                <w:rFonts w:asciiTheme="minorHAnsi" w:eastAsiaTheme="minorEastAsia" w:hAnsiTheme="minorHAnsi" w:cstheme="minorBidi"/>
                <w:noProof/>
                <w:lang w:eastAsia="sv-SE"/>
              </w:rPr>
              <w:tab/>
            </w:r>
            <w:r w:rsidR="00E97075" w:rsidRPr="00302799">
              <w:rPr>
                <w:rStyle w:val="Hyperlnk"/>
                <w:noProof/>
              </w:rPr>
              <w:t>Comité consultatif pour la libre circulation des travailleurs Nomination de M. Torben Dam JENSEN, membre titulaire danois, en remplacement de Mme Helle Hjort BENTZ, démissionnaire</w:t>
            </w:r>
            <w:r w:rsidR="00E97075">
              <w:rPr>
                <w:noProof/>
                <w:webHidden/>
              </w:rPr>
              <w:tab/>
            </w:r>
            <w:r w:rsidR="00E97075">
              <w:rPr>
                <w:noProof/>
                <w:webHidden/>
              </w:rPr>
              <w:fldChar w:fldCharType="begin"/>
            </w:r>
            <w:r w:rsidR="00E97075">
              <w:rPr>
                <w:noProof/>
                <w:webHidden/>
              </w:rPr>
              <w:instrText xml:space="preserve"> PAGEREF _Toc435623942 \h </w:instrText>
            </w:r>
            <w:r w:rsidR="00E97075">
              <w:rPr>
                <w:noProof/>
                <w:webHidden/>
              </w:rPr>
            </w:r>
            <w:r w:rsidR="00E97075">
              <w:rPr>
                <w:noProof/>
                <w:webHidden/>
              </w:rPr>
              <w:fldChar w:fldCharType="separate"/>
            </w:r>
            <w:r w:rsidR="00E97075">
              <w:rPr>
                <w:noProof/>
                <w:webHidden/>
              </w:rPr>
              <w:t>3</w:t>
            </w:r>
            <w:r w:rsidR="00E97075">
              <w:rPr>
                <w:noProof/>
                <w:webHidden/>
              </w:rPr>
              <w:fldChar w:fldCharType="end"/>
            </w:r>
          </w:hyperlink>
        </w:p>
        <w:p w14:paraId="32A6BF17" w14:textId="77777777" w:rsidR="00E97075" w:rsidRDefault="00EE694C">
          <w:pPr>
            <w:pStyle w:val="Innehll1"/>
            <w:tabs>
              <w:tab w:val="left" w:pos="440"/>
              <w:tab w:val="right" w:leader="dot" w:pos="9062"/>
            </w:tabs>
            <w:rPr>
              <w:rFonts w:asciiTheme="minorHAnsi" w:eastAsiaTheme="minorEastAsia" w:hAnsiTheme="minorHAnsi" w:cstheme="minorBidi"/>
              <w:noProof/>
              <w:lang w:eastAsia="sv-SE"/>
            </w:rPr>
          </w:pPr>
          <w:hyperlink w:anchor="_Toc435623943" w:history="1">
            <w:r w:rsidR="00E97075" w:rsidRPr="00302799">
              <w:rPr>
                <w:rStyle w:val="Hyperlnk"/>
                <w:noProof/>
              </w:rPr>
              <w:t>3.</w:t>
            </w:r>
            <w:r w:rsidR="00E97075">
              <w:rPr>
                <w:rFonts w:asciiTheme="minorHAnsi" w:eastAsiaTheme="minorEastAsia" w:hAnsiTheme="minorHAnsi" w:cstheme="minorBidi"/>
                <w:noProof/>
                <w:lang w:eastAsia="sv-SE"/>
              </w:rPr>
              <w:tab/>
            </w:r>
            <w:r w:rsidR="00E97075" w:rsidRPr="00302799">
              <w:rPr>
                <w:rStyle w:val="Hyperlnk"/>
                <w:noProof/>
              </w:rPr>
              <w:t>Comité consultatif pour la libre circulation des travailleurs Nomination de Mme Dorthe ANDERSEN, membre suppléant danois, en remplacement de Mme Käthe Munk ROIY, démissionnaire</w:t>
            </w:r>
            <w:r w:rsidR="00E97075">
              <w:rPr>
                <w:noProof/>
                <w:webHidden/>
              </w:rPr>
              <w:tab/>
            </w:r>
            <w:r w:rsidR="00E97075">
              <w:rPr>
                <w:noProof/>
                <w:webHidden/>
              </w:rPr>
              <w:fldChar w:fldCharType="begin"/>
            </w:r>
            <w:r w:rsidR="00E97075">
              <w:rPr>
                <w:noProof/>
                <w:webHidden/>
              </w:rPr>
              <w:instrText xml:space="preserve"> PAGEREF _Toc435623943 \h </w:instrText>
            </w:r>
            <w:r w:rsidR="00E97075">
              <w:rPr>
                <w:noProof/>
                <w:webHidden/>
              </w:rPr>
            </w:r>
            <w:r w:rsidR="00E97075">
              <w:rPr>
                <w:noProof/>
                <w:webHidden/>
              </w:rPr>
              <w:fldChar w:fldCharType="separate"/>
            </w:r>
            <w:r w:rsidR="00E97075">
              <w:rPr>
                <w:noProof/>
                <w:webHidden/>
              </w:rPr>
              <w:t>3</w:t>
            </w:r>
            <w:r w:rsidR="00E97075">
              <w:rPr>
                <w:noProof/>
                <w:webHidden/>
              </w:rPr>
              <w:fldChar w:fldCharType="end"/>
            </w:r>
          </w:hyperlink>
        </w:p>
        <w:p w14:paraId="41FDB45D" w14:textId="77777777" w:rsidR="00E97075" w:rsidRDefault="00EE694C">
          <w:pPr>
            <w:pStyle w:val="Innehll1"/>
            <w:tabs>
              <w:tab w:val="left" w:pos="440"/>
              <w:tab w:val="right" w:leader="dot" w:pos="9062"/>
            </w:tabs>
            <w:rPr>
              <w:rFonts w:asciiTheme="minorHAnsi" w:eastAsiaTheme="minorEastAsia" w:hAnsiTheme="minorHAnsi" w:cstheme="minorBidi"/>
              <w:noProof/>
              <w:lang w:eastAsia="sv-SE"/>
            </w:rPr>
          </w:pPr>
          <w:hyperlink w:anchor="_Toc435623944" w:history="1">
            <w:r w:rsidR="00E97075" w:rsidRPr="00302799">
              <w:rPr>
                <w:rStyle w:val="Hyperlnk"/>
                <w:noProof/>
              </w:rPr>
              <w:t>4.</w:t>
            </w:r>
            <w:r w:rsidR="00E97075">
              <w:rPr>
                <w:rFonts w:asciiTheme="minorHAnsi" w:eastAsiaTheme="minorEastAsia" w:hAnsiTheme="minorHAnsi" w:cstheme="minorBidi"/>
                <w:noProof/>
                <w:lang w:eastAsia="sv-SE"/>
              </w:rPr>
              <w:tab/>
            </w:r>
            <w:r w:rsidR="00E97075" w:rsidRPr="00302799">
              <w:rPr>
                <w:rStyle w:val="Hyperlnk"/>
                <w:noProof/>
              </w:rPr>
              <w:t>Conseil d'administration de l'Institut européen pour l'égalité entre les hommes et les femmes Nomination de Mme Jacqueline PRINS, membre titulaire néerlandais, en remplacement de Mme Carlien SCHEELE, démissionnaire</w:t>
            </w:r>
            <w:r w:rsidR="00E97075">
              <w:rPr>
                <w:noProof/>
                <w:webHidden/>
              </w:rPr>
              <w:tab/>
            </w:r>
            <w:r w:rsidR="00E97075">
              <w:rPr>
                <w:noProof/>
                <w:webHidden/>
              </w:rPr>
              <w:fldChar w:fldCharType="begin"/>
            </w:r>
            <w:r w:rsidR="00E97075">
              <w:rPr>
                <w:noProof/>
                <w:webHidden/>
              </w:rPr>
              <w:instrText xml:space="preserve"> PAGEREF _Toc435623944 \h </w:instrText>
            </w:r>
            <w:r w:rsidR="00E97075">
              <w:rPr>
                <w:noProof/>
                <w:webHidden/>
              </w:rPr>
            </w:r>
            <w:r w:rsidR="00E97075">
              <w:rPr>
                <w:noProof/>
                <w:webHidden/>
              </w:rPr>
              <w:fldChar w:fldCharType="separate"/>
            </w:r>
            <w:r w:rsidR="00E97075">
              <w:rPr>
                <w:noProof/>
                <w:webHidden/>
              </w:rPr>
              <w:t>4</w:t>
            </w:r>
            <w:r w:rsidR="00E97075">
              <w:rPr>
                <w:noProof/>
                <w:webHidden/>
              </w:rPr>
              <w:fldChar w:fldCharType="end"/>
            </w:r>
          </w:hyperlink>
        </w:p>
        <w:p w14:paraId="3CFD39EA" w14:textId="77777777" w:rsidR="00E97075" w:rsidRDefault="00EE694C">
          <w:pPr>
            <w:pStyle w:val="Innehll1"/>
            <w:tabs>
              <w:tab w:val="left" w:pos="440"/>
              <w:tab w:val="right" w:leader="dot" w:pos="9062"/>
            </w:tabs>
            <w:rPr>
              <w:rFonts w:asciiTheme="minorHAnsi" w:eastAsiaTheme="minorEastAsia" w:hAnsiTheme="minorHAnsi" w:cstheme="minorBidi"/>
              <w:noProof/>
              <w:lang w:eastAsia="sv-SE"/>
            </w:rPr>
          </w:pPr>
          <w:hyperlink w:anchor="_Toc435623945" w:history="1">
            <w:r w:rsidR="00E97075" w:rsidRPr="00302799">
              <w:rPr>
                <w:rStyle w:val="Hyperlnk"/>
                <w:noProof/>
              </w:rPr>
              <w:t>5.</w:t>
            </w:r>
            <w:r w:rsidR="00E97075">
              <w:rPr>
                <w:rFonts w:asciiTheme="minorHAnsi" w:eastAsiaTheme="minorEastAsia" w:hAnsiTheme="minorHAnsi" w:cstheme="minorBidi"/>
                <w:noProof/>
                <w:lang w:eastAsia="sv-SE"/>
              </w:rPr>
              <w:tab/>
            </w:r>
            <w:r w:rsidR="00E97075" w:rsidRPr="00302799">
              <w:rPr>
                <w:rStyle w:val="Hyperlnk"/>
                <w:noProof/>
              </w:rPr>
              <w:t>Règlement (UE) …/… de la Commission du XXX modifiant les annexes III et IV du règlement (CE) nº 999/2001 du Parlement européen et du Conseil fixant les règles pour la prévention, le contrôle et l’éradication de certaines encéphalopathies spongiformes transmissibles</w:t>
            </w:r>
            <w:r w:rsidR="00E97075">
              <w:rPr>
                <w:noProof/>
                <w:webHidden/>
              </w:rPr>
              <w:tab/>
            </w:r>
            <w:r w:rsidR="00E97075">
              <w:rPr>
                <w:noProof/>
                <w:webHidden/>
              </w:rPr>
              <w:fldChar w:fldCharType="begin"/>
            </w:r>
            <w:r w:rsidR="00E97075">
              <w:rPr>
                <w:noProof/>
                <w:webHidden/>
              </w:rPr>
              <w:instrText xml:space="preserve"> PAGEREF _Toc435623945 \h </w:instrText>
            </w:r>
            <w:r w:rsidR="00E97075">
              <w:rPr>
                <w:noProof/>
                <w:webHidden/>
              </w:rPr>
            </w:r>
            <w:r w:rsidR="00E97075">
              <w:rPr>
                <w:noProof/>
                <w:webHidden/>
              </w:rPr>
              <w:fldChar w:fldCharType="separate"/>
            </w:r>
            <w:r w:rsidR="00E97075">
              <w:rPr>
                <w:noProof/>
                <w:webHidden/>
              </w:rPr>
              <w:t>4</w:t>
            </w:r>
            <w:r w:rsidR="00E97075">
              <w:rPr>
                <w:noProof/>
                <w:webHidden/>
              </w:rPr>
              <w:fldChar w:fldCharType="end"/>
            </w:r>
          </w:hyperlink>
        </w:p>
        <w:p w14:paraId="59A38F96" w14:textId="77777777" w:rsidR="00E97075" w:rsidRDefault="00EE694C">
          <w:pPr>
            <w:pStyle w:val="Innehll1"/>
            <w:tabs>
              <w:tab w:val="left" w:pos="440"/>
              <w:tab w:val="right" w:leader="dot" w:pos="9062"/>
            </w:tabs>
            <w:rPr>
              <w:rFonts w:asciiTheme="minorHAnsi" w:eastAsiaTheme="minorEastAsia" w:hAnsiTheme="minorHAnsi" w:cstheme="minorBidi"/>
              <w:noProof/>
              <w:lang w:eastAsia="sv-SE"/>
            </w:rPr>
          </w:pPr>
          <w:hyperlink w:anchor="_Toc435623946" w:history="1">
            <w:r w:rsidR="00E97075" w:rsidRPr="00302799">
              <w:rPr>
                <w:rStyle w:val="Hyperlnk"/>
                <w:noProof/>
              </w:rPr>
              <w:t>6.</w:t>
            </w:r>
            <w:r w:rsidR="00E97075">
              <w:rPr>
                <w:rFonts w:asciiTheme="minorHAnsi" w:eastAsiaTheme="minorEastAsia" w:hAnsiTheme="minorHAnsi" w:cstheme="minorBidi"/>
                <w:noProof/>
                <w:lang w:eastAsia="sv-SE"/>
              </w:rPr>
              <w:tab/>
            </w:r>
            <w:r w:rsidR="00E97075" w:rsidRPr="00302799">
              <w:rPr>
                <w:rStyle w:val="Hyperlnk"/>
                <w:noProof/>
              </w:rPr>
              <w:t>Règlement (UE) …/… de la Commission du XXX modifiant les annexes II et III du règlement (CE) n° 396/2005 du Parlement européen et du Conseil en ce qui concerne les limites maximales applicables aux résidus de diéthofencarbe, de mésotrione, de metosulam et de pirimiphos-méthyl présents dans ou sur certains produits</w:t>
            </w:r>
            <w:r w:rsidR="00E97075">
              <w:rPr>
                <w:noProof/>
                <w:webHidden/>
              </w:rPr>
              <w:tab/>
            </w:r>
            <w:r w:rsidR="00E97075">
              <w:rPr>
                <w:noProof/>
                <w:webHidden/>
              </w:rPr>
              <w:fldChar w:fldCharType="begin"/>
            </w:r>
            <w:r w:rsidR="00E97075">
              <w:rPr>
                <w:noProof/>
                <w:webHidden/>
              </w:rPr>
              <w:instrText xml:space="preserve"> PAGEREF _Toc435623946 \h </w:instrText>
            </w:r>
            <w:r w:rsidR="00E97075">
              <w:rPr>
                <w:noProof/>
                <w:webHidden/>
              </w:rPr>
            </w:r>
            <w:r w:rsidR="00E97075">
              <w:rPr>
                <w:noProof/>
                <w:webHidden/>
              </w:rPr>
              <w:fldChar w:fldCharType="separate"/>
            </w:r>
            <w:r w:rsidR="00E97075">
              <w:rPr>
                <w:noProof/>
                <w:webHidden/>
              </w:rPr>
              <w:t>4</w:t>
            </w:r>
            <w:r w:rsidR="00E97075">
              <w:rPr>
                <w:noProof/>
                <w:webHidden/>
              </w:rPr>
              <w:fldChar w:fldCharType="end"/>
            </w:r>
          </w:hyperlink>
        </w:p>
        <w:p w14:paraId="72C85591" w14:textId="77777777" w:rsidR="00E97075" w:rsidRDefault="00EE694C">
          <w:pPr>
            <w:pStyle w:val="Innehll1"/>
            <w:tabs>
              <w:tab w:val="left" w:pos="440"/>
              <w:tab w:val="right" w:leader="dot" w:pos="9062"/>
            </w:tabs>
            <w:rPr>
              <w:rFonts w:asciiTheme="minorHAnsi" w:eastAsiaTheme="minorEastAsia" w:hAnsiTheme="minorHAnsi" w:cstheme="minorBidi"/>
              <w:noProof/>
              <w:lang w:eastAsia="sv-SE"/>
            </w:rPr>
          </w:pPr>
          <w:hyperlink w:anchor="_Toc435623947" w:history="1">
            <w:r w:rsidR="00E97075" w:rsidRPr="00302799">
              <w:rPr>
                <w:rStyle w:val="Hyperlnk"/>
                <w:noProof/>
              </w:rPr>
              <w:t>7.</w:t>
            </w:r>
            <w:r w:rsidR="00E97075">
              <w:rPr>
                <w:rFonts w:asciiTheme="minorHAnsi" w:eastAsiaTheme="minorEastAsia" w:hAnsiTheme="minorHAnsi" w:cstheme="minorBidi"/>
                <w:noProof/>
                <w:lang w:eastAsia="sv-SE"/>
              </w:rPr>
              <w:tab/>
            </w:r>
            <w:r w:rsidR="00E97075" w:rsidRPr="00302799">
              <w:rPr>
                <w:rStyle w:val="Hyperlnk"/>
                <w:noProof/>
              </w:rPr>
              <w:t>Règlement (UE) …/… de la Commission du XXX modifiant l’annexe III du règlement (CE) nº 396/2005 du Parlement européen et du Conseil en ce qui concerne les limites maximales applicables aux résidus d’oxadixyl et de spinetoram présents dans ou sur certains produits</w:t>
            </w:r>
            <w:r w:rsidR="00E97075">
              <w:rPr>
                <w:noProof/>
                <w:webHidden/>
              </w:rPr>
              <w:tab/>
            </w:r>
            <w:r w:rsidR="00E97075">
              <w:rPr>
                <w:noProof/>
                <w:webHidden/>
              </w:rPr>
              <w:fldChar w:fldCharType="begin"/>
            </w:r>
            <w:r w:rsidR="00E97075">
              <w:rPr>
                <w:noProof/>
                <w:webHidden/>
              </w:rPr>
              <w:instrText xml:space="preserve"> PAGEREF _Toc435623947 \h </w:instrText>
            </w:r>
            <w:r w:rsidR="00E97075">
              <w:rPr>
                <w:noProof/>
                <w:webHidden/>
              </w:rPr>
            </w:r>
            <w:r w:rsidR="00E97075">
              <w:rPr>
                <w:noProof/>
                <w:webHidden/>
              </w:rPr>
              <w:fldChar w:fldCharType="separate"/>
            </w:r>
            <w:r w:rsidR="00E97075">
              <w:rPr>
                <w:noProof/>
                <w:webHidden/>
              </w:rPr>
              <w:t>4</w:t>
            </w:r>
            <w:r w:rsidR="00E97075">
              <w:rPr>
                <w:noProof/>
                <w:webHidden/>
              </w:rPr>
              <w:fldChar w:fldCharType="end"/>
            </w:r>
          </w:hyperlink>
        </w:p>
        <w:p w14:paraId="0A8780FB" w14:textId="77777777" w:rsidR="00E97075" w:rsidRDefault="00EE694C">
          <w:pPr>
            <w:pStyle w:val="Innehll1"/>
            <w:tabs>
              <w:tab w:val="left" w:pos="440"/>
              <w:tab w:val="right" w:leader="dot" w:pos="9062"/>
            </w:tabs>
            <w:rPr>
              <w:rFonts w:asciiTheme="minorHAnsi" w:eastAsiaTheme="minorEastAsia" w:hAnsiTheme="minorHAnsi" w:cstheme="minorBidi"/>
              <w:noProof/>
              <w:lang w:eastAsia="sv-SE"/>
            </w:rPr>
          </w:pPr>
          <w:hyperlink w:anchor="_Toc435623948" w:history="1">
            <w:r w:rsidR="00E97075" w:rsidRPr="00302799">
              <w:rPr>
                <w:rStyle w:val="Hyperlnk"/>
                <w:noProof/>
              </w:rPr>
              <w:t>8.</w:t>
            </w:r>
            <w:r w:rsidR="00E97075">
              <w:rPr>
                <w:rFonts w:asciiTheme="minorHAnsi" w:eastAsiaTheme="minorEastAsia" w:hAnsiTheme="minorHAnsi" w:cstheme="minorBidi"/>
                <w:noProof/>
                <w:lang w:eastAsia="sv-SE"/>
              </w:rPr>
              <w:tab/>
            </w:r>
            <w:r w:rsidR="00E97075" w:rsidRPr="00302799">
              <w:rPr>
                <w:rStyle w:val="Hyperlnk"/>
                <w:noProof/>
              </w:rPr>
              <w:t>Règlement délégué (UE) …/... de la Commission du 22.10.2015 établissant un plan de rejets pour certaines pêcheries démersales dans la mer du Nord et dans les eaux de l'Union de la division CIEM II a</w:t>
            </w:r>
            <w:r w:rsidR="00E97075">
              <w:rPr>
                <w:noProof/>
                <w:webHidden/>
              </w:rPr>
              <w:tab/>
            </w:r>
            <w:r w:rsidR="00E97075">
              <w:rPr>
                <w:noProof/>
                <w:webHidden/>
              </w:rPr>
              <w:fldChar w:fldCharType="begin"/>
            </w:r>
            <w:r w:rsidR="00E97075">
              <w:rPr>
                <w:noProof/>
                <w:webHidden/>
              </w:rPr>
              <w:instrText xml:space="preserve"> PAGEREF _Toc435623948 \h </w:instrText>
            </w:r>
            <w:r w:rsidR="00E97075">
              <w:rPr>
                <w:noProof/>
                <w:webHidden/>
              </w:rPr>
            </w:r>
            <w:r w:rsidR="00E97075">
              <w:rPr>
                <w:noProof/>
                <w:webHidden/>
              </w:rPr>
              <w:fldChar w:fldCharType="separate"/>
            </w:r>
            <w:r w:rsidR="00E97075">
              <w:rPr>
                <w:noProof/>
                <w:webHidden/>
              </w:rPr>
              <w:t>5</w:t>
            </w:r>
            <w:r w:rsidR="00E97075">
              <w:rPr>
                <w:noProof/>
                <w:webHidden/>
              </w:rPr>
              <w:fldChar w:fldCharType="end"/>
            </w:r>
          </w:hyperlink>
        </w:p>
        <w:p w14:paraId="0B6BE6D7" w14:textId="77777777" w:rsidR="00E97075" w:rsidRDefault="00EE694C">
          <w:pPr>
            <w:pStyle w:val="Innehll1"/>
            <w:tabs>
              <w:tab w:val="left" w:pos="440"/>
              <w:tab w:val="right" w:leader="dot" w:pos="9062"/>
            </w:tabs>
            <w:rPr>
              <w:rFonts w:asciiTheme="minorHAnsi" w:eastAsiaTheme="minorEastAsia" w:hAnsiTheme="minorHAnsi" w:cstheme="minorBidi"/>
              <w:noProof/>
              <w:lang w:eastAsia="sv-SE"/>
            </w:rPr>
          </w:pPr>
          <w:hyperlink w:anchor="_Toc435623949" w:history="1">
            <w:r w:rsidR="00E97075" w:rsidRPr="00302799">
              <w:rPr>
                <w:rStyle w:val="Hyperlnk"/>
                <w:noProof/>
              </w:rPr>
              <w:t>9.</w:t>
            </w:r>
            <w:r w:rsidR="00E97075">
              <w:rPr>
                <w:rFonts w:asciiTheme="minorHAnsi" w:eastAsiaTheme="minorEastAsia" w:hAnsiTheme="minorHAnsi" w:cstheme="minorBidi"/>
                <w:noProof/>
                <w:lang w:eastAsia="sv-SE"/>
              </w:rPr>
              <w:tab/>
            </w:r>
            <w:r w:rsidR="00E97075" w:rsidRPr="00302799">
              <w:rPr>
                <w:rStyle w:val="Hyperlnk"/>
                <w:noProof/>
              </w:rPr>
              <w:t>Règlement délégué (UE) …/... de la Commission du 29.9.2015 modifiant l’annexe I du règlement (UE) n° 649/2012 du Parlement européen et du Conseil concernant les exportations et importations de produits chimiques dangereux</w:t>
            </w:r>
            <w:r w:rsidR="00E97075">
              <w:rPr>
                <w:noProof/>
                <w:webHidden/>
              </w:rPr>
              <w:tab/>
            </w:r>
            <w:r w:rsidR="00E97075">
              <w:rPr>
                <w:noProof/>
                <w:webHidden/>
              </w:rPr>
              <w:fldChar w:fldCharType="begin"/>
            </w:r>
            <w:r w:rsidR="00E97075">
              <w:rPr>
                <w:noProof/>
                <w:webHidden/>
              </w:rPr>
              <w:instrText xml:space="preserve"> PAGEREF _Toc435623949 \h </w:instrText>
            </w:r>
            <w:r w:rsidR="00E97075">
              <w:rPr>
                <w:noProof/>
                <w:webHidden/>
              </w:rPr>
            </w:r>
            <w:r w:rsidR="00E97075">
              <w:rPr>
                <w:noProof/>
                <w:webHidden/>
              </w:rPr>
              <w:fldChar w:fldCharType="separate"/>
            </w:r>
            <w:r w:rsidR="00E97075">
              <w:rPr>
                <w:noProof/>
                <w:webHidden/>
              </w:rPr>
              <w:t>5</w:t>
            </w:r>
            <w:r w:rsidR="00E97075">
              <w:rPr>
                <w:noProof/>
                <w:webHidden/>
              </w:rPr>
              <w:fldChar w:fldCharType="end"/>
            </w:r>
          </w:hyperlink>
        </w:p>
        <w:p w14:paraId="45838EC9" w14:textId="77777777" w:rsidR="00E97075" w:rsidRDefault="00EE694C">
          <w:pPr>
            <w:pStyle w:val="Innehll1"/>
            <w:tabs>
              <w:tab w:val="left" w:pos="660"/>
              <w:tab w:val="right" w:leader="dot" w:pos="9062"/>
            </w:tabs>
            <w:rPr>
              <w:rFonts w:asciiTheme="minorHAnsi" w:eastAsiaTheme="minorEastAsia" w:hAnsiTheme="minorHAnsi" w:cstheme="minorBidi"/>
              <w:noProof/>
              <w:lang w:eastAsia="sv-SE"/>
            </w:rPr>
          </w:pPr>
          <w:hyperlink w:anchor="_Toc435623950" w:history="1">
            <w:r w:rsidR="00E97075" w:rsidRPr="00302799">
              <w:rPr>
                <w:rStyle w:val="Hyperlnk"/>
                <w:noProof/>
              </w:rPr>
              <w:t>10.</w:t>
            </w:r>
            <w:r w:rsidR="00E97075">
              <w:rPr>
                <w:rFonts w:asciiTheme="minorHAnsi" w:eastAsiaTheme="minorEastAsia" w:hAnsiTheme="minorHAnsi" w:cstheme="minorBidi"/>
                <w:noProof/>
                <w:lang w:eastAsia="sv-SE"/>
              </w:rPr>
              <w:tab/>
            </w:r>
            <w:r w:rsidR="00E97075" w:rsidRPr="00302799">
              <w:rPr>
                <w:rStyle w:val="Hyperlnk"/>
                <w:noProof/>
              </w:rPr>
              <w:t>Projet de décision du Conseil relative à la position à adopter, au nom de l’Union européenne, au sein du comité européen pour l’élaboration de standards dans le domaine de la navigation intérieure (CESNI) et lors de la session plénière de la Commission centrale pour la navigation du Rhin (CCNR) sur l’adoption d’une norme relative aux prescriptions techniques des bateaux de la navigation intérieure</w:t>
            </w:r>
            <w:r w:rsidR="00E97075">
              <w:rPr>
                <w:noProof/>
                <w:webHidden/>
              </w:rPr>
              <w:tab/>
            </w:r>
            <w:r w:rsidR="00E97075">
              <w:rPr>
                <w:noProof/>
                <w:webHidden/>
              </w:rPr>
              <w:fldChar w:fldCharType="begin"/>
            </w:r>
            <w:r w:rsidR="00E97075">
              <w:rPr>
                <w:noProof/>
                <w:webHidden/>
              </w:rPr>
              <w:instrText xml:space="preserve"> PAGEREF _Toc435623950 \h </w:instrText>
            </w:r>
            <w:r w:rsidR="00E97075">
              <w:rPr>
                <w:noProof/>
                <w:webHidden/>
              </w:rPr>
            </w:r>
            <w:r w:rsidR="00E97075">
              <w:rPr>
                <w:noProof/>
                <w:webHidden/>
              </w:rPr>
              <w:fldChar w:fldCharType="separate"/>
            </w:r>
            <w:r w:rsidR="00E97075">
              <w:rPr>
                <w:noProof/>
                <w:webHidden/>
              </w:rPr>
              <w:t>6</w:t>
            </w:r>
            <w:r w:rsidR="00E97075">
              <w:rPr>
                <w:noProof/>
                <w:webHidden/>
              </w:rPr>
              <w:fldChar w:fldCharType="end"/>
            </w:r>
          </w:hyperlink>
        </w:p>
        <w:p w14:paraId="63099633" w14:textId="77777777" w:rsidR="00E97075" w:rsidRDefault="00EE694C">
          <w:pPr>
            <w:pStyle w:val="Innehll1"/>
            <w:tabs>
              <w:tab w:val="left" w:pos="660"/>
              <w:tab w:val="right" w:leader="dot" w:pos="9062"/>
            </w:tabs>
            <w:rPr>
              <w:rFonts w:asciiTheme="minorHAnsi" w:eastAsiaTheme="minorEastAsia" w:hAnsiTheme="minorHAnsi" w:cstheme="minorBidi"/>
              <w:noProof/>
              <w:lang w:eastAsia="sv-SE"/>
            </w:rPr>
          </w:pPr>
          <w:hyperlink w:anchor="_Toc435623951" w:history="1">
            <w:r w:rsidR="00E97075" w:rsidRPr="00302799">
              <w:rPr>
                <w:rStyle w:val="Hyperlnk"/>
                <w:noProof/>
              </w:rPr>
              <w:t>11.</w:t>
            </w:r>
            <w:r w:rsidR="00E97075">
              <w:rPr>
                <w:rFonts w:asciiTheme="minorHAnsi" w:eastAsiaTheme="minorEastAsia" w:hAnsiTheme="minorHAnsi" w:cstheme="minorBidi"/>
                <w:noProof/>
                <w:lang w:eastAsia="sv-SE"/>
              </w:rPr>
              <w:tab/>
            </w:r>
            <w:r w:rsidR="00E97075" w:rsidRPr="00302799">
              <w:rPr>
                <w:rStyle w:val="Hyperlnk"/>
                <w:noProof/>
              </w:rPr>
              <w:t>Projet de décision du Parlement européen et du Conseil établissant un programme concernant des solutions d'interopérabilité pour les administrations publiques, les entreprises et les particuliers en Europe (ISA2) L'interopérabilité comme moyen de moderniser le secteur public (première lecture) (AL + D)</w:t>
            </w:r>
            <w:r w:rsidR="00E97075">
              <w:rPr>
                <w:noProof/>
                <w:webHidden/>
              </w:rPr>
              <w:tab/>
            </w:r>
            <w:r w:rsidR="00E97075">
              <w:rPr>
                <w:noProof/>
                <w:webHidden/>
              </w:rPr>
              <w:fldChar w:fldCharType="begin"/>
            </w:r>
            <w:r w:rsidR="00E97075">
              <w:rPr>
                <w:noProof/>
                <w:webHidden/>
              </w:rPr>
              <w:instrText xml:space="preserve"> PAGEREF _Toc435623951 \h </w:instrText>
            </w:r>
            <w:r w:rsidR="00E97075">
              <w:rPr>
                <w:noProof/>
                <w:webHidden/>
              </w:rPr>
            </w:r>
            <w:r w:rsidR="00E97075">
              <w:rPr>
                <w:noProof/>
                <w:webHidden/>
              </w:rPr>
              <w:fldChar w:fldCharType="separate"/>
            </w:r>
            <w:r w:rsidR="00E97075">
              <w:rPr>
                <w:noProof/>
                <w:webHidden/>
              </w:rPr>
              <w:t>7</w:t>
            </w:r>
            <w:r w:rsidR="00E97075">
              <w:rPr>
                <w:noProof/>
                <w:webHidden/>
              </w:rPr>
              <w:fldChar w:fldCharType="end"/>
            </w:r>
          </w:hyperlink>
        </w:p>
        <w:p w14:paraId="08A9AB3A" w14:textId="77777777" w:rsidR="00D957FB" w:rsidRDefault="00E97075">
          <w:r>
            <w:rPr>
              <w:b/>
              <w:bCs/>
              <w:noProof/>
            </w:rPr>
            <w:fldChar w:fldCharType="end"/>
          </w:r>
        </w:p>
      </w:sdtContent>
    </w:sdt>
    <w:p w14:paraId="08A9AB3B" w14:textId="77777777" w:rsidR="00D957FB" w:rsidRDefault="00E97075">
      <w:pPr>
        <w:ind w:left="0"/>
      </w:pPr>
      <w:r>
        <w:br w:type="page"/>
      </w:r>
    </w:p>
    <w:p w14:paraId="08A9AB3C" w14:textId="77777777" w:rsidR="00643D86" w:rsidRDefault="00EE694C" w:rsidP="00643D86">
      <w:pPr>
        <w:pStyle w:val="Rubrik1"/>
        <w:numPr>
          <w:ilvl w:val="0"/>
          <w:numId w:val="0"/>
        </w:numPr>
      </w:pPr>
      <w:bookmarkStart w:id="1" w:name="_Toc364854645"/>
    </w:p>
    <w:p w14:paraId="08A9AB3D" w14:textId="77777777" w:rsidR="00643D86" w:rsidRDefault="00E97075" w:rsidP="00643D86">
      <w:pPr>
        <w:pStyle w:val="Rubrik1"/>
      </w:pPr>
      <w:bookmarkStart w:id="2" w:name="_Toc435623941"/>
      <w:r>
        <w:rPr>
          <w:noProof/>
        </w:rPr>
        <w:t>Réponses aux questions écrites posées au Conseil par des membres du Parlement européen (+)</w:t>
      </w:r>
      <w:bookmarkEnd w:id="2"/>
    </w:p>
    <w:p w14:paraId="08A9AB3E" w14:textId="52B3B087" w:rsidR="00643D86" w:rsidRDefault="00E97075" w:rsidP="00643D86">
      <w:pPr>
        <w:rPr>
          <w:lang w:val="en-US"/>
        </w:rPr>
      </w:pPr>
      <w:r>
        <w:rPr>
          <w:noProof/>
          <w:lang w:val="en-US"/>
        </w:rPr>
        <w:t>a</w:t>
      </w:r>
      <w:r>
        <w:rPr>
          <w:lang w:val="en-US"/>
        </w:rPr>
        <w:t xml:space="preserve">)E-009338/2015 - Charles </w:t>
      </w:r>
      <w:proofErr w:type="spellStart"/>
      <w:r>
        <w:rPr>
          <w:lang w:val="en-US"/>
        </w:rPr>
        <w:t>Tannock</w:t>
      </w:r>
      <w:proofErr w:type="spellEnd"/>
      <w:r>
        <w:rPr>
          <w:lang w:val="en-US"/>
        </w:rPr>
        <w:t xml:space="preserve"> (ECR) South China Sea Peace Initiative </w:t>
      </w:r>
      <w:r w:rsidR="00B929E7">
        <w:rPr>
          <w:lang w:val="en-US"/>
        </w:rPr>
        <w:br/>
      </w:r>
      <w:r>
        <w:rPr>
          <w:lang w:val="en-US"/>
        </w:rPr>
        <w:t>b)E-011050/2015 - Pablo Iglesias (GUE/NGL) Council conclusions on Burundi</w:t>
      </w:r>
      <w:r w:rsidR="00B929E7">
        <w:rPr>
          <w:lang w:val="en-US"/>
        </w:rPr>
        <w:br/>
      </w:r>
      <w:r>
        <w:rPr>
          <w:lang w:val="en-US"/>
        </w:rPr>
        <w:t xml:space="preserve">c)E-011310/2015 - </w:t>
      </w:r>
      <w:proofErr w:type="spellStart"/>
      <w:r>
        <w:rPr>
          <w:lang w:val="en-US"/>
        </w:rPr>
        <w:t>Joëlle</w:t>
      </w:r>
      <w:proofErr w:type="spellEnd"/>
      <w:r>
        <w:rPr>
          <w:lang w:val="en-US"/>
        </w:rPr>
        <w:t xml:space="preserve"> Bergeron (EFDD)The closure of Salafi mosques in Europe </w:t>
      </w:r>
      <w:r w:rsidR="00B929E7">
        <w:rPr>
          <w:lang w:val="en-US"/>
        </w:rPr>
        <w:br/>
      </w:r>
      <w:r>
        <w:rPr>
          <w:lang w:val="en-US"/>
        </w:rPr>
        <w:t>d)E-011684/2015 - Afzal Khan (</w:t>
      </w:r>
      <w:proofErr w:type="spellStart"/>
      <w:r>
        <w:rPr>
          <w:lang w:val="en-US"/>
        </w:rPr>
        <w:t>S&amp;amp;D</w:t>
      </w:r>
      <w:proofErr w:type="spellEnd"/>
      <w:r>
        <w:rPr>
          <w:lang w:val="en-US"/>
        </w:rPr>
        <w:t xml:space="preserve">)European Court of Human Rights ruling on Azerbaijani refugees </w:t>
      </w:r>
      <w:r w:rsidR="00B929E7">
        <w:rPr>
          <w:lang w:val="en-US"/>
        </w:rPr>
        <w:br/>
      </w:r>
      <w:r>
        <w:rPr>
          <w:lang w:val="en-US"/>
        </w:rPr>
        <w:t xml:space="preserve">e)E-011970/2015 - Nadine </w:t>
      </w:r>
      <w:proofErr w:type="spellStart"/>
      <w:r>
        <w:rPr>
          <w:lang w:val="en-US"/>
        </w:rPr>
        <w:t>Morano</w:t>
      </w:r>
      <w:proofErr w:type="spellEnd"/>
      <w:r>
        <w:rPr>
          <w:lang w:val="en-US"/>
        </w:rPr>
        <w:t xml:space="preserve"> (PPE)Proposal for a directive on a Passenger Name Record (PNR) system </w:t>
      </w:r>
      <w:r w:rsidR="00B929E7">
        <w:rPr>
          <w:lang w:val="en-US"/>
        </w:rPr>
        <w:br/>
      </w:r>
      <w:r>
        <w:rPr>
          <w:lang w:val="en-US"/>
        </w:rPr>
        <w:t xml:space="preserve">f)P-012505/2015 - Marisa Matias (GUE/NGL)Stranding of migrants and refugees in Hungary </w:t>
      </w:r>
      <w:r w:rsidR="00B929E7">
        <w:rPr>
          <w:lang w:val="en-US"/>
        </w:rPr>
        <w:br/>
      </w:r>
      <w:r>
        <w:rPr>
          <w:lang w:val="en-US"/>
        </w:rPr>
        <w:t xml:space="preserve">g)E-012719/2015 - </w:t>
      </w:r>
      <w:proofErr w:type="spellStart"/>
      <w:r>
        <w:rPr>
          <w:lang w:val="en-US"/>
        </w:rPr>
        <w:t>Vilija</w:t>
      </w:r>
      <w:proofErr w:type="spellEnd"/>
      <w:r>
        <w:rPr>
          <w:lang w:val="en-US"/>
        </w:rPr>
        <w:t xml:space="preserve"> </w:t>
      </w:r>
      <w:proofErr w:type="spellStart"/>
      <w:r>
        <w:rPr>
          <w:lang w:val="en-US"/>
        </w:rPr>
        <w:t>Blinkevičiūtė</w:t>
      </w:r>
      <w:proofErr w:type="spellEnd"/>
      <w:r>
        <w:rPr>
          <w:lang w:val="en-US"/>
        </w:rPr>
        <w:t xml:space="preserve"> (</w:t>
      </w:r>
      <w:proofErr w:type="spellStart"/>
      <w:r>
        <w:rPr>
          <w:lang w:val="en-US"/>
        </w:rPr>
        <w:t>S&amp;amp;D</w:t>
      </w:r>
      <w:proofErr w:type="spellEnd"/>
      <w:r>
        <w:rPr>
          <w:lang w:val="en-US"/>
        </w:rPr>
        <w:t xml:space="preserve">)Taking better account of students' linguistic diversity </w:t>
      </w:r>
      <w:r w:rsidR="00B929E7">
        <w:rPr>
          <w:lang w:val="en-US"/>
        </w:rPr>
        <w:br/>
      </w:r>
      <w:r>
        <w:rPr>
          <w:lang w:val="en-US"/>
        </w:rPr>
        <w:t xml:space="preserve">h)E-012770/2015 - </w:t>
      </w:r>
      <w:proofErr w:type="spellStart"/>
      <w:r>
        <w:rPr>
          <w:lang w:val="en-US"/>
        </w:rPr>
        <w:t>Joëlle</w:t>
      </w:r>
      <w:proofErr w:type="spellEnd"/>
      <w:r>
        <w:rPr>
          <w:lang w:val="en-US"/>
        </w:rPr>
        <w:t xml:space="preserve"> Bergeron (EFDD)Obligation for refugees to remain in their assigned host countries </w:t>
      </w:r>
      <w:r>
        <w:rPr>
          <w:lang w:val="en-US"/>
        </w:rPr>
        <w:br/>
      </w:r>
      <w:r>
        <w:rPr>
          <w:noProof/>
          <w:lang w:val="en-US"/>
        </w:rPr>
        <w:t>13412</w:t>
      </w:r>
      <w:r>
        <w:rPr>
          <w:lang w:val="en-US"/>
        </w:rPr>
        <w:t xml:space="preserve">/15 PE-QE 534 13251/15 PE-QE 524 13387/15 PE-QE 529 13252/15 PE-QE 525 13413/15 PE-QE 535 13389/15 PE-QE 531 13225/15 PE-QE 523 13391/15 PE-QE 533 </w:t>
      </w:r>
    </w:p>
    <w:p w14:paraId="08A9AB3F" w14:textId="77777777" w:rsidR="00643D86" w:rsidRDefault="00E97075" w:rsidP="00643D86">
      <w:r>
        <w:rPr>
          <w:b/>
        </w:rPr>
        <w:t>Ansvarigt statsråd</w:t>
      </w:r>
      <w:r>
        <w:rPr>
          <w:b/>
        </w:rPr>
        <w:br/>
      </w:r>
      <w:r>
        <w:rPr>
          <w:noProof/>
        </w:rPr>
        <w:t>Stefan Löfven</w:t>
      </w:r>
    </w:p>
    <w:p w14:paraId="08A9AB42" w14:textId="77777777" w:rsidR="00643D86" w:rsidRDefault="00E97075" w:rsidP="00643D86">
      <w:r w:rsidRPr="00B44CE2">
        <w:rPr>
          <w:b/>
        </w:rPr>
        <w:t>Annotering</w:t>
      </w:r>
      <w:r>
        <w:rPr>
          <w:b/>
        </w:rPr>
        <w:br/>
      </w:r>
      <w:r>
        <w:t>Föranleder ingen annotering.</w:t>
      </w:r>
    </w:p>
    <w:p w14:paraId="08A9AB49" w14:textId="77777777" w:rsidR="00643D86" w:rsidRDefault="00E97075" w:rsidP="00643D86">
      <w:pPr>
        <w:pStyle w:val="Rubrik1"/>
      </w:pPr>
      <w:bookmarkStart w:id="3" w:name="_Toc435623942"/>
      <w:r>
        <w:rPr>
          <w:noProof/>
        </w:rPr>
        <w:t>Comité consultatif pour la libre circulation des travailleurs</w:t>
      </w:r>
      <w:r>
        <w:rPr>
          <w:noProof/>
        </w:rPr>
        <w:br/>
        <w:t>Nomination de M. Torben Dam JENSEN, membre titulaire danois, en remplacement de Mme Helle Hjort BENTZ, démissionnaire</w:t>
      </w:r>
      <w:bookmarkEnd w:id="3"/>
    </w:p>
    <w:p w14:paraId="08A9AB4A" w14:textId="617C9891" w:rsidR="00643D86" w:rsidRDefault="00E97075" w:rsidP="00643D86">
      <w:pPr>
        <w:rPr>
          <w:lang w:val="en-US"/>
        </w:rPr>
      </w:pPr>
      <w:r>
        <w:rPr>
          <w:noProof/>
          <w:lang w:val="en-US"/>
        </w:rPr>
        <w:t>–</w:t>
      </w:r>
      <w:r>
        <w:rPr>
          <w:lang w:val="en-US"/>
        </w:rPr>
        <w:t>Adoption</w:t>
      </w:r>
      <w:r w:rsidR="00B929E7">
        <w:rPr>
          <w:lang w:val="en-US"/>
        </w:rPr>
        <w:br/>
      </w:r>
      <w:r>
        <w:rPr>
          <w:noProof/>
          <w:lang w:val="en-US"/>
        </w:rPr>
        <w:t>13920</w:t>
      </w:r>
      <w:r>
        <w:rPr>
          <w:lang w:val="en-US"/>
        </w:rPr>
        <w:t>/15 SOC 651 EMPL 427</w:t>
      </w:r>
    </w:p>
    <w:p w14:paraId="08A9AB4B" w14:textId="77777777" w:rsidR="00643D86" w:rsidRDefault="00E97075" w:rsidP="00643D86">
      <w:r>
        <w:rPr>
          <w:b/>
        </w:rPr>
        <w:t>Ansvarigt statsråd</w:t>
      </w:r>
      <w:r>
        <w:rPr>
          <w:b/>
        </w:rPr>
        <w:br/>
      </w:r>
      <w:r>
        <w:rPr>
          <w:noProof/>
        </w:rPr>
        <w:t>Ylva Johansson</w:t>
      </w:r>
    </w:p>
    <w:p w14:paraId="08A9AB4E" w14:textId="77777777" w:rsidR="00643D86" w:rsidRDefault="00E97075" w:rsidP="00643D86">
      <w:r w:rsidRPr="00B44CE2">
        <w:rPr>
          <w:b/>
        </w:rPr>
        <w:t>Annotering</w:t>
      </w:r>
      <w:r>
        <w:rPr>
          <w:b/>
        </w:rPr>
        <w:br/>
      </w:r>
      <w:r>
        <w:t>Föranleder ingen annotering.</w:t>
      </w:r>
    </w:p>
    <w:p w14:paraId="08A9AB4F" w14:textId="77777777" w:rsidR="00643D86" w:rsidRDefault="00E97075" w:rsidP="00643D86">
      <w:pPr>
        <w:pStyle w:val="Rubrik1"/>
      </w:pPr>
      <w:bookmarkStart w:id="4" w:name="_Toc435623943"/>
      <w:r>
        <w:rPr>
          <w:noProof/>
        </w:rPr>
        <w:t>Comité consultatif pour la libre circulation des travailleurs</w:t>
      </w:r>
      <w:r>
        <w:rPr>
          <w:noProof/>
        </w:rPr>
        <w:br/>
        <w:t>Nomination de Mme Dorthe ANDERSEN, membre suppléant danois, en remplacement de Mme Käthe Munk ROIY, démissionnaire</w:t>
      </w:r>
      <w:bookmarkEnd w:id="4"/>
    </w:p>
    <w:p w14:paraId="08A9AB50" w14:textId="25FC5147" w:rsidR="00643D86" w:rsidRDefault="00E97075" w:rsidP="00643D86">
      <w:pPr>
        <w:rPr>
          <w:lang w:val="en-US"/>
        </w:rPr>
      </w:pPr>
      <w:r>
        <w:rPr>
          <w:noProof/>
          <w:lang w:val="en-US"/>
        </w:rPr>
        <w:t>–</w:t>
      </w:r>
      <w:r>
        <w:rPr>
          <w:lang w:val="en-US"/>
        </w:rPr>
        <w:t>Adoption</w:t>
      </w:r>
      <w:r w:rsidR="00B929E7">
        <w:rPr>
          <w:lang w:val="en-US"/>
        </w:rPr>
        <w:br/>
      </w:r>
      <w:r>
        <w:rPr>
          <w:noProof/>
          <w:lang w:val="en-US"/>
        </w:rPr>
        <w:t>13921</w:t>
      </w:r>
      <w:r>
        <w:rPr>
          <w:lang w:val="en-US"/>
        </w:rPr>
        <w:t>/1/15 SOC 652 EMPL 428 REV 1</w:t>
      </w:r>
    </w:p>
    <w:p w14:paraId="08A9AB51" w14:textId="77777777" w:rsidR="00643D86" w:rsidRDefault="00E97075" w:rsidP="00643D86">
      <w:r>
        <w:rPr>
          <w:b/>
        </w:rPr>
        <w:t>Ansvarigt statsråd</w:t>
      </w:r>
      <w:r>
        <w:rPr>
          <w:b/>
        </w:rPr>
        <w:br/>
      </w:r>
      <w:r>
        <w:rPr>
          <w:noProof/>
        </w:rPr>
        <w:t>Ylva Johansson</w:t>
      </w:r>
    </w:p>
    <w:p w14:paraId="08A9AB54" w14:textId="77777777" w:rsidR="00643D86" w:rsidRDefault="00E97075" w:rsidP="00643D86">
      <w:r w:rsidRPr="00B44CE2">
        <w:rPr>
          <w:b/>
        </w:rPr>
        <w:t>Annotering</w:t>
      </w:r>
      <w:r>
        <w:rPr>
          <w:b/>
        </w:rPr>
        <w:br/>
      </w:r>
      <w:r>
        <w:t>Föranleder ingen annotering.</w:t>
      </w:r>
    </w:p>
    <w:p w14:paraId="08A9AB55" w14:textId="77777777" w:rsidR="00643D86" w:rsidRDefault="00E97075" w:rsidP="00643D86">
      <w:pPr>
        <w:pStyle w:val="Rubrik1"/>
      </w:pPr>
      <w:bookmarkStart w:id="5" w:name="_Toc435623944"/>
      <w:r>
        <w:rPr>
          <w:noProof/>
        </w:rPr>
        <w:lastRenderedPageBreak/>
        <w:t>Conseil d'administration de l'Institut européen pour l'égalité entre les hommes et les femmes</w:t>
      </w:r>
      <w:r>
        <w:rPr>
          <w:noProof/>
        </w:rPr>
        <w:br/>
        <w:t>Nomination de Mme Jacqueline PRINS, membre titulaire néerlandais, en remplacement de Mme Carlien SCHEELE, démissionnaire</w:t>
      </w:r>
      <w:bookmarkEnd w:id="5"/>
    </w:p>
    <w:p w14:paraId="08A9AB56" w14:textId="7179CC88" w:rsidR="00643D86" w:rsidRDefault="00E97075" w:rsidP="00643D86">
      <w:pPr>
        <w:rPr>
          <w:lang w:val="en-US"/>
        </w:rPr>
      </w:pPr>
      <w:r>
        <w:rPr>
          <w:noProof/>
          <w:lang w:val="en-US"/>
        </w:rPr>
        <w:t>–</w:t>
      </w:r>
      <w:r>
        <w:rPr>
          <w:lang w:val="en-US"/>
        </w:rPr>
        <w:t>Adoption</w:t>
      </w:r>
      <w:r w:rsidR="00B929E7">
        <w:rPr>
          <w:lang w:val="en-US"/>
        </w:rPr>
        <w:br/>
      </w:r>
      <w:r>
        <w:rPr>
          <w:noProof/>
          <w:lang w:val="en-US"/>
        </w:rPr>
        <w:t>13935</w:t>
      </w:r>
      <w:r>
        <w:rPr>
          <w:lang w:val="en-US"/>
        </w:rPr>
        <w:t>/15 SOC 653 EMPL 429</w:t>
      </w:r>
    </w:p>
    <w:p w14:paraId="08A9AB57" w14:textId="100827D9" w:rsidR="00643D86" w:rsidRDefault="00E97075" w:rsidP="00643D86">
      <w:r>
        <w:rPr>
          <w:b/>
        </w:rPr>
        <w:t>Ansvarigt statsråd</w:t>
      </w:r>
      <w:r>
        <w:rPr>
          <w:b/>
        </w:rPr>
        <w:br/>
      </w:r>
      <w:r>
        <w:rPr>
          <w:noProof/>
        </w:rPr>
        <w:t>Åsa Regnér</w:t>
      </w:r>
    </w:p>
    <w:p w14:paraId="08A9AB5A" w14:textId="77777777" w:rsidR="00643D86" w:rsidRDefault="00E97075" w:rsidP="00643D86">
      <w:r w:rsidRPr="00B44CE2">
        <w:rPr>
          <w:b/>
        </w:rPr>
        <w:t>Annotering</w:t>
      </w:r>
      <w:r>
        <w:rPr>
          <w:b/>
        </w:rPr>
        <w:br/>
      </w:r>
      <w:r>
        <w:t>Föranleder ingen annotering.</w:t>
      </w:r>
    </w:p>
    <w:p w14:paraId="08A9AB5B" w14:textId="77777777" w:rsidR="00643D86" w:rsidRDefault="00E97075" w:rsidP="00643D86">
      <w:pPr>
        <w:pStyle w:val="Rubrik1"/>
      </w:pPr>
      <w:bookmarkStart w:id="6" w:name="_Toc435623945"/>
      <w:r>
        <w:rPr>
          <w:noProof/>
        </w:rPr>
        <w:t>Règlement (UE) …/… de la Commission du XXX modifiant les annexes III et IV du règlement (CE) nº 999/2001 du Parlement européen et du Conseil fixant les règles pour la prévention, le contrôle et l’éradication de certaines encéphalopathies spongiformes transmissibles</w:t>
      </w:r>
      <w:bookmarkEnd w:id="6"/>
    </w:p>
    <w:p w14:paraId="08A9AB5C" w14:textId="65CC62A6" w:rsidR="00643D86" w:rsidRDefault="00E97075" w:rsidP="00643D86">
      <w:pPr>
        <w:rPr>
          <w:lang w:val="en-US"/>
        </w:rPr>
      </w:pPr>
      <w:r>
        <w:rPr>
          <w:noProof/>
          <w:lang w:val="en-US"/>
        </w:rPr>
        <w:t>–</w:t>
      </w:r>
      <w:proofErr w:type="spellStart"/>
      <w:r>
        <w:rPr>
          <w:lang w:val="en-US"/>
        </w:rPr>
        <w:t>Décision</w:t>
      </w:r>
      <w:proofErr w:type="spellEnd"/>
      <w:r>
        <w:rPr>
          <w:lang w:val="en-US"/>
        </w:rPr>
        <w:t xml:space="preserve"> de ne pas </w:t>
      </w:r>
      <w:proofErr w:type="spellStart"/>
      <w:r>
        <w:rPr>
          <w:lang w:val="en-US"/>
        </w:rPr>
        <w:t>s'opposer</w:t>
      </w:r>
      <w:proofErr w:type="spellEnd"/>
      <w:r>
        <w:rPr>
          <w:lang w:val="en-US"/>
        </w:rPr>
        <w:t xml:space="preserve"> à </w:t>
      </w:r>
      <w:proofErr w:type="spellStart"/>
      <w:r>
        <w:rPr>
          <w:lang w:val="en-US"/>
        </w:rPr>
        <w:t>l'adoption</w:t>
      </w:r>
      <w:proofErr w:type="spellEnd"/>
      <w:r w:rsidR="00B929E7">
        <w:rPr>
          <w:lang w:val="en-US"/>
        </w:rPr>
        <w:br/>
      </w:r>
      <w:r>
        <w:rPr>
          <w:noProof/>
          <w:lang w:val="en-US"/>
        </w:rPr>
        <w:t>13266</w:t>
      </w:r>
      <w:r>
        <w:rPr>
          <w:lang w:val="en-US"/>
        </w:rPr>
        <w:t>/15 AGRILEG 195 VETER 87</w:t>
      </w:r>
      <w:r w:rsidR="00B929E7">
        <w:rPr>
          <w:lang w:val="en-US"/>
        </w:rPr>
        <w:t xml:space="preserve"> </w:t>
      </w:r>
      <w:r>
        <w:rPr>
          <w:lang w:val="en-US"/>
        </w:rPr>
        <w:t>12653/15 AGRILEG 184 VETER 78</w:t>
      </w:r>
    </w:p>
    <w:p w14:paraId="08A9AB5D" w14:textId="77777777" w:rsidR="00643D86" w:rsidRDefault="00E97075" w:rsidP="00643D86">
      <w:r>
        <w:rPr>
          <w:b/>
        </w:rPr>
        <w:t>Ansvarigt statsråd</w:t>
      </w:r>
      <w:r>
        <w:rPr>
          <w:b/>
        </w:rPr>
        <w:br/>
      </w:r>
      <w:r>
        <w:rPr>
          <w:noProof/>
        </w:rPr>
        <w:t>Sven-Erik Bucht</w:t>
      </w:r>
    </w:p>
    <w:p w14:paraId="08A9AB60" w14:textId="77777777" w:rsidR="00643D86" w:rsidRDefault="00E97075" w:rsidP="00643D86">
      <w:r w:rsidRPr="00B44CE2">
        <w:rPr>
          <w:b/>
        </w:rPr>
        <w:t>Annotering</w:t>
      </w:r>
      <w:r>
        <w:rPr>
          <w:b/>
        </w:rPr>
        <w:br/>
      </w:r>
      <w:r>
        <w:t>Föranleder ingen annotering.</w:t>
      </w:r>
    </w:p>
    <w:p w14:paraId="08A9AB61" w14:textId="77777777" w:rsidR="00643D86" w:rsidRDefault="00E97075" w:rsidP="00643D86">
      <w:pPr>
        <w:pStyle w:val="Rubrik1"/>
      </w:pPr>
      <w:bookmarkStart w:id="7" w:name="_Toc435623946"/>
      <w:r>
        <w:rPr>
          <w:noProof/>
        </w:rPr>
        <w:t>Règlement (UE) …/… de la Commission du XXX modifiant les annexes II et III du règlement (CE) n° 396/2005 du Parlement européen et du Conseil en ce qui concerne les limites maximales applicables aux résidus de diéthofencarbe, de mésotrione, de metosulam et de pirimiphos-méthyl présents dans ou sur certains produits</w:t>
      </w:r>
      <w:bookmarkEnd w:id="7"/>
    </w:p>
    <w:p w14:paraId="08A9AB62" w14:textId="63B32DDB" w:rsidR="00643D86" w:rsidRDefault="00E97075" w:rsidP="00643D86">
      <w:pPr>
        <w:rPr>
          <w:lang w:val="en-US"/>
        </w:rPr>
      </w:pPr>
      <w:r>
        <w:rPr>
          <w:noProof/>
          <w:lang w:val="en-US"/>
        </w:rPr>
        <w:t>–</w:t>
      </w:r>
      <w:proofErr w:type="spellStart"/>
      <w:r>
        <w:rPr>
          <w:lang w:val="en-US"/>
        </w:rPr>
        <w:t>Décision</w:t>
      </w:r>
      <w:proofErr w:type="spellEnd"/>
      <w:r>
        <w:rPr>
          <w:lang w:val="en-US"/>
        </w:rPr>
        <w:t xml:space="preserve"> de ne pas </w:t>
      </w:r>
      <w:proofErr w:type="spellStart"/>
      <w:r>
        <w:rPr>
          <w:lang w:val="en-US"/>
        </w:rPr>
        <w:t>s'opposer</w:t>
      </w:r>
      <w:proofErr w:type="spellEnd"/>
      <w:r>
        <w:rPr>
          <w:lang w:val="en-US"/>
        </w:rPr>
        <w:t xml:space="preserve"> à </w:t>
      </w:r>
      <w:proofErr w:type="spellStart"/>
      <w:r>
        <w:rPr>
          <w:lang w:val="en-US"/>
        </w:rPr>
        <w:t>l'adoption</w:t>
      </w:r>
      <w:proofErr w:type="spellEnd"/>
      <w:r>
        <w:rPr>
          <w:lang w:val="en-US"/>
        </w:rPr>
        <w:br/>
      </w:r>
      <w:r>
        <w:rPr>
          <w:noProof/>
          <w:lang w:val="en-US"/>
        </w:rPr>
        <w:t>13829</w:t>
      </w:r>
      <w:r>
        <w:rPr>
          <w:lang w:val="en-US"/>
        </w:rPr>
        <w:t>/15 AGRILEG 217 13273/15 AGRILEG 197+ ADD 1+ ADD 2+ ADD 1 COR 1+ ADD 2 COR 1 (</w:t>
      </w:r>
      <w:proofErr w:type="spellStart"/>
      <w:r>
        <w:rPr>
          <w:lang w:val="en-US"/>
        </w:rPr>
        <w:t>en</w:t>
      </w:r>
      <w:proofErr w:type="spellEnd"/>
      <w:r>
        <w:rPr>
          <w:lang w:val="en-US"/>
        </w:rPr>
        <w:t>)</w:t>
      </w:r>
    </w:p>
    <w:p w14:paraId="08A9AB63" w14:textId="77777777" w:rsidR="00643D86" w:rsidRDefault="00E97075" w:rsidP="00643D86">
      <w:r>
        <w:rPr>
          <w:b/>
        </w:rPr>
        <w:t>Ansvarigt statsråd</w:t>
      </w:r>
      <w:r>
        <w:rPr>
          <w:b/>
        </w:rPr>
        <w:br/>
      </w:r>
      <w:r>
        <w:rPr>
          <w:noProof/>
        </w:rPr>
        <w:t>Sven-Erik Bucht</w:t>
      </w:r>
    </w:p>
    <w:p w14:paraId="08A9AB66" w14:textId="77777777" w:rsidR="00643D86" w:rsidRDefault="00E97075" w:rsidP="00643D86">
      <w:r w:rsidRPr="00B44CE2">
        <w:rPr>
          <w:b/>
        </w:rPr>
        <w:t>Annotering</w:t>
      </w:r>
      <w:r>
        <w:rPr>
          <w:b/>
        </w:rPr>
        <w:br/>
      </w:r>
      <w:r>
        <w:t>Föranleder ingen annotering.</w:t>
      </w:r>
    </w:p>
    <w:p w14:paraId="08A9AB67" w14:textId="77777777" w:rsidR="00643D86" w:rsidRDefault="00E97075" w:rsidP="00643D86">
      <w:pPr>
        <w:pStyle w:val="Rubrik1"/>
      </w:pPr>
      <w:bookmarkStart w:id="8" w:name="_Toc435623947"/>
      <w:r>
        <w:rPr>
          <w:noProof/>
        </w:rPr>
        <w:t>Règlement (UE) …/… de la Commission du XXX modifiant l’annexe III du règlement (CE) nº 396/2005 du Parlement européen et du Conseil en ce qui concerne les limites maximales applicables aux résidus d’oxadixyl et de spinetoram présents dans ou sur certains produits</w:t>
      </w:r>
      <w:bookmarkEnd w:id="8"/>
    </w:p>
    <w:p w14:paraId="08A9AB68" w14:textId="309D0869" w:rsidR="00643D86" w:rsidRDefault="00E97075" w:rsidP="00643D86">
      <w:pPr>
        <w:rPr>
          <w:lang w:val="en-US"/>
        </w:rPr>
      </w:pPr>
      <w:r>
        <w:rPr>
          <w:noProof/>
          <w:lang w:val="en-US"/>
        </w:rPr>
        <w:t>–</w:t>
      </w:r>
      <w:proofErr w:type="spellStart"/>
      <w:r>
        <w:rPr>
          <w:lang w:val="en-US"/>
        </w:rPr>
        <w:t>Décision</w:t>
      </w:r>
      <w:proofErr w:type="spellEnd"/>
      <w:r>
        <w:rPr>
          <w:lang w:val="en-US"/>
        </w:rPr>
        <w:t xml:space="preserve"> de ne pas </w:t>
      </w:r>
      <w:proofErr w:type="spellStart"/>
      <w:r>
        <w:rPr>
          <w:lang w:val="en-US"/>
        </w:rPr>
        <w:t>s'opposer</w:t>
      </w:r>
      <w:proofErr w:type="spellEnd"/>
      <w:r>
        <w:rPr>
          <w:lang w:val="en-US"/>
        </w:rPr>
        <w:t xml:space="preserve"> à </w:t>
      </w:r>
      <w:proofErr w:type="spellStart"/>
      <w:r>
        <w:rPr>
          <w:lang w:val="en-US"/>
        </w:rPr>
        <w:t>l'adoption</w:t>
      </w:r>
      <w:proofErr w:type="spellEnd"/>
      <w:r>
        <w:rPr>
          <w:lang w:val="en-US"/>
        </w:rPr>
        <w:br/>
      </w:r>
      <w:r>
        <w:rPr>
          <w:noProof/>
          <w:lang w:val="en-US"/>
        </w:rPr>
        <w:t>13810</w:t>
      </w:r>
      <w:r>
        <w:rPr>
          <w:lang w:val="en-US"/>
        </w:rPr>
        <w:t xml:space="preserve">/15 </w:t>
      </w:r>
      <w:proofErr w:type="gramStart"/>
      <w:r>
        <w:rPr>
          <w:lang w:val="en-US"/>
        </w:rPr>
        <w:t>AGRILEG  16</w:t>
      </w:r>
      <w:proofErr w:type="gramEnd"/>
      <w:r>
        <w:rPr>
          <w:lang w:val="en-US"/>
        </w:rPr>
        <w:t xml:space="preserve"> 13272/15 AGRILEG 196+ADD 1+ADD 2</w:t>
      </w:r>
    </w:p>
    <w:p w14:paraId="08A9AB69" w14:textId="77777777" w:rsidR="00643D86" w:rsidRDefault="00E97075" w:rsidP="00643D86">
      <w:r>
        <w:rPr>
          <w:b/>
        </w:rPr>
        <w:lastRenderedPageBreak/>
        <w:t>Ansvarigt statsråd</w:t>
      </w:r>
      <w:r>
        <w:rPr>
          <w:b/>
        </w:rPr>
        <w:br/>
      </w:r>
      <w:r>
        <w:rPr>
          <w:noProof/>
        </w:rPr>
        <w:t>Sven-Erik Bucht</w:t>
      </w:r>
    </w:p>
    <w:p w14:paraId="08A9AB6C" w14:textId="77777777" w:rsidR="00643D86" w:rsidRDefault="00E97075" w:rsidP="00643D86">
      <w:r w:rsidRPr="00B44CE2">
        <w:rPr>
          <w:b/>
        </w:rPr>
        <w:t>Annotering</w:t>
      </w:r>
      <w:r>
        <w:rPr>
          <w:b/>
        </w:rPr>
        <w:br/>
      </w:r>
      <w:r>
        <w:t>Föranleder ingen annotering.</w:t>
      </w:r>
    </w:p>
    <w:p w14:paraId="08A9AB6D" w14:textId="77777777" w:rsidR="00643D86" w:rsidRDefault="00E97075" w:rsidP="00643D86">
      <w:pPr>
        <w:pStyle w:val="Rubrik1"/>
      </w:pPr>
      <w:bookmarkStart w:id="9" w:name="_Toc435623948"/>
      <w:r>
        <w:rPr>
          <w:noProof/>
        </w:rPr>
        <w:t>Règlement délégué (UE) …/... de la Commission du 22.10.2015 établissant un plan de rejets pour certaines pêcheries démersales dans la mer du Nord et dans les eaux de l'Union de la division CIEM II a</w:t>
      </w:r>
      <w:bookmarkEnd w:id="9"/>
    </w:p>
    <w:p w14:paraId="08A9AB6E" w14:textId="22A1B1A7" w:rsidR="00643D86" w:rsidRDefault="00E97075" w:rsidP="00643D86">
      <w:pPr>
        <w:rPr>
          <w:lang w:val="en-US"/>
        </w:rPr>
      </w:pPr>
      <w:r>
        <w:rPr>
          <w:noProof/>
          <w:lang w:val="en-US"/>
        </w:rPr>
        <w:t>–</w:t>
      </w:r>
      <w:r>
        <w:rPr>
          <w:lang w:val="en-US"/>
        </w:rPr>
        <w:t xml:space="preserve">Intention de ne pas </w:t>
      </w:r>
      <w:proofErr w:type="spellStart"/>
      <w:r>
        <w:rPr>
          <w:lang w:val="en-US"/>
        </w:rPr>
        <w:t>formuler</w:t>
      </w:r>
      <w:proofErr w:type="spellEnd"/>
      <w:r>
        <w:rPr>
          <w:lang w:val="en-US"/>
        </w:rPr>
        <w:t xml:space="preserve"> </w:t>
      </w:r>
      <w:proofErr w:type="spellStart"/>
      <w:r>
        <w:rPr>
          <w:lang w:val="en-US"/>
        </w:rPr>
        <w:t>d'objections</w:t>
      </w:r>
      <w:proofErr w:type="spellEnd"/>
      <w:r>
        <w:rPr>
          <w:lang w:val="en-US"/>
        </w:rPr>
        <w:t xml:space="preserve"> à </w:t>
      </w:r>
      <w:proofErr w:type="spellStart"/>
      <w:r>
        <w:rPr>
          <w:lang w:val="en-US"/>
        </w:rPr>
        <w:t>l'égard</w:t>
      </w:r>
      <w:proofErr w:type="spellEnd"/>
      <w:r>
        <w:rPr>
          <w:lang w:val="en-US"/>
        </w:rPr>
        <w:t xml:space="preserve"> d'un </w:t>
      </w:r>
      <w:proofErr w:type="spellStart"/>
      <w:r>
        <w:rPr>
          <w:lang w:val="en-US"/>
        </w:rPr>
        <w:t>acte</w:t>
      </w:r>
      <w:proofErr w:type="spellEnd"/>
      <w:r>
        <w:rPr>
          <w:lang w:val="en-US"/>
        </w:rPr>
        <w:t xml:space="preserve"> </w:t>
      </w:r>
      <w:proofErr w:type="spellStart"/>
      <w:r>
        <w:rPr>
          <w:lang w:val="en-US"/>
        </w:rPr>
        <w:t>délégué</w:t>
      </w:r>
      <w:proofErr w:type="spellEnd"/>
      <w:r>
        <w:rPr>
          <w:lang w:val="en-US"/>
        </w:rPr>
        <w:br/>
      </w:r>
      <w:r>
        <w:rPr>
          <w:noProof/>
          <w:lang w:val="en-US"/>
        </w:rPr>
        <w:t>13779</w:t>
      </w:r>
      <w:r>
        <w:rPr>
          <w:lang w:val="en-US"/>
        </w:rPr>
        <w:t>/1/15 PECHE 416 REV 1+ REV 1 ADD 1 13334/15 PECHE 383 DELACT 146 + ADD 1</w:t>
      </w:r>
    </w:p>
    <w:p w14:paraId="08A9AB6F" w14:textId="77777777" w:rsidR="00643D86" w:rsidRDefault="00E97075" w:rsidP="00643D86">
      <w:r>
        <w:rPr>
          <w:b/>
        </w:rPr>
        <w:t>Ansvarigt statsråd</w:t>
      </w:r>
      <w:r>
        <w:rPr>
          <w:b/>
        </w:rPr>
        <w:br/>
      </w:r>
      <w:r>
        <w:rPr>
          <w:noProof/>
        </w:rPr>
        <w:t>Sven-Erik Bucht</w:t>
      </w:r>
    </w:p>
    <w:p w14:paraId="08A9AB72" w14:textId="77777777" w:rsidR="00643D86" w:rsidRDefault="00E97075" w:rsidP="00643D86">
      <w:r w:rsidRPr="00B44CE2">
        <w:rPr>
          <w:b/>
        </w:rPr>
        <w:t>Annotering</w:t>
      </w:r>
      <w:r>
        <w:rPr>
          <w:b/>
        </w:rPr>
        <w:br/>
      </w:r>
      <w:r>
        <w:rPr>
          <w:b/>
          <w:bCs/>
        </w:rPr>
        <w:t>Avsikt med behandlingen i rådet:</w:t>
      </w:r>
      <w:r>
        <w:t xml:space="preserve"> Bekräfta att rådet inte avser motsätta sig den delegerade akten. </w:t>
      </w:r>
    </w:p>
    <w:p w14:paraId="08A9AB73" w14:textId="77777777" w:rsidR="0070200B" w:rsidRDefault="00E97075">
      <w:pPr>
        <w:spacing w:after="280" w:afterAutospacing="1"/>
      </w:pPr>
      <w:r>
        <w:rPr>
          <w:b/>
          <w:bCs/>
        </w:rPr>
        <w:t>Hur regeringen ställer sig till den blivande A-punkten:</w:t>
      </w:r>
      <w:r>
        <w:t xml:space="preserve"> Regeringen avser inte invända mot den delegerade akten. </w:t>
      </w:r>
    </w:p>
    <w:p w14:paraId="08A9AB74" w14:textId="77777777" w:rsidR="0070200B" w:rsidRDefault="00E97075">
      <w:pPr>
        <w:spacing w:after="280" w:afterAutospacing="1"/>
      </w:pPr>
      <w:r>
        <w:rPr>
          <w:b/>
          <w:bCs/>
        </w:rPr>
        <w:t xml:space="preserve">Bakgrund: </w:t>
      </w:r>
      <w:r>
        <w:t>Kommissionen sände den delegerade akten till rådet och parlamentet den 22 oktober 2015. Rådet kan därmed invända mot den senast den 22 december 2015.</w:t>
      </w:r>
    </w:p>
    <w:p w14:paraId="08A9AB75" w14:textId="77777777" w:rsidR="0070200B" w:rsidRDefault="00E97075">
      <w:pPr>
        <w:spacing w:after="280" w:afterAutospacing="1"/>
      </w:pPr>
      <w:r>
        <w:t>Den föreslagna delegerade akten grundar sig på den gemensamma rekommendation som utarbetats och lämnats in till kommissionen av de berörda medlemsstater (Belgien, Danmark, Frankrike, Förenade kungariket, Nederländerna, Sverige och Tyskland) som har ett direkt förvaltningsintresse i de berörda fiskena i denna region.</w:t>
      </w:r>
    </w:p>
    <w:p w14:paraId="08A9AB76" w14:textId="77777777" w:rsidR="0070200B" w:rsidRDefault="00E97075">
      <w:pPr>
        <w:spacing w:after="280" w:afterAutospacing="1"/>
      </w:pPr>
      <w:r>
        <w:t>Den delegerade akten innehåller bl.a. en beskrivning av de fisken som omfattas av utkastplanen, ett undantag grundat på den höga överlevnadsgraden för havskräfta, ett antal undantag av mindre betydelse, en bestämmelse som fastställer minsta referensstorlek för bevarande för havskräfta, samt ett antal bestämmelser om specifika tekniska åtgärder i Skagerrak.</w:t>
      </w:r>
    </w:p>
    <w:p w14:paraId="08A9AB78" w14:textId="19B1616A" w:rsidR="00FB32B9" w:rsidRDefault="00E97075">
      <w:pPr>
        <w:spacing w:after="280" w:afterAutospacing="1"/>
        <w:rPr>
          <w:noProof/>
        </w:rPr>
      </w:pPr>
      <w:r>
        <w:t xml:space="preserve">Den delegerade förordningen innehåller ett antal felaktigheter i förhållande till den gemensamma rekommendationen. Kommissionen har därför aviserat att man avser anta ett </w:t>
      </w:r>
      <w:proofErr w:type="spellStart"/>
      <w:r>
        <w:t>korrigendum</w:t>
      </w:r>
      <w:proofErr w:type="spellEnd"/>
      <w:r>
        <w:t>.</w:t>
      </w:r>
    </w:p>
    <w:p w14:paraId="08A9AB79" w14:textId="77777777" w:rsidR="00643D86" w:rsidRDefault="00E97075" w:rsidP="00643D86">
      <w:pPr>
        <w:pStyle w:val="Rubrik1"/>
      </w:pPr>
      <w:bookmarkStart w:id="10" w:name="_Toc435623949"/>
      <w:r>
        <w:rPr>
          <w:noProof/>
        </w:rPr>
        <w:t>Règlement délégué (UE) …/... de la Commission du 29.9.2015 modifiant l’annexe I du règlement (UE) n° 649/2012 du Parlement européen et du Conseil concernant les exportations et importations de produits chimiques dangereux</w:t>
      </w:r>
      <w:bookmarkEnd w:id="10"/>
    </w:p>
    <w:p w14:paraId="08A9AB7A" w14:textId="1AA496F7" w:rsidR="00643D86" w:rsidRDefault="00E97075" w:rsidP="00643D86">
      <w:pPr>
        <w:rPr>
          <w:lang w:val="en-US"/>
        </w:rPr>
      </w:pPr>
      <w:r>
        <w:rPr>
          <w:noProof/>
          <w:lang w:val="en-US"/>
        </w:rPr>
        <w:t>–</w:t>
      </w:r>
      <w:r>
        <w:rPr>
          <w:lang w:val="en-US"/>
        </w:rPr>
        <w:t xml:space="preserve">Intention de ne pas </w:t>
      </w:r>
      <w:proofErr w:type="spellStart"/>
      <w:r>
        <w:rPr>
          <w:lang w:val="en-US"/>
        </w:rPr>
        <w:t>exprimer</w:t>
      </w:r>
      <w:proofErr w:type="spellEnd"/>
      <w:r>
        <w:rPr>
          <w:lang w:val="en-US"/>
        </w:rPr>
        <w:t xml:space="preserve"> </w:t>
      </w:r>
      <w:proofErr w:type="spellStart"/>
      <w:r>
        <w:rPr>
          <w:lang w:val="en-US"/>
        </w:rPr>
        <w:t>d'objections</w:t>
      </w:r>
      <w:proofErr w:type="spellEnd"/>
      <w:r>
        <w:rPr>
          <w:lang w:val="en-US"/>
        </w:rPr>
        <w:t xml:space="preserve"> à </w:t>
      </w:r>
      <w:proofErr w:type="spellStart"/>
      <w:r>
        <w:rPr>
          <w:lang w:val="en-US"/>
        </w:rPr>
        <w:t>l'égard</w:t>
      </w:r>
      <w:proofErr w:type="spellEnd"/>
      <w:r>
        <w:rPr>
          <w:lang w:val="en-US"/>
        </w:rPr>
        <w:t xml:space="preserve"> d'un </w:t>
      </w:r>
      <w:proofErr w:type="spellStart"/>
      <w:r>
        <w:rPr>
          <w:lang w:val="en-US"/>
        </w:rPr>
        <w:t>acte</w:t>
      </w:r>
      <w:proofErr w:type="spellEnd"/>
      <w:r>
        <w:rPr>
          <w:lang w:val="en-US"/>
        </w:rPr>
        <w:t xml:space="preserve"> </w:t>
      </w:r>
      <w:proofErr w:type="spellStart"/>
      <w:r>
        <w:rPr>
          <w:lang w:val="en-US"/>
        </w:rPr>
        <w:t>délégué</w:t>
      </w:r>
      <w:proofErr w:type="spellEnd"/>
      <w:r>
        <w:rPr>
          <w:lang w:val="en-US"/>
        </w:rPr>
        <w:br/>
      </w:r>
      <w:r>
        <w:rPr>
          <w:noProof/>
          <w:lang w:val="en-US"/>
        </w:rPr>
        <w:t>13710</w:t>
      </w:r>
      <w:r>
        <w:rPr>
          <w:lang w:val="en-US"/>
        </w:rPr>
        <w:t>/15 ENV 673 WTO 238 MI 689 DELACT 148 12977/15 ENV 622 WTO 218 MI 634 DELACT 135+ ADD 1</w:t>
      </w:r>
    </w:p>
    <w:p w14:paraId="08A9AB7B" w14:textId="77777777" w:rsidR="00643D86" w:rsidRDefault="00E97075" w:rsidP="00643D86">
      <w:r>
        <w:rPr>
          <w:b/>
        </w:rPr>
        <w:lastRenderedPageBreak/>
        <w:t>Ansvarigt statsråd</w:t>
      </w:r>
      <w:r>
        <w:rPr>
          <w:b/>
        </w:rPr>
        <w:br/>
      </w:r>
      <w:r>
        <w:rPr>
          <w:noProof/>
        </w:rPr>
        <w:t>Åsa Romson</w:t>
      </w:r>
    </w:p>
    <w:p w14:paraId="08A9AB80" w14:textId="13E9D508" w:rsidR="0070200B" w:rsidRDefault="00E97075" w:rsidP="00E97075">
      <w:r w:rsidRPr="00B44CE2">
        <w:rPr>
          <w:b/>
        </w:rPr>
        <w:t>Annotering</w:t>
      </w:r>
      <w:r>
        <w:rPr>
          <w:b/>
        </w:rPr>
        <w:br/>
      </w:r>
      <w:r>
        <w:rPr>
          <w:b/>
          <w:bCs/>
        </w:rPr>
        <w:t xml:space="preserve">Avsikt med behandlingen i rådet: </w:t>
      </w:r>
      <w:r>
        <w:t xml:space="preserve">Att rådet inte gör invändning genetmot den delegerade akten </w:t>
      </w:r>
    </w:p>
    <w:p w14:paraId="08A9AB82" w14:textId="7FAE443A" w:rsidR="0070200B" w:rsidRDefault="00E97075">
      <w:pPr>
        <w:spacing w:after="280" w:afterAutospacing="1"/>
      </w:pPr>
      <w:r>
        <w:rPr>
          <w:b/>
          <w:bCs/>
        </w:rPr>
        <w:t>Hur regeringen ställer sig till den blivande A-punkten:</w:t>
      </w:r>
      <w:r>
        <w:t xml:space="preserve"> SE kan stödja förslaget </w:t>
      </w:r>
    </w:p>
    <w:p w14:paraId="08A9AB85" w14:textId="2EAFBE0B" w:rsidR="0070200B" w:rsidRDefault="00E97075">
      <w:pPr>
        <w:spacing w:after="280" w:afterAutospacing="1"/>
      </w:pPr>
      <w:r>
        <w:rPr>
          <w:b/>
          <w:bCs/>
        </w:rPr>
        <w:t xml:space="preserve">Bakgrund: </w:t>
      </w:r>
      <w:r>
        <w:t xml:space="preserve">I enlighet med artikel 23 (1) i förordning (EU) nr 649/2012 om export och import av farliga kemikalier ska Kommissionen minst en gång per år se över förteckning av kemikalier i bilaga i till den förordningen med hänsyn till utvecklingen inom unionsrätten och Rotterdamkonventionen. Sedan den senaste översynen av bilaga I har ett antal lagstiftningsåtgärder ett antal lagstiftningsåtgärder skedd </w:t>
      </w:r>
      <w:proofErr w:type="spellStart"/>
      <w:r>
        <w:t>bla</w:t>
      </w:r>
      <w:proofErr w:type="spellEnd"/>
      <w:r>
        <w:t xml:space="preserve"> i växtskyddsmedelsförordningen och </w:t>
      </w:r>
      <w:proofErr w:type="spellStart"/>
      <w:r>
        <w:t>Reach</w:t>
      </w:r>
      <w:proofErr w:type="spellEnd"/>
      <w:r>
        <w:t xml:space="preserve"> samt Rotterdamkonventionens partsmöten har beslutat om tillägg av ytterligare kemikalier. Dessa lagstiftningsåtgärder och beslut innebär att i bilaga I behöver uppdateras i enlighet med dessa beslut</w:t>
      </w:r>
      <w:r>
        <w:br/>
        <w:t>Förordning 649/2012 är EU genomförande av Rotterdamkonventionen. Den delegerade akten har diskuterats i den expertgrupp som finns kopplad till förordningen där SE har deltagit.</w:t>
      </w:r>
    </w:p>
    <w:p w14:paraId="08A9AB86" w14:textId="77777777" w:rsidR="00643D86" w:rsidRDefault="00E97075" w:rsidP="00643D86">
      <w:pPr>
        <w:pStyle w:val="Rubrik1"/>
      </w:pPr>
      <w:bookmarkStart w:id="11" w:name="_Toc435623950"/>
      <w:r>
        <w:rPr>
          <w:noProof/>
        </w:rPr>
        <w:t>Projet de décision du Conseil relative à la position à adopter, au nom de l’Union européenne, au sein du comité européen pour l’élaboration de standards dans le domaine de la navigation intérieure (CESNI) et lors de la session plénière de la Commission centrale pour la navigation du Rhin (CCNR) sur l’adoption d’une norme relative aux prescriptions techniques des bateaux de la navigation intérieure</w:t>
      </w:r>
      <w:bookmarkEnd w:id="11"/>
    </w:p>
    <w:p w14:paraId="08A9AB87" w14:textId="793C6AD6" w:rsidR="00643D86" w:rsidRDefault="00E97075" w:rsidP="00643D86">
      <w:pPr>
        <w:rPr>
          <w:lang w:val="en-US"/>
        </w:rPr>
      </w:pPr>
      <w:r>
        <w:rPr>
          <w:noProof/>
          <w:lang w:val="en-US"/>
        </w:rPr>
        <w:t>–</w:t>
      </w:r>
      <w:r>
        <w:rPr>
          <w:lang w:val="en-US"/>
        </w:rPr>
        <w:t>Adoption</w:t>
      </w:r>
      <w:r>
        <w:rPr>
          <w:lang w:val="en-US"/>
        </w:rPr>
        <w:br/>
      </w:r>
      <w:r>
        <w:rPr>
          <w:noProof/>
          <w:lang w:val="en-US"/>
        </w:rPr>
        <w:t>13792</w:t>
      </w:r>
      <w:r>
        <w:rPr>
          <w:lang w:val="en-US"/>
        </w:rPr>
        <w:t>/15 TRANS 354 MAR 137 13527/15 TRANS 349 MAR 134</w:t>
      </w:r>
    </w:p>
    <w:p w14:paraId="08A9AB88" w14:textId="77777777" w:rsidR="00643D86" w:rsidRDefault="00E97075" w:rsidP="00643D86">
      <w:r>
        <w:rPr>
          <w:b/>
        </w:rPr>
        <w:t>Ansvarigt statsråd</w:t>
      </w:r>
      <w:r>
        <w:rPr>
          <w:b/>
        </w:rPr>
        <w:br/>
      </w:r>
      <w:r>
        <w:rPr>
          <w:noProof/>
        </w:rPr>
        <w:t>Anna Johansson</w:t>
      </w:r>
    </w:p>
    <w:p w14:paraId="08A9AB89" w14:textId="77777777" w:rsidR="00643D86" w:rsidRPr="00643D86" w:rsidRDefault="00E97075" w:rsidP="00643D86">
      <w:r w:rsidRPr="00643D86">
        <w:rPr>
          <w:b/>
        </w:rPr>
        <w:t>Tidigare behandling i riksdagen</w:t>
      </w:r>
      <w:r>
        <w:rPr>
          <w:b/>
        </w:rPr>
        <w:br/>
      </w:r>
      <w:r>
        <w:rPr>
          <w:noProof/>
        </w:rPr>
        <w:t>2015-06-05</w:t>
      </w:r>
    </w:p>
    <w:p w14:paraId="08A9AB8A" w14:textId="77777777" w:rsidR="00643D86" w:rsidRPr="00643D86" w:rsidRDefault="00E97075" w:rsidP="00643D86">
      <w:r w:rsidRPr="00643D86">
        <w:rPr>
          <w:b/>
        </w:rPr>
        <w:t>Tidigare behandling vid rådsmöte</w:t>
      </w:r>
      <w:r>
        <w:rPr>
          <w:b/>
        </w:rPr>
        <w:br/>
      </w:r>
      <w:r>
        <w:rPr>
          <w:noProof/>
        </w:rPr>
        <w:t>2015-06-11</w:t>
      </w:r>
    </w:p>
    <w:p w14:paraId="08A9AB8D" w14:textId="600853CA" w:rsidR="0070200B" w:rsidRDefault="00E97075" w:rsidP="00E97075">
      <w:r w:rsidRPr="00B44CE2">
        <w:rPr>
          <w:b/>
        </w:rPr>
        <w:t>Annotering</w:t>
      </w:r>
      <w:r>
        <w:rPr>
          <w:b/>
        </w:rPr>
        <w:br/>
      </w:r>
      <w:r>
        <w:rPr>
          <w:b/>
          <w:bCs/>
        </w:rPr>
        <w:t>Avsikt med behandlingen i rådet:</w:t>
      </w:r>
      <w:r>
        <w:t xml:space="preserve"> Rådet uppmanas att anta rådsbeslutet om den ståndpunkt som ska intas på unionens vägnar i Europeiska kommittén för utarbetande av standarder för inlandssjöfarten (CESNI) och vid plenarsessionen i Centrala kommissionen för sjöfarten på Rhen (CCNR) avseende antagandet av en standard med tekniska föreskrifter för fartyg i inlandssjöfart.</w:t>
      </w:r>
    </w:p>
    <w:p w14:paraId="08A9AB8F" w14:textId="51909437" w:rsidR="0070200B" w:rsidRDefault="00E97075">
      <w:pPr>
        <w:spacing w:after="280" w:afterAutospacing="1"/>
      </w:pPr>
      <w:r>
        <w:rPr>
          <w:b/>
          <w:bCs/>
        </w:rPr>
        <w:t xml:space="preserve">Hur regeringen ställer sig till den blivande A-punkten: </w:t>
      </w:r>
      <w:r>
        <w:t>Regeringen har inget att invända mot att rådsbeslutet antas.</w:t>
      </w:r>
    </w:p>
    <w:p w14:paraId="08A9AB92" w14:textId="27462B09" w:rsidR="00FB32B9" w:rsidRDefault="00E97075">
      <w:pPr>
        <w:spacing w:after="280" w:afterAutospacing="1"/>
        <w:rPr>
          <w:noProof/>
        </w:rPr>
      </w:pPr>
      <w:r>
        <w:rPr>
          <w:b/>
          <w:bCs/>
        </w:rPr>
        <w:t xml:space="preserve">Bakgrund: </w:t>
      </w:r>
      <w:r>
        <w:t xml:space="preserve">Europeiska kommittén för utarbetande av standarder för inlandssjöfarten (CESNI) bildades i juni 2015. Inom ramen för dess arbete kommer medlemsstaterna och den s.k. </w:t>
      </w:r>
      <w:r>
        <w:lastRenderedPageBreak/>
        <w:t>Rhenkommissionen (CCNR) kunna utveckla tekniska standarder vad gäller t.ex. fartyg, informationsteknik och besättning. Unionen är varken medlem i CESNI eller CCNR. Det är därför nödvändigt att rådet bemyndigar medlemsstaterna att i dessa organ uttrycka unionens ståndpunkt avseende standarden.</w:t>
      </w:r>
    </w:p>
    <w:p w14:paraId="08A9AB93" w14:textId="77777777" w:rsidR="00643D86" w:rsidRDefault="00E97075" w:rsidP="00643D86">
      <w:pPr>
        <w:pStyle w:val="Rubrik1"/>
      </w:pPr>
      <w:bookmarkStart w:id="12" w:name="_Toc435623951"/>
      <w:r>
        <w:rPr>
          <w:noProof/>
        </w:rPr>
        <w:t>Projet de décision du Parlement européen et du Conseil établissant un programme concernant des solutions d'interopérabilité pour les administrations publiques, les entreprises et les particuliers en Europe (ISA2) L'interopérabilité comme moyen de moderniser le secteur public (première lecture) (AL + D)</w:t>
      </w:r>
      <w:bookmarkEnd w:id="12"/>
      <w:r>
        <w:rPr>
          <w:noProof/>
        </w:rPr>
        <w:t xml:space="preserve"> </w:t>
      </w:r>
    </w:p>
    <w:p w14:paraId="08A9AB94" w14:textId="3799EC6C" w:rsidR="00643D86" w:rsidRDefault="00E97075" w:rsidP="00643D86">
      <w:pPr>
        <w:rPr>
          <w:lang w:val="en-US"/>
        </w:rPr>
      </w:pPr>
      <w:r>
        <w:rPr>
          <w:noProof/>
          <w:lang w:val="en-US"/>
        </w:rPr>
        <w:t>–</w:t>
      </w:r>
      <w:r>
        <w:rPr>
          <w:lang w:val="en-US"/>
        </w:rPr>
        <w:t xml:space="preserve">Adoption de </w:t>
      </w:r>
      <w:proofErr w:type="spellStart"/>
      <w:r>
        <w:rPr>
          <w:lang w:val="en-US"/>
        </w:rPr>
        <w:t>l'acte</w:t>
      </w:r>
      <w:proofErr w:type="spellEnd"/>
      <w:r>
        <w:rPr>
          <w:lang w:val="en-US"/>
        </w:rPr>
        <w:t xml:space="preserve"> </w:t>
      </w:r>
      <w:proofErr w:type="spellStart"/>
      <w:r>
        <w:rPr>
          <w:lang w:val="en-US"/>
        </w:rPr>
        <w:t>législatif</w:t>
      </w:r>
      <w:proofErr w:type="spellEnd"/>
      <w:r>
        <w:rPr>
          <w:lang w:val="en-US"/>
        </w:rPr>
        <w:br/>
      </w:r>
      <w:r>
        <w:rPr>
          <w:noProof/>
          <w:lang w:val="en-US"/>
        </w:rPr>
        <w:t>13952</w:t>
      </w:r>
      <w:r>
        <w:rPr>
          <w:lang w:val="en-US"/>
        </w:rPr>
        <w:t>/15 CODEC 1498 TELECOM 209 COMPET 504+ ADD 1PE-CONS 52/15 TELECOM 178 COMPET 421 CODEC 1243</w:t>
      </w:r>
    </w:p>
    <w:p w14:paraId="08A9AB95" w14:textId="77777777" w:rsidR="00643D86" w:rsidRDefault="00E97075" w:rsidP="00643D86">
      <w:r>
        <w:rPr>
          <w:b/>
        </w:rPr>
        <w:t>Ansvarigt statsråd</w:t>
      </w:r>
      <w:r>
        <w:rPr>
          <w:b/>
        </w:rPr>
        <w:br/>
      </w:r>
      <w:r>
        <w:rPr>
          <w:noProof/>
        </w:rPr>
        <w:t>Mehmet Kaplan</w:t>
      </w:r>
    </w:p>
    <w:p w14:paraId="08A9AB96" w14:textId="77777777" w:rsidR="00643D86" w:rsidRPr="00643D86" w:rsidRDefault="00E97075" w:rsidP="00643D86">
      <w:r w:rsidRPr="00643D86">
        <w:rPr>
          <w:b/>
        </w:rPr>
        <w:t>Tidigare behandling i riksdagen</w:t>
      </w:r>
      <w:r>
        <w:rPr>
          <w:b/>
        </w:rPr>
        <w:br/>
      </w:r>
      <w:r>
        <w:rPr>
          <w:noProof/>
        </w:rPr>
        <w:t>2015-06-05</w:t>
      </w:r>
    </w:p>
    <w:p w14:paraId="08A9AB97" w14:textId="77777777" w:rsidR="00643D86" w:rsidRPr="00643D86" w:rsidRDefault="00E97075" w:rsidP="00643D86">
      <w:r w:rsidRPr="00643D86">
        <w:rPr>
          <w:b/>
        </w:rPr>
        <w:t>Tidigare behandling vid rådsmöte</w:t>
      </w:r>
      <w:r>
        <w:rPr>
          <w:b/>
        </w:rPr>
        <w:br/>
      </w:r>
      <w:r>
        <w:rPr>
          <w:noProof/>
        </w:rPr>
        <w:t>2015-06-12</w:t>
      </w:r>
    </w:p>
    <w:p w14:paraId="08A9AB9A" w14:textId="7990E808" w:rsidR="0070200B" w:rsidRDefault="00E97075" w:rsidP="00E97075">
      <w:r w:rsidRPr="00B44CE2">
        <w:rPr>
          <w:b/>
        </w:rPr>
        <w:t>Annotering</w:t>
      </w:r>
      <w:r>
        <w:rPr>
          <w:b/>
        </w:rPr>
        <w:br/>
      </w:r>
      <w:r>
        <w:rPr>
          <w:b/>
          <w:bCs/>
        </w:rPr>
        <w:t>Avsikt med behandlingen i rådet:</w:t>
      </w:r>
      <w:r>
        <w:t xml:space="preserve"> Rådet föreslås godkänna Europaparlamentets ståndpunkt som en A-punkt på dagordningen vid kommande möte.</w:t>
      </w:r>
    </w:p>
    <w:p w14:paraId="08A9AB9C" w14:textId="3C14D751" w:rsidR="0070200B" w:rsidRDefault="00E97075">
      <w:pPr>
        <w:spacing w:after="280" w:afterAutospacing="1"/>
      </w:pPr>
      <w:r>
        <w:rPr>
          <w:b/>
          <w:bCs/>
        </w:rPr>
        <w:t>Hur regeringen ställer sig till den blivande A-punkten:</w:t>
      </w:r>
      <w:r>
        <w:t xml:space="preserve"> Regeringen avser rösta ja till att rådet antar Europaparlamentets och rådets förslag. </w:t>
      </w:r>
    </w:p>
    <w:p w14:paraId="08A9AB9E" w14:textId="1E80FEDB" w:rsidR="0070200B" w:rsidRDefault="00E97075">
      <w:pPr>
        <w:spacing w:after="280" w:afterAutospacing="1"/>
      </w:pPr>
      <w:r>
        <w:rPr>
          <w:b/>
          <w:bCs/>
        </w:rPr>
        <w:t xml:space="preserve">Bakgrund: </w:t>
      </w:r>
      <w:r>
        <w:t xml:space="preserve">Gränsöverskridande interoperabilitet mellan medlemsstaternas offentliga förvaltningar är ett viktigt mål för Europeiska unionen. Hösten 2009 antogs ett beslut för att inrätta ett program kring interoperabilitet mellan europeiska offentliga förvaltningar, kallat ISA-programmet. Programmet är giltigt tom utgången av 2015. </w:t>
      </w:r>
      <w:r>
        <w:br/>
        <w:t>I oktober 2013 antog Europeiska rådet slutsatser som underströk att moderniseringen av offentliga förvaltningar måste fortsätta, med ett snabbt införande av tjänster inom e-förvaltning, e-hälsovård, e-fakturor och e-upphandling som är beroende av interoperabilitet. Bättre digitala tjänster kommer att underlätta för medborgare och företag i Europa i sina kontakter med offentlig sektor. Det kommer också att leda till kostnadsbesparingar och öka effektiviteten, öppenheten och kvaliteten när det gäller den offentliga sektorns tjänster.</w:t>
      </w:r>
    </w:p>
    <w:p w14:paraId="08A9ABA1" w14:textId="647D7B7F" w:rsidR="00643D86" w:rsidRPr="00643D86" w:rsidRDefault="00E97075" w:rsidP="00E97075">
      <w:pPr>
        <w:spacing w:after="280" w:afterAutospacing="1"/>
        <w:rPr>
          <w:lang w:val="en-US"/>
        </w:rPr>
      </w:pPr>
      <w:r>
        <w:t>I juni 2014 presenterade KOM förslag om nytt program, kallat ISA2, vilket föreslås gälla från den 1 januari 2016. Förslaget har diskuterats i telekom-arbetsgruppen sedan december 2014. Vid TTE Telekområdet 12 juni 2015 antogs en allmän inriktning om ISA2. ITRE-utskottet antog sitt betänkande den 15 juni. ORDF rapporterade den 11 september 2015 på Coreper I från trepartsamtal. Europaparlamentet röstade för förslaget 11 november 2015. Målet är ett antagande innan den 31 december 2015 för att säkerställa kontinuitet med det befintliga ISA-programmet.</w:t>
      </w:r>
      <w:bookmarkEnd w:id="1"/>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5CA09" w14:textId="77777777" w:rsidR="00EE694C" w:rsidRDefault="00EE694C">
      <w:pPr>
        <w:spacing w:after="0" w:line="240" w:lineRule="auto"/>
      </w:pPr>
      <w:r>
        <w:separator/>
      </w:r>
    </w:p>
  </w:endnote>
  <w:endnote w:type="continuationSeparator" w:id="0">
    <w:p w14:paraId="21ACF312" w14:textId="77777777" w:rsidR="00EE694C" w:rsidRDefault="00EE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FB2EE" w14:textId="77777777" w:rsidR="00EE694C" w:rsidRDefault="00EE694C">
      <w:pPr>
        <w:spacing w:after="0" w:line="240" w:lineRule="auto"/>
      </w:pPr>
      <w:r>
        <w:separator/>
      </w:r>
    </w:p>
  </w:footnote>
  <w:footnote w:type="continuationSeparator" w:id="0">
    <w:p w14:paraId="20C1922A" w14:textId="77777777" w:rsidR="00EE694C" w:rsidRDefault="00EE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988181"/>
      <w:docPartObj>
        <w:docPartGallery w:val="Page Numbers (Top of Page)"/>
        <w:docPartUnique/>
      </w:docPartObj>
    </w:sdtPr>
    <w:sdtEndPr/>
    <w:sdtContent>
      <w:p w14:paraId="5C054BA8" w14:textId="3D772A82" w:rsidR="00B929E7" w:rsidRDefault="00B929E7">
        <w:pPr>
          <w:pStyle w:val="Sidhuvud"/>
          <w:jc w:val="right"/>
        </w:pPr>
        <w:r>
          <w:fldChar w:fldCharType="begin"/>
        </w:r>
        <w:r>
          <w:instrText>PAGE   \* MERGEFORMAT</w:instrText>
        </w:r>
        <w:r>
          <w:fldChar w:fldCharType="separate"/>
        </w:r>
        <w:r w:rsidR="00B8261A">
          <w:rPr>
            <w:noProof/>
          </w:rPr>
          <w:t>7</w:t>
        </w:r>
        <w:r>
          <w:fldChar w:fldCharType="end"/>
        </w:r>
      </w:p>
    </w:sdtContent>
  </w:sdt>
  <w:p w14:paraId="08A9ABA3" w14:textId="77777777" w:rsidR="006F1C0D" w:rsidRDefault="00EE694C"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0200B" w14:paraId="08A9ABA9" w14:textId="77777777" w:rsidTr="006E71D7">
      <w:tc>
        <w:tcPr>
          <w:tcW w:w="4606" w:type="dxa"/>
        </w:tcPr>
        <w:p w14:paraId="08A9ABA4" w14:textId="77777777" w:rsidR="006E71D7" w:rsidRDefault="00E97075" w:rsidP="00752770">
          <w:pPr>
            <w:pStyle w:val="Sidhuvud"/>
            <w:ind w:left="0"/>
          </w:pPr>
          <w:r>
            <w:rPr>
              <w:noProof/>
              <w:lang w:eastAsia="sv-SE"/>
            </w:rPr>
            <w:drawing>
              <wp:inline distT="0" distB="0" distL="0" distR="0" wp14:anchorId="08A9ABAF" wp14:editId="08A9ABB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8A9ABA5" w14:textId="77777777" w:rsidR="00FB32B9" w:rsidRDefault="00EE694C" w:rsidP="00FB32B9">
          <w:pPr>
            <w:ind w:right="916"/>
            <w:rPr>
              <w:rFonts w:ascii="TradeGothic" w:hAnsi="TradeGothic"/>
              <w:b/>
            </w:rPr>
          </w:pPr>
        </w:p>
        <w:p w14:paraId="08A9ABA6" w14:textId="77777777" w:rsidR="00FB32B9" w:rsidRDefault="00E97075" w:rsidP="00FB32B9">
          <w:pPr>
            <w:ind w:right="916"/>
          </w:pPr>
          <w:r>
            <w:rPr>
              <w:rFonts w:ascii="TradeGothic" w:hAnsi="TradeGothic"/>
              <w:b/>
            </w:rPr>
            <w:t>Promemoria</w:t>
          </w:r>
        </w:p>
        <w:p w14:paraId="08A9ABA7" w14:textId="77777777" w:rsidR="00FB32B9" w:rsidRDefault="00EE694C" w:rsidP="00FB32B9">
          <w:pPr>
            <w:jc w:val="right"/>
          </w:pPr>
        </w:p>
        <w:p w14:paraId="08A9ABA8" w14:textId="6884EADA" w:rsidR="006E71D7" w:rsidRDefault="00E97075" w:rsidP="00FB32B9">
          <w:pPr>
            <w:ind w:right="916"/>
          </w:pPr>
          <w:r>
            <w:rPr>
              <w:rFonts w:ascii="TradeGothic" w:hAnsi="TradeGothic"/>
              <w:b/>
              <w:noProof/>
            </w:rPr>
            <w:t>2015-11-1</w:t>
          </w:r>
          <w:r w:rsidR="00B929E7">
            <w:rPr>
              <w:rFonts w:ascii="TradeGothic" w:hAnsi="TradeGothic"/>
              <w:b/>
              <w:noProof/>
            </w:rPr>
            <w:t>9</w:t>
          </w:r>
          <w:r w:rsidRPr="00934953">
            <w:t xml:space="preserve"> </w:t>
          </w:r>
        </w:p>
      </w:tc>
    </w:tr>
  </w:tbl>
  <w:p w14:paraId="08A9ABAA" w14:textId="77777777" w:rsidR="00FB32B9" w:rsidRDefault="00EE694C" w:rsidP="00FB32B9">
    <w:pPr>
      <w:pStyle w:val="Avsndare"/>
      <w:framePr w:w="0" w:hRule="auto" w:hSpace="0" w:wrap="auto" w:vAnchor="margin" w:hAnchor="text" w:xAlign="left" w:yAlign="inline"/>
      <w:rPr>
        <w:b/>
        <w:i w:val="0"/>
        <w:sz w:val="22"/>
      </w:rPr>
    </w:pPr>
  </w:p>
  <w:p w14:paraId="08A9ABAB" w14:textId="77777777" w:rsidR="00FB32B9" w:rsidRDefault="00E97075" w:rsidP="00FB32B9">
    <w:pPr>
      <w:pStyle w:val="Avsndare"/>
      <w:framePr w:w="0" w:hRule="auto" w:hSpace="0" w:wrap="auto" w:vAnchor="margin" w:hAnchor="text" w:xAlign="left" w:yAlign="inline"/>
      <w:rPr>
        <w:b/>
        <w:i w:val="0"/>
        <w:sz w:val="22"/>
      </w:rPr>
    </w:pPr>
    <w:r>
      <w:rPr>
        <w:b/>
        <w:i w:val="0"/>
        <w:sz w:val="22"/>
      </w:rPr>
      <w:t>Statsrådsberedningen</w:t>
    </w:r>
  </w:p>
  <w:p w14:paraId="08A9ABAC" w14:textId="77777777" w:rsidR="00FB32B9" w:rsidRDefault="00EE694C" w:rsidP="00FB32B9">
    <w:pPr>
      <w:pStyle w:val="Avsndare"/>
      <w:framePr w:w="0" w:hRule="auto" w:hSpace="0" w:wrap="auto" w:vAnchor="margin" w:hAnchor="text" w:xAlign="left" w:yAlign="inline"/>
    </w:pPr>
  </w:p>
  <w:p w14:paraId="08A9ABAD" w14:textId="77777777" w:rsidR="00FB32B9" w:rsidRDefault="00E97075" w:rsidP="00FB32B9">
    <w:pPr>
      <w:pStyle w:val="Avsndare"/>
      <w:framePr w:w="0" w:hRule="auto" w:hSpace="0" w:wrap="auto" w:vAnchor="margin" w:hAnchor="text" w:xAlign="left" w:yAlign="inline"/>
    </w:pPr>
    <w:r>
      <w:t>EU-kansliet</w:t>
    </w:r>
  </w:p>
  <w:p w14:paraId="08A9ABAE" w14:textId="77777777" w:rsidR="0012376B" w:rsidRDefault="00EE694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F03842D4">
      <w:start w:val="1"/>
      <w:numFmt w:val="decimal"/>
      <w:pStyle w:val="Rubrik1"/>
      <w:lvlText w:val="%1."/>
      <w:lvlJc w:val="left"/>
      <w:pPr>
        <w:ind w:left="720" w:hanging="360"/>
      </w:pPr>
    </w:lvl>
    <w:lvl w:ilvl="1" w:tplc="1744039C" w:tentative="1">
      <w:start w:val="1"/>
      <w:numFmt w:val="lowerLetter"/>
      <w:lvlText w:val="%2."/>
      <w:lvlJc w:val="left"/>
      <w:pPr>
        <w:ind w:left="1440" w:hanging="360"/>
      </w:pPr>
    </w:lvl>
    <w:lvl w:ilvl="2" w:tplc="EBACE4A8" w:tentative="1">
      <w:start w:val="1"/>
      <w:numFmt w:val="lowerRoman"/>
      <w:lvlText w:val="%3."/>
      <w:lvlJc w:val="right"/>
      <w:pPr>
        <w:ind w:left="2160" w:hanging="180"/>
      </w:pPr>
    </w:lvl>
    <w:lvl w:ilvl="3" w:tplc="949A7872" w:tentative="1">
      <w:start w:val="1"/>
      <w:numFmt w:val="decimal"/>
      <w:lvlText w:val="%4."/>
      <w:lvlJc w:val="left"/>
      <w:pPr>
        <w:ind w:left="2880" w:hanging="360"/>
      </w:pPr>
    </w:lvl>
    <w:lvl w:ilvl="4" w:tplc="1646F5DC" w:tentative="1">
      <w:start w:val="1"/>
      <w:numFmt w:val="lowerLetter"/>
      <w:lvlText w:val="%5."/>
      <w:lvlJc w:val="left"/>
      <w:pPr>
        <w:ind w:left="3600" w:hanging="360"/>
      </w:pPr>
    </w:lvl>
    <w:lvl w:ilvl="5" w:tplc="AE4E51B8" w:tentative="1">
      <w:start w:val="1"/>
      <w:numFmt w:val="lowerRoman"/>
      <w:lvlText w:val="%6."/>
      <w:lvlJc w:val="right"/>
      <w:pPr>
        <w:ind w:left="4320" w:hanging="180"/>
      </w:pPr>
    </w:lvl>
    <w:lvl w:ilvl="6" w:tplc="65C80604" w:tentative="1">
      <w:start w:val="1"/>
      <w:numFmt w:val="decimal"/>
      <w:lvlText w:val="%7."/>
      <w:lvlJc w:val="left"/>
      <w:pPr>
        <w:ind w:left="5040" w:hanging="360"/>
      </w:pPr>
    </w:lvl>
    <w:lvl w:ilvl="7" w:tplc="1902D4E6" w:tentative="1">
      <w:start w:val="1"/>
      <w:numFmt w:val="lowerLetter"/>
      <w:lvlText w:val="%8."/>
      <w:lvlJc w:val="left"/>
      <w:pPr>
        <w:ind w:left="5760" w:hanging="360"/>
      </w:pPr>
    </w:lvl>
    <w:lvl w:ilvl="8" w:tplc="355677E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7806DA9C">
      <w:start w:val="1"/>
      <w:numFmt w:val="decimal"/>
      <w:lvlText w:val="%1."/>
      <w:lvlJc w:val="left"/>
      <w:pPr>
        <w:ind w:left="360" w:hanging="360"/>
      </w:pPr>
      <w:rPr>
        <w:b w:val="0"/>
      </w:rPr>
    </w:lvl>
    <w:lvl w:ilvl="1" w:tplc="36A26A3C" w:tentative="1">
      <w:start w:val="1"/>
      <w:numFmt w:val="lowerLetter"/>
      <w:lvlText w:val="%2."/>
      <w:lvlJc w:val="left"/>
      <w:pPr>
        <w:ind w:left="1080" w:hanging="360"/>
      </w:pPr>
    </w:lvl>
    <w:lvl w:ilvl="2" w:tplc="E67E0EEA" w:tentative="1">
      <w:start w:val="1"/>
      <w:numFmt w:val="lowerRoman"/>
      <w:lvlText w:val="%3."/>
      <w:lvlJc w:val="right"/>
      <w:pPr>
        <w:ind w:left="1800" w:hanging="180"/>
      </w:pPr>
    </w:lvl>
    <w:lvl w:ilvl="3" w:tplc="7E68D3A0" w:tentative="1">
      <w:start w:val="1"/>
      <w:numFmt w:val="decimal"/>
      <w:lvlText w:val="%4."/>
      <w:lvlJc w:val="left"/>
      <w:pPr>
        <w:ind w:left="2520" w:hanging="360"/>
      </w:pPr>
    </w:lvl>
    <w:lvl w:ilvl="4" w:tplc="45D6A57A" w:tentative="1">
      <w:start w:val="1"/>
      <w:numFmt w:val="lowerLetter"/>
      <w:lvlText w:val="%5."/>
      <w:lvlJc w:val="left"/>
      <w:pPr>
        <w:ind w:left="3240" w:hanging="360"/>
      </w:pPr>
    </w:lvl>
    <w:lvl w:ilvl="5" w:tplc="E2464982" w:tentative="1">
      <w:start w:val="1"/>
      <w:numFmt w:val="lowerRoman"/>
      <w:lvlText w:val="%6."/>
      <w:lvlJc w:val="right"/>
      <w:pPr>
        <w:ind w:left="3960" w:hanging="180"/>
      </w:pPr>
    </w:lvl>
    <w:lvl w:ilvl="6" w:tplc="807ED164" w:tentative="1">
      <w:start w:val="1"/>
      <w:numFmt w:val="decimal"/>
      <w:lvlText w:val="%7."/>
      <w:lvlJc w:val="left"/>
      <w:pPr>
        <w:ind w:left="4680" w:hanging="360"/>
      </w:pPr>
    </w:lvl>
    <w:lvl w:ilvl="7" w:tplc="7B22557A" w:tentative="1">
      <w:start w:val="1"/>
      <w:numFmt w:val="lowerLetter"/>
      <w:lvlText w:val="%8."/>
      <w:lvlJc w:val="left"/>
      <w:pPr>
        <w:ind w:left="5400" w:hanging="360"/>
      </w:pPr>
    </w:lvl>
    <w:lvl w:ilvl="8" w:tplc="7E145BF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0B"/>
    <w:rsid w:val="0070200B"/>
    <w:rsid w:val="007302D8"/>
    <w:rsid w:val="00B8261A"/>
    <w:rsid w:val="00B929E7"/>
    <w:rsid w:val="00C07370"/>
    <w:rsid w:val="00E97075"/>
    <w:rsid w:val="00EE694C"/>
    <w:rsid w:val="00F06D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AB24"/>
  <w15:docId w15:val="{0B6E5FCB-D40A-4DEF-A0E3-F1808FF8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JE6N4JFJXNNF-9-70027</_dlc_DocId>
    <_dlc_DocIdUrl xmlns="8b66ae41-1ec6-402e-b662-35d1932ca064">
      <Url>http://rkdhs-sb/enhet/EUKansli/_layouts/DocIdRedir.aspx?ID=JE6N4JFJXNNF-9-70027</Url>
      <Description>JE6N4JFJXNNF-9-70027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9220D-6A86-4924-805F-9B148153F138}">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2.xml><?xml version="1.0" encoding="utf-8"?>
<ds:datastoreItem xmlns:ds="http://schemas.openxmlformats.org/officeDocument/2006/customXml" ds:itemID="{ABD6AFD7-7211-49F9-BCA5-CBB5392B641D}">
  <ds:schemaRefs>
    <ds:schemaRef ds:uri="http://schemas.microsoft.com/sharepoint/v3/contenttype/forms"/>
  </ds:schemaRefs>
</ds:datastoreItem>
</file>

<file path=customXml/itemProps3.xml><?xml version="1.0" encoding="utf-8"?>
<ds:datastoreItem xmlns:ds="http://schemas.openxmlformats.org/officeDocument/2006/customXml" ds:itemID="{4FB9ED47-1CF9-483F-B5AC-1A7B0104A2AD}">
  <ds:schemaRefs>
    <ds:schemaRef ds:uri="http://schemas.microsoft.com/sharepoint/v3/contenttype/forms/url"/>
  </ds:schemaRefs>
</ds:datastoreItem>
</file>

<file path=customXml/itemProps4.xml><?xml version="1.0" encoding="utf-8"?>
<ds:datastoreItem xmlns:ds="http://schemas.openxmlformats.org/officeDocument/2006/customXml" ds:itemID="{5E22F364-7413-4FA3-8031-683768BCAEF2}">
  <ds:schemaRefs>
    <ds:schemaRef ds:uri="http://schemas.microsoft.com/office/2006/metadata/customXsn"/>
  </ds:schemaRefs>
</ds:datastoreItem>
</file>

<file path=customXml/itemProps5.xml><?xml version="1.0" encoding="utf-8"?>
<ds:datastoreItem xmlns:ds="http://schemas.openxmlformats.org/officeDocument/2006/customXml" ds:itemID="{C046D969-ED52-4AC1-A6C1-3F77DD7BEC0A}">
  <ds:schemaRefs>
    <ds:schemaRef ds:uri="http://schemas.microsoft.com/sharepoint/events"/>
  </ds:schemaRefs>
</ds:datastoreItem>
</file>

<file path=customXml/itemProps6.xml><?xml version="1.0" encoding="utf-8"?>
<ds:datastoreItem xmlns:ds="http://schemas.openxmlformats.org/officeDocument/2006/customXml" ds:itemID="{11F6D251-A118-41FC-AA8D-145DA1C62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70798DA-4221-4862-B51A-DBBD538B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2203</Words>
  <Characters>11680</Characters>
  <Application>Microsoft Office Word</Application>
  <DocSecurity>0</DocSecurity>
  <Lines>97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2015-11-19T10:29:00Z</dcterms:created>
  <dcterms:modified xsi:type="dcterms:W3CDTF">2015-11-19T10:29:00Z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55d9de05-c5f8-4c6a-ae82-871fb0b4f2c1</vt:lpwstr>
  </property>
</Properties>
</file>