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26 februari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den statliga styrningen av det civila försvarets uppbyggnad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Minister för civilt försvar 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Arbetsrätt och arbetstid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2026-02-26</SAFIR_Sammantradesdatum_Doc>
    <SAFIR_SammantradeID xmlns="C07A1A6C-0B19-41D9-BDF8-F523BA3921EB">55ca1fce-da4f-44e3-9928-64de9384cfa8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61EC43A7-145D-4719-AA23-FED5FFE3E96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