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rsidTr="00103F5F">
        <w:trPr>
          <w:cantSplit/>
          <w:trHeight w:val="742"/>
        </w:trPr>
        <w:tc>
          <w:tcPr>
            <w:tcW w:w="1985" w:type="dxa"/>
          </w:tcPr>
          <w:p w:rsidR="0096348C" w:rsidRDefault="00C07F65" w:rsidP="0096348C">
            <w:pPr>
              <w:rPr>
                <w:b/>
              </w:rPr>
            </w:pPr>
            <w:r>
              <w:rPr>
                <w:b/>
              </w:rPr>
              <w:t xml:space="preserve">Protokoll </w:t>
            </w:r>
          </w:p>
        </w:tc>
        <w:tc>
          <w:tcPr>
            <w:tcW w:w="6237" w:type="dxa"/>
          </w:tcPr>
          <w:p w:rsidR="0096348C" w:rsidRDefault="00F5222B" w:rsidP="00E97AED">
            <w:pPr>
              <w:ind w:right="-269"/>
              <w:rPr>
                <w:b/>
              </w:rPr>
            </w:pPr>
            <w:r>
              <w:rPr>
                <w:b/>
              </w:rPr>
              <w:t>Utskottssammanträde 20</w:t>
            </w:r>
            <w:r w:rsidR="00E12150">
              <w:rPr>
                <w:b/>
              </w:rPr>
              <w:t>20</w:t>
            </w:r>
            <w:r>
              <w:rPr>
                <w:b/>
              </w:rPr>
              <w:t>/</w:t>
            </w:r>
            <w:r w:rsidR="00917732">
              <w:rPr>
                <w:b/>
              </w:rPr>
              <w:t>2</w:t>
            </w:r>
            <w:r w:rsidR="00E12150">
              <w:rPr>
                <w:b/>
              </w:rPr>
              <w:t>1</w:t>
            </w:r>
            <w:r w:rsidR="00C07F65">
              <w:rPr>
                <w:b/>
              </w:rPr>
              <w:t>:</w:t>
            </w:r>
            <w:r w:rsidR="00985A1B">
              <w:rPr>
                <w:b/>
              </w:rPr>
              <w:t>8</w:t>
            </w:r>
          </w:p>
          <w:p w:rsidR="0096348C" w:rsidRDefault="0096348C" w:rsidP="00E97AED">
            <w:pPr>
              <w:ind w:right="-269"/>
              <w:rPr>
                <w:b/>
              </w:rPr>
            </w:pPr>
          </w:p>
        </w:tc>
      </w:tr>
      <w:tr w:rsidR="0096348C" w:rsidTr="00103F5F">
        <w:tc>
          <w:tcPr>
            <w:tcW w:w="1985" w:type="dxa"/>
          </w:tcPr>
          <w:p w:rsidR="0096348C" w:rsidRDefault="00C07F65" w:rsidP="0096348C">
            <w:r>
              <w:t>Datum</w:t>
            </w:r>
          </w:p>
        </w:tc>
        <w:tc>
          <w:tcPr>
            <w:tcW w:w="6237" w:type="dxa"/>
          </w:tcPr>
          <w:p w:rsidR="008035C8" w:rsidRDefault="00A257B8" w:rsidP="00AF3CA6">
            <w:pPr>
              <w:ind w:right="355"/>
            </w:pPr>
            <w:r>
              <w:t>20</w:t>
            </w:r>
            <w:r w:rsidR="00CF36BC">
              <w:t>20</w:t>
            </w:r>
            <w:r>
              <w:t>-</w:t>
            </w:r>
            <w:r w:rsidR="00985A1B">
              <w:t>10-15</w:t>
            </w:r>
          </w:p>
        </w:tc>
      </w:tr>
      <w:tr w:rsidR="0096348C" w:rsidTr="00103F5F">
        <w:tc>
          <w:tcPr>
            <w:tcW w:w="1985" w:type="dxa"/>
          </w:tcPr>
          <w:p w:rsidR="0096348C" w:rsidRDefault="00C07F65" w:rsidP="0096348C">
            <w:r>
              <w:t>Tid</w:t>
            </w:r>
          </w:p>
        </w:tc>
        <w:tc>
          <w:tcPr>
            <w:tcW w:w="6237" w:type="dxa"/>
          </w:tcPr>
          <w:p w:rsidR="0096348C" w:rsidRDefault="00111135" w:rsidP="00AF3CA6">
            <w:pPr>
              <w:ind w:right="-269"/>
            </w:pPr>
            <w:r>
              <w:t xml:space="preserve">kl. </w:t>
            </w:r>
            <w:r w:rsidR="00985A1B">
              <w:t>11.00-</w:t>
            </w:r>
            <w:r w:rsidR="00A24379">
              <w:t>12.28</w:t>
            </w:r>
          </w:p>
        </w:tc>
      </w:tr>
      <w:tr w:rsidR="0096348C" w:rsidTr="00103F5F">
        <w:tc>
          <w:tcPr>
            <w:tcW w:w="1985" w:type="dxa"/>
          </w:tcPr>
          <w:p w:rsidR="0096348C" w:rsidRDefault="00C07F65" w:rsidP="0096348C">
            <w:r>
              <w:t>Närvarande</w:t>
            </w:r>
          </w:p>
        </w:tc>
        <w:tc>
          <w:tcPr>
            <w:tcW w:w="6237" w:type="dxa"/>
          </w:tcPr>
          <w:p w:rsidR="0096348C" w:rsidRDefault="0096348C" w:rsidP="00E97AED">
            <w:pPr>
              <w:ind w:right="-269"/>
            </w:pPr>
            <w:r>
              <w:t>Se bilaga 1</w:t>
            </w:r>
          </w:p>
          <w:p w:rsidR="003C0E60" w:rsidRDefault="003C0E60" w:rsidP="00E97AED">
            <w:pPr>
              <w:ind w:right="-269"/>
            </w:pPr>
          </w:p>
        </w:tc>
      </w:tr>
    </w:tbl>
    <w:p w:rsidR="00A24379" w:rsidRDefault="00A24379" w:rsidP="0096348C">
      <w:pPr>
        <w:tabs>
          <w:tab w:val="left" w:pos="1701"/>
        </w:tabs>
        <w:rPr>
          <w:snapToGrid w:val="0"/>
          <w:color w:val="000000"/>
        </w:rPr>
      </w:pPr>
    </w:p>
    <w:p w:rsidR="00A24379" w:rsidRDefault="00A24379"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8010"/>
      </w:tblGrid>
      <w:tr w:rsidR="00985A1B" w:rsidTr="00A24379">
        <w:tc>
          <w:tcPr>
            <w:tcW w:w="567" w:type="dxa"/>
          </w:tcPr>
          <w:p w:rsidR="00985A1B" w:rsidRDefault="00985A1B" w:rsidP="00EF57E7">
            <w:pPr>
              <w:tabs>
                <w:tab w:val="left" w:pos="1701"/>
              </w:tabs>
              <w:rPr>
                <w:b/>
                <w:snapToGrid w:val="0"/>
              </w:rPr>
            </w:pPr>
            <w:r>
              <w:rPr>
                <w:b/>
                <w:snapToGrid w:val="0"/>
              </w:rPr>
              <w:t>§ 1</w:t>
            </w:r>
          </w:p>
        </w:tc>
        <w:tc>
          <w:tcPr>
            <w:tcW w:w="8010" w:type="dxa"/>
          </w:tcPr>
          <w:p w:rsidR="00985A1B" w:rsidRDefault="00985A1B" w:rsidP="00342BB1">
            <w:pPr>
              <w:outlineLvl w:val="0"/>
              <w:rPr>
                <w:rFonts w:eastAsiaTheme="minorHAnsi"/>
                <w:b/>
                <w:bCs/>
                <w:color w:val="000000"/>
                <w:szCs w:val="24"/>
                <w:lang w:eastAsia="en-US"/>
              </w:rPr>
            </w:pPr>
            <w:r w:rsidRPr="005F51EC">
              <w:rPr>
                <w:rFonts w:eastAsiaTheme="minorHAnsi"/>
                <w:b/>
                <w:bCs/>
                <w:color w:val="000000"/>
                <w:szCs w:val="24"/>
                <w:lang w:eastAsia="en-US"/>
              </w:rPr>
              <w:t>Fråga om medgivande till deltagande på distans</w:t>
            </w:r>
          </w:p>
          <w:p w:rsidR="00985A1B" w:rsidRDefault="00985A1B" w:rsidP="00985A1B">
            <w:pPr>
              <w:rPr>
                <w:color w:val="000000"/>
                <w:szCs w:val="24"/>
              </w:rPr>
            </w:pPr>
            <w:r w:rsidRPr="005F58DF">
              <w:rPr>
                <w:color w:val="000000"/>
                <w:szCs w:val="24"/>
              </w:rPr>
              <w:t xml:space="preserve">Utskottet medgav deltagande på distans under punkterna 2 – </w:t>
            </w:r>
            <w:r>
              <w:rPr>
                <w:color w:val="000000"/>
                <w:szCs w:val="24"/>
              </w:rPr>
              <w:t>15</w:t>
            </w:r>
            <w:r w:rsidRPr="005F58DF">
              <w:rPr>
                <w:color w:val="000000"/>
                <w:szCs w:val="24"/>
              </w:rPr>
              <w:t xml:space="preserve"> på föredragningslistan för </w:t>
            </w:r>
            <w:r w:rsidRPr="005F58DF">
              <w:rPr>
                <w:color w:val="000000" w:themeColor="text1"/>
                <w:szCs w:val="24"/>
              </w:rPr>
              <w:t>följande ordinarie ledamöter och suppleanter</w:t>
            </w:r>
            <w:r w:rsidRPr="005F58DF">
              <w:rPr>
                <w:color w:val="000000"/>
                <w:szCs w:val="24"/>
              </w:rPr>
              <w:t>:</w:t>
            </w:r>
            <w:r>
              <w:rPr>
                <w:color w:val="000000"/>
                <w:szCs w:val="24"/>
              </w:rPr>
              <w:t xml:space="preserve"> </w:t>
            </w:r>
          </w:p>
          <w:p w:rsidR="00985A1B" w:rsidRPr="00A24379" w:rsidRDefault="00A24379" w:rsidP="00A24379">
            <w:pPr>
              <w:outlineLvl w:val="0"/>
            </w:pPr>
            <w:r w:rsidRPr="00985A1B">
              <w:t>Ulla Andersson (V)</w:t>
            </w:r>
            <w:r>
              <w:t xml:space="preserve">, </w:t>
            </w:r>
            <w:r w:rsidRPr="00A24379">
              <w:rPr>
                <w:szCs w:val="24"/>
              </w:rPr>
              <w:t>Jan Ericson (M),</w:t>
            </w:r>
            <w:r>
              <w:rPr>
                <w:szCs w:val="24"/>
              </w:rPr>
              <w:t xml:space="preserve"> </w:t>
            </w:r>
            <w:r w:rsidRPr="00985A1B">
              <w:t xml:space="preserve">Ingela Nylund Watz (S), </w:t>
            </w:r>
            <w:r w:rsidRPr="00A24379">
              <w:rPr>
                <w:szCs w:val="24"/>
              </w:rPr>
              <w:t>Mats Persson (L),</w:t>
            </w:r>
            <w:r>
              <w:rPr>
                <w:szCs w:val="24"/>
              </w:rPr>
              <w:t xml:space="preserve"> </w:t>
            </w:r>
            <w:r w:rsidRPr="00A24379">
              <w:rPr>
                <w:szCs w:val="24"/>
              </w:rPr>
              <w:t>Sofia Westergren (M),</w:t>
            </w:r>
            <w:r>
              <w:t xml:space="preserve"> </w:t>
            </w:r>
            <w:r w:rsidR="00985A1B" w:rsidRPr="00A24379">
              <w:rPr>
                <w:szCs w:val="24"/>
              </w:rPr>
              <w:t xml:space="preserve">Eva Lindh (S), Rickard Nordin (C), </w:t>
            </w:r>
            <w:r>
              <w:rPr>
                <w:szCs w:val="24"/>
              </w:rPr>
              <w:t>Alexander Christiansson (SD).</w:t>
            </w:r>
          </w:p>
          <w:p w:rsidR="00985A1B" w:rsidRDefault="00985A1B" w:rsidP="00A24379">
            <w:pPr>
              <w:outlineLvl w:val="0"/>
              <w:rPr>
                <w:b/>
              </w:rPr>
            </w:pPr>
          </w:p>
        </w:tc>
      </w:tr>
      <w:tr w:rsidR="00985A1B" w:rsidTr="00A24379">
        <w:tc>
          <w:tcPr>
            <w:tcW w:w="567" w:type="dxa"/>
          </w:tcPr>
          <w:p w:rsidR="00985A1B" w:rsidRDefault="00985A1B" w:rsidP="00EF57E7">
            <w:pPr>
              <w:tabs>
                <w:tab w:val="left" w:pos="1701"/>
              </w:tabs>
              <w:rPr>
                <w:b/>
                <w:snapToGrid w:val="0"/>
              </w:rPr>
            </w:pPr>
            <w:r>
              <w:rPr>
                <w:b/>
                <w:snapToGrid w:val="0"/>
              </w:rPr>
              <w:t>§ 2</w:t>
            </w:r>
          </w:p>
        </w:tc>
        <w:tc>
          <w:tcPr>
            <w:tcW w:w="8010" w:type="dxa"/>
          </w:tcPr>
          <w:p w:rsidR="00985A1B" w:rsidRDefault="00985A1B" w:rsidP="00342BB1">
            <w:pPr>
              <w:outlineLvl w:val="0"/>
              <w:rPr>
                <w:rFonts w:eastAsiaTheme="minorHAnsi"/>
                <w:b/>
                <w:bCs/>
                <w:color w:val="000000"/>
                <w:szCs w:val="24"/>
                <w:lang w:eastAsia="en-US"/>
              </w:rPr>
            </w:pPr>
            <w:r>
              <w:rPr>
                <w:rFonts w:eastAsiaTheme="minorHAnsi"/>
                <w:b/>
                <w:bCs/>
                <w:color w:val="000000"/>
                <w:szCs w:val="24"/>
                <w:lang w:eastAsia="en-US"/>
              </w:rPr>
              <w:t>Val av ordförande i utskottet</w:t>
            </w:r>
          </w:p>
          <w:p w:rsidR="00A24379" w:rsidRPr="00A24379" w:rsidRDefault="00A24379" w:rsidP="00342BB1">
            <w:pPr>
              <w:outlineLvl w:val="0"/>
              <w:rPr>
                <w:rFonts w:eastAsiaTheme="minorHAnsi"/>
                <w:bCs/>
                <w:color w:val="000000"/>
                <w:szCs w:val="24"/>
                <w:lang w:eastAsia="en-US"/>
              </w:rPr>
            </w:pPr>
            <w:r w:rsidRPr="00A24379">
              <w:rPr>
                <w:rFonts w:eastAsiaTheme="minorHAnsi"/>
                <w:bCs/>
                <w:color w:val="000000"/>
                <w:szCs w:val="24"/>
                <w:lang w:eastAsia="en-US"/>
              </w:rPr>
              <w:t xml:space="preserve">Utskottet </w:t>
            </w:r>
            <w:r>
              <w:rPr>
                <w:rFonts w:eastAsiaTheme="minorHAnsi"/>
                <w:bCs/>
                <w:color w:val="000000"/>
                <w:szCs w:val="24"/>
                <w:lang w:eastAsia="en-US"/>
              </w:rPr>
              <w:t xml:space="preserve">beslutade att välja </w:t>
            </w:r>
            <w:r w:rsidRPr="00A24379">
              <w:rPr>
                <w:rFonts w:eastAsiaTheme="minorHAnsi"/>
                <w:bCs/>
                <w:color w:val="000000"/>
                <w:szCs w:val="24"/>
                <w:lang w:eastAsia="en-US"/>
              </w:rPr>
              <w:t xml:space="preserve">Åsa Westlund </w:t>
            </w:r>
            <w:r>
              <w:rPr>
                <w:rFonts w:eastAsiaTheme="minorHAnsi"/>
                <w:bCs/>
                <w:color w:val="000000"/>
                <w:szCs w:val="24"/>
                <w:lang w:eastAsia="en-US"/>
              </w:rPr>
              <w:t xml:space="preserve">(S) </w:t>
            </w:r>
            <w:r w:rsidRPr="00A24379">
              <w:rPr>
                <w:rFonts w:eastAsiaTheme="minorHAnsi"/>
                <w:bCs/>
                <w:color w:val="000000"/>
                <w:szCs w:val="24"/>
                <w:lang w:eastAsia="en-US"/>
              </w:rPr>
              <w:t>till ordförande</w:t>
            </w:r>
            <w:r>
              <w:rPr>
                <w:rFonts w:eastAsiaTheme="minorHAnsi"/>
                <w:bCs/>
                <w:color w:val="000000"/>
                <w:szCs w:val="24"/>
                <w:lang w:eastAsia="en-US"/>
              </w:rPr>
              <w:t xml:space="preserve"> i utskottet. </w:t>
            </w:r>
          </w:p>
          <w:p w:rsidR="00985A1B" w:rsidRDefault="00985A1B" w:rsidP="00342BB1">
            <w:pPr>
              <w:outlineLvl w:val="0"/>
              <w:rPr>
                <w:b/>
              </w:rPr>
            </w:pPr>
          </w:p>
        </w:tc>
      </w:tr>
      <w:tr w:rsidR="00985A1B" w:rsidTr="00A24379">
        <w:tc>
          <w:tcPr>
            <w:tcW w:w="567" w:type="dxa"/>
          </w:tcPr>
          <w:p w:rsidR="00985A1B" w:rsidRDefault="00985A1B" w:rsidP="00EF57E7">
            <w:pPr>
              <w:tabs>
                <w:tab w:val="left" w:pos="1701"/>
              </w:tabs>
              <w:rPr>
                <w:b/>
                <w:snapToGrid w:val="0"/>
              </w:rPr>
            </w:pPr>
            <w:r>
              <w:rPr>
                <w:b/>
                <w:snapToGrid w:val="0"/>
              </w:rPr>
              <w:t>§ 3</w:t>
            </w:r>
          </w:p>
        </w:tc>
        <w:tc>
          <w:tcPr>
            <w:tcW w:w="8010" w:type="dxa"/>
          </w:tcPr>
          <w:p w:rsidR="00985A1B" w:rsidRDefault="00985A1B" w:rsidP="00342BB1">
            <w:pPr>
              <w:outlineLvl w:val="0"/>
              <w:rPr>
                <w:rFonts w:eastAsiaTheme="minorHAnsi"/>
                <w:b/>
                <w:bCs/>
                <w:color w:val="000000"/>
                <w:szCs w:val="24"/>
                <w:lang w:eastAsia="en-US"/>
              </w:rPr>
            </w:pPr>
            <w:r>
              <w:rPr>
                <w:rFonts w:eastAsiaTheme="minorHAnsi"/>
                <w:b/>
                <w:bCs/>
                <w:color w:val="000000"/>
                <w:szCs w:val="24"/>
                <w:lang w:eastAsia="en-US"/>
              </w:rPr>
              <w:t>Kommande EU-förslag i arbetet mot penningtvätt</w:t>
            </w:r>
          </w:p>
          <w:p w:rsidR="00A24379" w:rsidRDefault="00985A1B" w:rsidP="00342BB1">
            <w:pPr>
              <w:outlineLvl w:val="0"/>
              <w:rPr>
                <w:rFonts w:eastAsiaTheme="minorHAnsi"/>
                <w:color w:val="000000"/>
                <w:szCs w:val="24"/>
                <w:lang w:eastAsia="en-US"/>
              </w:rPr>
            </w:pPr>
            <w:r>
              <w:rPr>
                <w:rFonts w:eastAsiaTheme="minorHAnsi"/>
                <w:color w:val="000000"/>
                <w:szCs w:val="24"/>
                <w:lang w:eastAsia="en-US"/>
              </w:rPr>
              <w:t>Utskottet överlade med statssekreterare Ulf Holm</w:t>
            </w:r>
            <w:r w:rsidR="00A24379">
              <w:rPr>
                <w:rFonts w:eastAsiaTheme="minorHAnsi"/>
                <w:color w:val="000000"/>
                <w:szCs w:val="24"/>
                <w:lang w:eastAsia="en-US"/>
              </w:rPr>
              <w:t xml:space="preserve"> om </w:t>
            </w:r>
            <w:r w:rsidR="00A24379" w:rsidRPr="00A24379">
              <w:rPr>
                <w:rFonts w:eastAsiaTheme="minorHAnsi"/>
                <w:color w:val="000000"/>
                <w:szCs w:val="24"/>
                <w:lang w:eastAsia="en-US"/>
              </w:rPr>
              <w:t>kommissionen</w:t>
            </w:r>
            <w:r w:rsidR="00A24379">
              <w:rPr>
                <w:rFonts w:eastAsiaTheme="minorHAnsi"/>
                <w:color w:val="000000"/>
                <w:szCs w:val="24"/>
                <w:lang w:eastAsia="en-US"/>
              </w:rPr>
              <w:t>s</w:t>
            </w:r>
            <w:r w:rsidR="00A24379" w:rsidRPr="00A24379">
              <w:rPr>
                <w:rFonts w:eastAsiaTheme="minorHAnsi"/>
                <w:color w:val="000000"/>
                <w:szCs w:val="24"/>
                <w:lang w:eastAsia="en-US"/>
              </w:rPr>
              <w:t xml:space="preserve"> senaste handlingsplan på området bekämpning av penningtvätt och finansiering av terrorism.</w:t>
            </w:r>
          </w:p>
          <w:p w:rsidR="00A24379" w:rsidRDefault="00A24379" w:rsidP="00342BB1">
            <w:pPr>
              <w:outlineLvl w:val="0"/>
              <w:rPr>
                <w:rFonts w:eastAsiaTheme="minorHAnsi"/>
                <w:color w:val="000000"/>
                <w:szCs w:val="24"/>
                <w:lang w:eastAsia="en-US"/>
              </w:rPr>
            </w:pPr>
          </w:p>
          <w:p w:rsidR="00A24379" w:rsidRDefault="00A24379" w:rsidP="00342BB1">
            <w:pPr>
              <w:outlineLvl w:val="0"/>
              <w:rPr>
                <w:rFonts w:eastAsiaTheme="minorHAnsi"/>
                <w:color w:val="000000"/>
                <w:szCs w:val="24"/>
                <w:lang w:eastAsia="en-US"/>
              </w:rPr>
            </w:pPr>
            <w:r w:rsidRPr="00A24379">
              <w:rPr>
                <w:rFonts w:eastAsiaTheme="minorHAnsi"/>
                <w:color w:val="000000"/>
                <w:szCs w:val="24"/>
                <w:lang w:eastAsia="en-US"/>
              </w:rPr>
              <w:t xml:space="preserve">Underlag för överläggningen var departementets överläggningspromemoria och en presentation (dnr. </w:t>
            </w:r>
            <w:proofErr w:type="gramStart"/>
            <w:r w:rsidR="007814AA">
              <w:t>451-2020</w:t>
            </w:r>
            <w:proofErr w:type="gramEnd"/>
            <w:r w:rsidR="007814AA">
              <w:t>/21</w:t>
            </w:r>
            <w:r w:rsidRPr="00A24379">
              <w:rPr>
                <w:rFonts w:eastAsiaTheme="minorHAnsi"/>
                <w:color w:val="000000"/>
                <w:szCs w:val="24"/>
                <w:lang w:eastAsia="en-US"/>
              </w:rPr>
              <w:t xml:space="preserve">). </w:t>
            </w:r>
          </w:p>
          <w:p w:rsidR="00A24379" w:rsidRDefault="00A24379" w:rsidP="00342BB1">
            <w:pPr>
              <w:outlineLvl w:val="0"/>
              <w:rPr>
                <w:rFonts w:eastAsiaTheme="minorHAnsi"/>
                <w:color w:val="000000"/>
                <w:szCs w:val="24"/>
                <w:lang w:eastAsia="en-US"/>
              </w:rPr>
            </w:pPr>
          </w:p>
          <w:p w:rsidR="00A24379" w:rsidRPr="00A24379" w:rsidRDefault="00A24379" w:rsidP="00A24379">
            <w:pPr>
              <w:outlineLvl w:val="0"/>
              <w:rPr>
                <w:rFonts w:eastAsiaTheme="minorHAnsi"/>
                <w:color w:val="000000"/>
                <w:szCs w:val="24"/>
                <w:lang w:eastAsia="en-US"/>
              </w:rPr>
            </w:pPr>
            <w:r w:rsidRPr="00A24379">
              <w:rPr>
                <w:rFonts w:eastAsiaTheme="minorHAnsi"/>
                <w:color w:val="000000"/>
                <w:szCs w:val="24"/>
                <w:lang w:eastAsia="en-US"/>
              </w:rPr>
              <w:t>Statssekreteraren redogjorde för regeringens ståndpunkt i enlighet med överläggningspromemorian:</w:t>
            </w:r>
          </w:p>
          <w:p w:rsidR="00A24379" w:rsidRPr="00A24379" w:rsidRDefault="00A24379" w:rsidP="00A24379">
            <w:pPr>
              <w:outlineLvl w:val="0"/>
              <w:rPr>
                <w:rFonts w:eastAsiaTheme="minorHAnsi"/>
                <w:color w:val="000000"/>
                <w:szCs w:val="24"/>
                <w:lang w:eastAsia="en-US"/>
              </w:rPr>
            </w:pPr>
            <w:r>
              <w:rPr>
                <w:rFonts w:eastAsiaTheme="minorHAnsi"/>
                <w:color w:val="000000"/>
                <w:szCs w:val="24"/>
                <w:lang w:eastAsia="en-US"/>
              </w:rPr>
              <w:t>”</w:t>
            </w:r>
            <w:r w:rsidRPr="00A24379">
              <w:rPr>
                <w:rFonts w:eastAsiaTheme="minorHAnsi"/>
                <w:color w:val="000000"/>
                <w:szCs w:val="24"/>
                <w:lang w:eastAsia="en-US"/>
              </w:rPr>
              <w:t>Regeringen anser att såväl tillsynen som det övriga samarbetet på området bekämpning av penningtvätt och finansiering av terrorism i EU behöver förbättras och att det är angeläget med fortsatta reformer.</w:t>
            </w:r>
          </w:p>
          <w:p w:rsidR="00A24379" w:rsidRPr="00A24379" w:rsidRDefault="00A24379" w:rsidP="00A24379">
            <w:pPr>
              <w:outlineLvl w:val="0"/>
              <w:rPr>
                <w:rFonts w:eastAsiaTheme="minorHAnsi"/>
                <w:color w:val="000000"/>
                <w:szCs w:val="24"/>
                <w:lang w:eastAsia="en-US"/>
              </w:rPr>
            </w:pPr>
            <w:r w:rsidRPr="00A24379">
              <w:rPr>
                <w:rFonts w:eastAsiaTheme="minorHAnsi"/>
                <w:color w:val="000000"/>
                <w:szCs w:val="24"/>
                <w:lang w:eastAsia="en-US"/>
              </w:rPr>
              <w:t>En omvandling av delar av penningtvättsregelverket till en förordning där en förstärkning av tillsynen på EU-nivå och ett fördjupat samarbete mellan ländernas finansunderrättelseenheter ingår kan vara lämpliga sätt att åstadkomma sådana förbättringar.</w:t>
            </w:r>
          </w:p>
          <w:p w:rsidR="00A24379" w:rsidRPr="00A24379" w:rsidRDefault="00A24379" w:rsidP="00A24379">
            <w:pPr>
              <w:outlineLvl w:val="0"/>
              <w:rPr>
                <w:rFonts w:eastAsiaTheme="minorHAnsi"/>
                <w:color w:val="000000"/>
                <w:szCs w:val="24"/>
                <w:lang w:eastAsia="en-US"/>
              </w:rPr>
            </w:pPr>
            <w:r w:rsidRPr="00A24379">
              <w:rPr>
                <w:rFonts w:eastAsiaTheme="minorHAnsi"/>
                <w:color w:val="000000"/>
                <w:szCs w:val="24"/>
                <w:lang w:eastAsia="en-US"/>
              </w:rPr>
              <w:t>Regeringen anser att de kommande reformerna måste vara väl avvägda, ändamålsenliga och kostnadseffektiva. De måste beakta budgetära konsekvenser, principerna om proportionalitet och subsidiaritet samt åtföljas av ett förslag till finansiering. Vidare bör det finnas tillräckliga möjligheter till ansvarsutkrävande och insyn för verksamhet som bedrivs på EU-nivå.</w:t>
            </w:r>
          </w:p>
          <w:p w:rsidR="00A24379" w:rsidRDefault="00A24379" w:rsidP="00A24379">
            <w:pPr>
              <w:outlineLvl w:val="0"/>
              <w:rPr>
                <w:rFonts w:eastAsiaTheme="minorHAnsi"/>
                <w:color w:val="000000"/>
                <w:szCs w:val="24"/>
                <w:lang w:eastAsia="en-US"/>
              </w:rPr>
            </w:pPr>
            <w:r w:rsidRPr="00A24379">
              <w:rPr>
                <w:rFonts w:eastAsiaTheme="minorHAnsi"/>
                <w:color w:val="000000"/>
                <w:szCs w:val="24"/>
                <w:lang w:eastAsia="en-US"/>
              </w:rPr>
              <w:t>En eventuell tillsyn på EU-nivå på området bekämpning av penningtvätt och finansiering av terrorism bör omfatta hela EU och inte bara bankunionen, men begränsa sig till de verksamhetsutövare där riskerna är störst. I linje med detta anser regeringen att en stor del av den direkta tillsynen över de verksamhetsutövare som omfattas av regelverket fortsatt bör ankomma på nationella tillsynsmyndigheter</w:t>
            </w:r>
            <w:r>
              <w:rPr>
                <w:rFonts w:eastAsiaTheme="minorHAnsi"/>
                <w:color w:val="000000"/>
                <w:szCs w:val="24"/>
                <w:lang w:eastAsia="en-US"/>
              </w:rPr>
              <w:t>.”</w:t>
            </w:r>
          </w:p>
          <w:p w:rsidR="00A24379" w:rsidRDefault="00A24379" w:rsidP="00A24379">
            <w:pPr>
              <w:outlineLvl w:val="0"/>
              <w:rPr>
                <w:rFonts w:eastAsiaTheme="minorHAnsi"/>
                <w:color w:val="000000"/>
                <w:szCs w:val="24"/>
                <w:lang w:eastAsia="en-US"/>
              </w:rPr>
            </w:pPr>
          </w:p>
          <w:p w:rsidR="00A24379" w:rsidRPr="0071546A" w:rsidRDefault="00A24379" w:rsidP="00A24379">
            <w:pPr>
              <w:widowControl/>
              <w:autoSpaceDE w:val="0"/>
              <w:autoSpaceDN w:val="0"/>
              <w:adjustRightInd w:val="0"/>
              <w:rPr>
                <w:bCs/>
                <w:color w:val="000000"/>
                <w:szCs w:val="24"/>
              </w:rPr>
            </w:pPr>
            <w:r>
              <w:rPr>
                <w:bCs/>
                <w:color w:val="000000"/>
                <w:szCs w:val="24"/>
              </w:rPr>
              <w:t>Ordföranden konstaterade att det fanns stöd för regeringens redovisade ståndpunkt.</w:t>
            </w:r>
          </w:p>
          <w:p w:rsidR="00985A1B" w:rsidRDefault="00985A1B" w:rsidP="00A24379">
            <w:pPr>
              <w:outlineLvl w:val="0"/>
              <w:rPr>
                <w:b/>
              </w:rPr>
            </w:pPr>
          </w:p>
          <w:p w:rsidR="00A24379" w:rsidRDefault="00A24379" w:rsidP="009E7B92">
            <w:pPr>
              <w:outlineLvl w:val="0"/>
              <w:rPr>
                <w:b/>
              </w:rPr>
            </w:pPr>
          </w:p>
        </w:tc>
      </w:tr>
      <w:tr w:rsidR="00985A1B" w:rsidTr="00A24379">
        <w:tc>
          <w:tcPr>
            <w:tcW w:w="567" w:type="dxa"/>
          </w:tcPr>
          <w:p w:rsidR="00985A1B" w:rsidRDefault="00985A1B" w:rsidP="00EF57E7">
            <w:pPr>
              <w:tabs>
                <w:tab w:val="left" w:pos="1701"/>
              </w:tabs>
              <w:rPr>
                <w:b/>
                <w:snapToGrid w:val="0"/>
              </w:rPr>
            </w:pPr>
            <w:r>
              <w:rPr>
                <w:b/>
                <w:snapToGrid w:val="0"/>
              </w:rPr>
              <w:lastRenderedPageBreak/>
              <w:t>§ 4</w:t>
            </w:r>
          </w:p>
        </w:tc>
        <w:tc>
          <w:tcPr>
            <w:tcW w:w="8010" w:type="dxa"/>
          </w:tcPr>
          <w:p w:rsidR="00985A1B" w:rsidRPr="00A24379" w:rsidRDefault="00985A1B" w:rsidP="00342BB1">
            <w:pPr>
              <w:outlineLvl w:val="0"/>
              <w:rPr>
                <w:rFonts w:eastAsiaTheme="minorHAnsi"/>
                <w:b/>
                <w:color w:val="000000"/>
                <w:szCs w:val="24"/>
                <w:lang w:eastAsia="en-US"/>
              </w:rPr>
            </w:pPr>
            <w:r w:rsidRPr="00A24379">
              <w:rPr>
                <w:rFonts w:eastAsiaTheme="minorHAnsi"/>
                <w:b/>
                <w:color w:val="000000"/>
                <w:szCs w:val="24"/>
                <w:lang w:eastAsia="en-US"/>
              </w:rPr>
              <w:t>Slutförandet av Basel III</w:t>
            </w:r>
          </w:p>
          <w:p w:rsidR="00A24379" w:rsidRDefault="00985A1B" w:rsidP="00A24379">
            <w:pPr>
              <w:outlineLvl w:val="0"/>
              <w:rPr>
                <w:rFonts w:eastAsiaTheme="minorHAnsi"/>
                <w:color w:val="000000"/>
                <w:szCs w:val="24"/>
                <w:lang w:eastAsia="en-US"/>
              </w:rPr>
            </w:pPr>
            <w:r>
              <w:rPr>
                <w:rFonts w:eastAsiaTheme="minorHAnsi"/>
                <w:color w:val="000000"/>
                <w:szCs w:val="24"/>
                <w:lang w:eastAsia="en-US"/>
              </w:rPr>
              <w:t>Utskottet överlade med statssekreterare Ulf Holm om kommissionens förslag</w:t>
            </w:r>
            <w:r w:rsidR="00A24379">
              <w:rPr>
                <w:rFonts w:eastAsiaTheme="minorHAnsi"/>
                <w:color w:val="000000"/>
                <w:szCs w:val="24"/>
                <w:lang w:eastAsia="en-US"/>
              </w:rPr>
              <w:t xml:space="preserve"> om </w:t>
            </w:r>
            <w:r w:rsidR="00A24379" w:rsidRPr="00A24379">
              <w:rPr>
                <w:rFonts w:eastAsiaTheme="minorHAnsi"/>
                <w:color w:val="000000"/>
                <w:szCs w:val="24"/>
                <w:lang w:eastAsia="en-US"/>
              </w:rPr>
              <w:t>de avslutande kompletteringarna av de globala standarderna för kapitaltäckning för banker, baserat på lärdomar från finanskrisen och på grundval av Baselkommitténs överenskommelse i december 2017.</w:t>
            </w:r>
          </w:p>
          <w:p w:rsidR="00985A1B" w:rsidRDefault="00985A1B" w:rsidP="00342BB1">
            <w:pPr>
              <w:outlineLvl w:val="0"/>
              <w:rPr>
                <w:rFonts w:eastAsiaTheme="minorHAnsi"/>
                <w:color w:val="000000"/>
                <w:szCs w:val="24"/>
                <w:lang w:eastAsia="en-US"/>
              </w:rPr>
            </w:pPr>
          </w:p>
          <w:p w:rsidR="00A24379" w:rsidRDefault="00A24379" w:rsidP="00A24379">
            <w:pPr>
              <w:outlineLvl w:val="0"/>
              <w:rPr>
                <w:rFonts w:eastAsiaTheme="minorHAnsi"/>
                <w:color w:val="000000"/>
                <w:szCs w:val="24"/>
                <w:lang w:eastAsia="en-US"/>
              </w:rPr>
            </w:pPr>
            <w:r w:rsidRPr="00A24379">
              <w:rPr>
                <w:rFonts w:eastAsiaTheme="minorHAnsi"/>
                <w:color w:val="000000"/>
                <w:szCs w:val="24"/>
                <w:lang w:eastAsia="en-US"/>
              </w:rPr>
              <w:t xml:space="preserve">Underlag för överläggningen var departementets överläggningspromemoria och en presentation (dnr. </w:t>
            </w:r>
            <w:proofErr w:type="gramStart"/>
            <w:r w:rsidR="007814AA">
              <w:t>451-2020</w:t>
            </w:r>
            <w:proofErr w:type="gramEnd"/>
            <w:r w:rsidR="007814AA">
              <w:t>/21</w:t>
            </w:r>
            <w:r w:rsidRPr="00A24379">
              <w:rPr>
                <w:rFonts w:eastAsiaTheme="minorHAnsi"/>
                <w:color w:val="000000"/>
                <w:szCs w:val="24"/>
                <w:lang w:eastAsia="en-US"/>
              </w:rPr>
              <w:t xml:space="preserve">). </w:t>
            </w:r>
          </w:p>
          <w:p w:rsidR="00A24379" w:rsidRDefault="00A24379" w:rsidP="00A24379">
            <w:pPr>
              <w:outlineLvl w:val="0"/>
              <w:rPr>
                <w:rFonts w:eastAsiaTheme="minorHAnsi"/>
                <w:color w:val="000000"/>
                <w:szCs w:val="24"/>
                <w:lang w:eastAsia="en-US"/>
              </w:rPr>
            </w:pPr>
          </w:p>
          <w:p w:rsidR="00A24379" w:rsidRPr="00A24379" w:rsidRDefault="00A24379" w:rsidP="00A24379">
            <w:pPr>
              <w:widowControl/>
              <w:autoSpaceDE w:val="0"/>
              <w:autoSpaceDN w:val="0"/>
              <w:adjustRightInd w:val="0"/>
              <w:rPr>
                <w:rFonts w:eastAsiaTheme="minorHAnsi"/>
                <w:color w:val="000000"/>
                <w:szCs w:val="24"/>
                <w:lang w:eastAsia="en-US"/>
              </w:rPr>
            </w:pPr>
            <w:r w:rsidRPr="00A24379">
              <w:rPr>
                <w:rFonts w:eastAsiaTheme="minorHAnsi"/>
                <w:color w:val="000000"/>
                <w:szCs w:val="24"/>
                <w:lang w:eastAsia="en-US"/>
              </w:rPr>
              <w:t>Statssekreteraren redogjorde för regeringens ståndpunkt i enlighet med överläggningspromemorian:</w:t>
            </w:r>
          </w:p>
          <w:p w:rsidR="00A24379" w:rsidRDefault="00A24379" w:rsidP="00A24379">
            <w:pPr>
              <w:widowControl/>
              <w:autoSpaceDE w:val="0"/>
              <w:autoSpaceDN w:val="0"/>
              <w:adjustRightInd w:val="0"/>
              <w:rPr>
                <w:rFonts w:eastAsiaTheme="minorHAnsi"/>
                <w:color w:val="000000"/>
                <w:szCs w:val="24"/>
                <w:lang w:eastAsia="en-US"/>
              </w:rPr>
            </w:pPr>
            <w:r w:rsidRPr="00A24379">
              <w:rPr>
                <w:rFonts w:eastAsiaTheme="minorHAnsi"/>
                <w:color w:val="000000"/>
                <w:szCs w:val="24"/>
                <w:lang w:eastAsia="en-US"/>
              </w:rPr>
              <w:t xml:space="preserve">”Välkapitaliserade och transparenta banker är avgörande för att upprätthålla den finansiella stabiliteten. Därför behöver myndigheterna ha utrymme att sätta kapitalkrav som speglar riskerna i bankernas verksamhet. Därtill bör kapitaltäckningsregelverket medverka till tydlighet och jämförbarhet. </w:t>
            </w:r>
          </w:p>
          <w:p w:rsidR="00A24379" w:rsidRPr="00A24379" w:rsidRDefault="00A24379" w:rsidP="00A24379">
            <w:pPr>
              <w:widowControl/>
              <w:autoSpaceDE w:val="0"/>
              <w:autoSpaceDN w:val="0"/>
              <w:adjustRightInd w:val="0"/>
              <w:rPr>
                <w:rFonts w:eastAsiaTheme="minorHAnsi"/>
                <w:color w:val="000000"/>
                <w:szCs w:val="24"/>
                <w:lang w:eastAsia="en-US"/>
              </w:rPr>
            </w:pPr>
            <w:r w:rsidRPr="00A24379">
              <w:rPr>
                <w:rFonts w:eastAsiaTheme="minorHAnsi"/>
                <w:color w:val="000000"/>
                <w:szCs w:val="24"/>
                <w:lang w:eastAsia="en-US"/>
              </w:rPr>
              <w:t>Regeringen ser följaktligen positivt på införandet av ett golvkrav för riskvägda tillgångar.</w:t>
            </w:r>
          </w:p>
          <w:p w:rsidR="00A24379" w:rsidRPr="00A24379" w:rsidRDefault="00A24379" w:rsidP="00A24379">
            <w:pPr>
              <w:widowControl/>
              <w:autoSpaceDE w:val="0"/>
              <w:autoSpaceDN w:val="0"/>
              <w:adjustRightInd w:val="0"/>
              <w:rPr>
                <w:rFonts w:eastAsiaTheme="minorHAnsi"/>
                <w:color w:val="000000"/>
                <w:szCs w:val="24"/>
                <w:lang w:eastAsia="en-US"/>
              </w:rPr>
            </w:pPr>
            <w:r w:rsidRPr="00A24379">
              <w:rPr>
                <w:rFonts w:eastAsiaTheme="minorHAnsi"/>
                <w:color w:val="000000"/>
                <w:szCs w:val="24"/>
                <w:lang w:eastAsia="en-US"/>
              </w:rPr>
              <w:t>Internationellt överenskomna standarder bidrar till att upprätthålla förtroendet på finansmarknaden och främjar en jämn spelplan både inom och utanför EU. Detta är av särskild betydelse för en liten, öppen ekonomi med en stor och gränsöverskridande finansiell sektor som Sverige. När standarderna införlivas i EU:s regelverk anser regeringen att det är angeläget att beakta specifika EU-förhållanden.</w:t>
            </w:r>
          </w:p>
          <w:p w:rsidR="00A24379" w:rsidRPr="00A24379" w:rsidRDefault="00A24379" w:rsidP="00A24379">
            <w:pPr>
              <w:widowControl/>
              <w:autoSpaceDE w:val="0"/>
              <w:autoSpaceDN w:val="0"/>
              <w:adjustRightInd w:val="0"/>
              <w:rPr>
                <w:rFonts w:eastAsiaTheme="minorHAnsi"/>
                <w:color w:val="000000"/>
                <w:szCs w:val="24"/>
                <w:lang w:eastAsia="en-US"/>
              </w:rPr>
            </w:pPr>
            <w:r w:rsidRPr="00A24379">
              <w:rPr>
                <w:rFonts w:eastAsiaTheme="minorHAnsi"/>
                <w:color w:val="000000"/>
                <w:szCs w:val="24"/>
                <w:lang w:eastAsia="en-US"/>
              </w:rPr>
              <w:t>Regeringen förespråkar ett proportionellt och ändamålsenligt regelverk som undviker onödig administrativ börda, inte minst för små institut.</w:t>
            </w:r>
          </w:p>
          <w:p w:rsidR="00A24379" w:rsidRDefault="00A24379" w:rsidP="00A24379">
            <w:pPr>
              <w:outlineLvl w:val="0"/>
              <w:rPr>
                <w:rFonts w:eastAsiaTheme="minorHAnsi"/>
                <w:color w:val="000000"/>
                <w:szCs w:val="24"/>
                <w:lang w:eastAsia="en-US"/>
              </w:rPr>
            </w:pPr>
            <w:r w:rsidRPr="00A24379">
              <w:rPr>
                <w:rFonts w:eastAsiaTheme="minorHAnsi"/>
                <w:color w:val="000000"/>
                <w:szCs w:val="24"/>
                <w:lang w:eastAsia="en-US"/>
              </w:rPr>
              <w:t>Det är viktigt att beakta budgetära effekter samt administrativ börda för berörda myndigheter vid genomförandet</w:t>
            </w:r>
            <w:r>
              <w:rPr>
                <w:rFonts w:eastAsiaTheme="minorHAnsi"/>
                <w:color w:val="000000"/>
                <w:szCs w:val="24"/>
                <w:lang w:eastAsia="en-US"/>
              </w:rPr>
              <w:t>.</w:t>
            </w:r>
            <w:r w:rsidRPr="00A24379">
              <w:rPr>
                <w:rFonts w:eastAsiaTheme="minorHAnsi"/>
                <w:color w:val="000000"/>
                <w:szCs w:val="24"/>
                <w:lang w:eastAsia="en-US"/>
              </w:rPr>
              <w:t>”</w:t>
            </w:r>
          </w:p>
          <w:p w:rsidR="00A24379" w:rsidRPr="00A24379" w:rsidRDefault="00A24379" w:rsidP="00A24379">
            <w:pPr>
              <w:outlineLvl w:val="0"/>
              <w:rPr>
                <w:rFonts w:eastAsiaTheme="minorHAnsi"/>
                <w:color w:val="000000"/>
                <w:szCs w:val="24"/>
                <w:lang w:eastAsia="en-US"/>
              </w:rPr>
            </w:pPr>
          </w:p>
          <w:p w:rsidR="00A24379" w:rsidRPr="00A24379" w:rsidRDefault="00A24379" w:rsidP="00A24379">
            <w:pPr>
              <w:widowControl/>
              <w:autoSpaceDE w:val="0"/>
              <w:autoSpaceDN w:val="0"/>
              <w:adjustRightInd w:val="0"/>
              <w:rPr>
                <w:rFonts w:eastAsiaTheme="minorHAnsi"/>
                <w:color w:val="000000"/>
                <w:szCs w:val="24"/>
                <w:lang w:eastAsia="en-US"/>
              </w:rPr>
            </w:pPr>
            <w:r w:rsidRPr="00A24379">
              <w:rPr>
                <w:rFonts w:eastAsiaTheme="minorHAnsi"/>
                <w:color w:val="000000"/>
                <w:szCs w:val="24"/>
                <w:lang w:eastAsia="en-US"/>
              </w:rPr>
              <w:t>Ordföranden konstaterade att det fanns stöd för regeringens redovisade ståndpunkt.</w:t>
            </w:r>
          </w:p>
          <w:p w:rsidR="00985A1B" w:rsidRPr="00A24379" w:rsidRDefault="00985A1B" w:rsidP="00342BB1">
            <w:pPr>
              <w:outlineLvl w:val="0"/>
              <w:rPr>
                <w:rFonts w:eastAsiaTheme="minorHAnsi"/>
                <w:color w:val="000000"/>
                <w:szCs w:val="24"/>
                <w:lang w:eastAsia="en-US"/>
              </w:rPr>
            </w:pPr>
          </w:p>
        </w:tc>
      </w:tr>
      <w:tr w:rsidR="00985A1B" w:rsidTr="00A24379">
        <w:tc>
          <w:tcPr>
            <w:tcW w:w="567" w:type="dxa"/>
          </w:tcPr>
          <w:p w:rsidR="00985A1B" w:rsidRDefault="00985A1B" w:rsidP="00EF57E7">
            <w:pPr>
              <w:tabs>
                <w:tab w:val="left" w:pos="1701"/>
              </w:tabs>
              <w:rPr>
                <w:b/>
                <w:snapToGrid w:val="0"/>
              </w:rPr>
            </w:pPr>
            <w:r>
              <w:rPr>
                <w:b/>
                <w:snapToGrid w:val="0"/>
              </w:rPr>
              <w:t>§ 5</w:t>
            </w:r>
          </w:p>
        </w:tc>
        <w:tc>
          <w:tcPr>
            <w:tcW w:w="8010" w:type="dxa"/>
          </w:tcPr>
          <w:p w:rsidR="00985A1B" w:rsidRDefault="00985A1B" w:rsidP="00342BB1">
            <w:pPr>
              <w:outlineLvl w:val="0"/>
              <w:rPr>
                <w:rFonts w:eastAsiaTheme="minorHAnsi"/>
                <w:b/>
                <w:bCs/>
                <w:color w:val="000000"/>
                <w:szCs w:val="24"/>
                <w:lang w:eastAsia="en-US"/>
              </w:rPr>
            </w:pPr>
            <w:r>
              <w:rPr>
                <w:rFonts w:eastAsiaTheme="minorHAnsi"/>
                <w:b/>
                <w:bCs/>
                <w:color w:val="000000"/>
                <w:szCs w:val="24"/>
                <w:lang w:eastAsia="en-US"/>
              </w:rPr>
              <w:t>Information från ränteexperter</w:t>
            </w:r>
          </w:p>
          <w:p w:rsidR="003B7531" w:rsidRPr="003106FB" w:rsidRDefault="003B7531" w:rsidP="003B7531">
            <w:pPr>
              <w:outlineLvl w:val="0"/>
            </w:pPr>
            <w:r>
              <w:rPr>
                <w:rFonts w:eastAsiaTheme="minorHAnsi"/>
                <w:color w:val="000000"/>
                <w:szCs w:val="24"/>
                <w:lang w:eastAsia="en-US"/>
              </w:rPr>
              <w:t>Christina Nyman, chefekonom på Handelsbanken, och Håkan Frisén, prognoschef på SEB</w:t>
            </w:r>
            <w:r>
              <w:t xml:space="preserve">, informerade utskottet och svarade på frågor inför den öppna utfrågningen om penningpolitiken den 20 oktober. </w:t>
            </w:r>
          </w:p>
          <w:p w:rsidR="00985A1B" w:rsidRDefault="00985A1B" w:rsidP="00342BB1">
            <w:pPr>
              <w:outlineLvl w:val="0"/>
              <w:rPr>
                <w:b/>
              </w:rPr>
            </w:pPr>
          </w:p>
        </w:tc>
      </w:tr>
      <w:tr w:rsidR="00985A1B" w:rsidTr="00A24379">
        <w:tc>
          <w:tcPr>
            <w:tcW w:w="567" w:type="dxa"/>
          </w:tcPr>
          <w:p w:rsidR="00985A1B" w:rsidRDefault="00985A1B" w:rsidP="00985A1B">
            <w:pPr>
              <w:tabs>
                <w:tab w:val="left" w:pos="1701"/>
              </w:tabs>
              <w:rPr>
                <w:b/>
                <w:snapToGrid w:val="0"/>
              </w:rPr>
            </w:pPr>
            <w:r>
              <w:rPr>
                <w:b/>
                <w:snapToGrid w:val="0"/>
              </w:rPr>
              <w:t>§ 6</w:t>
            </w:r>
          </w:p>
          <w:p w:rsidR="00985A1B" w:rsidRDefault="00985A1B" w:rsidP="00EF57E7">
            <w:pPr>
              <w:tabs>
                <w:tab w:val="left" w:pos="1701"/>
              </w:tabs>
              <w:rPr>
                <w:b/>
                <w:snapToGrid w:val="0"/>
              </w:rPr>
            </w:pPr>
          </w:p>
        </w:tc>
        <w:tc>
          <w:tcPr>
            <w:tcW w:w="8010" w:type="dxa"/>
          </w:tcPr>
          <w:p w:rsidR="00985A1B" w:rsidRDefault="00985A1B" w:rsidP="00342BB1">
            <w:pPr>
              <w:outlineLvl w:val="0"/>
              <w:rPr>
                <w:b/>
              </w:rPr>
            </w:pPr>
            <w:r>
              <w:rPr>
                <w:b/>
              </w:rPr>
              <w:t>Anmälningar</w:t>
            </w:r>
          </w:p>
          <w:p w:rsidR="00C52A40" w:rsidRPr="00A24379" w:rsidRDefault="00A24379" w:rsidP="00A24379">
            <w:pPr>
              <w:widowControl/>
              <w:rPr>
                <w:b/>
                <w:bCs/>
                <w:sz w:val="22"/>
              </w:rPr>
            </w:pPr>
            <w:r w:rsidRPr="00A24379">
              <w:rPr>
                <w:bCs/>
              </w:rPr>
              <w:t xml:space="preserve">Utskottet beslutade att </w:t>
            </w:r>
            <w:r w:rsidR="00C52A40" w:rsidRPr="00A24379">
              <w:rPr>
                <w:bCs/>
              </w:rPr>
              <w:t xml:space="preserve">kalla riksrevisor Helena Lindberg till sammanträdet </w:t>
            </w:r>
            <w:r>
              <w:rPr>
                <w:bCs/>
              </w:rPr>
              <w:t xml:space="preserve">den </w:t>
            </w:r>
            <w:r w:rsidR="00C52A40" w:rsidRPr="00A24379">
              <w:rPr>
                <w:bCs/>
              </w:rPr>
              <w:t>22 oktober för information om tre granskningsrapporter:</w:t>
            </w:r>
            <w:r w:rsidR="00C52A40">
              <w:t xml:space="preserve"> </w:t>
            </w:r>
            <w:r>
              <w:br/>
            </w:r>
            <w:r w:rsidR="00C52A40">
              <w:t>Tillväxthämmande incitament i den kommunala inkomstutjämningen? (</w:t>
            </w:r>
            <w:proofErr w:type="spellStart"/>
            <w:r w:rsidR="00C52A40">
              <w:t>RiR</w:t>
            </w:r>
            <w:proofErr w:type="spellEnd"/>
            <w:r w:rsidR="00C52A40">
              <w:t xml:space="preserve"> 2020:11), Statsbidrag för socioekonomiskt utsatta områden (</w:t>
            </w:r>
            <w:proofErr w:type="spellStart"/>
            <w:r w:rsidR="00C52A40">
              <w:t>RiR</w:t>
            </w:r>
            <w:proofErr w:type="spellEnd"/>
            <w:r w:rsidR="00C52A40">
              <w:t xml:space="preserve"> 2020:14) och </w:t>
            </w:r>
            <w:r w:rsidR="00C52A40" w:rsidRPr="00A24379">
              <w:rPr>
                <w:sz w:val="25"/>
                <w:szCs w:val="25"/>
              </w:rPr>
              <w:t>Finansinspektionens hantering av intressekonflikter (</w:t>
            </w:r>
            <w:proofErr w:type="spellStart"/>
            <w:r w:rsidR="00C52A40" w:rsidRPr="00A24379">
              <w:rPr>
                <w:sz w:val="25"/>
                <w:szCs w:val="25"/>
              </w:rPr>
              <w:t>RiR</w:t>
            </w:r>
            <w:proofErr w:type="spellEnd"/>
            <w:r w:rsidR="00C52A40" w:rsidRPr="00A24379">
              <w:rPr>
                <w:sz w:val="25"/>
                <w:szCs w:val="25"/>
              </w:rPr>
              <w:t xml:space="preserve"> 2020:18)</w:t>
            </w:r>
            <w:r w:rsidR="00C52A40">
              <w:t>.</w:t>
            </w:r>
          </w:p>
          <w:p w:rsidR="00985A1B" w:rsidRDefault="00985A1B" w:rsidP="00A24379">
            <w:pPr>
              <w:outlineLvl w:val="0"/>
              <w:rPr>
                <w:b/>
              </w:rPr>
            </w:pPr>
          </w:p>
        </w:tc>
      </w:tr>
      <w:tr w:rsidR="00C15B79" w:rsidTr="00A24379">
        <w:tc>
          <w:tcPr>
            <w:tcW w:w="567" w:type="dxa"/>
          </w:tcPr>
          <w:p w:rsidR="00C15B79" w:rsidRDefault="00C15B79" w:rsidP="00EF57E7">
            <w:pPr>
              <w:tabs>
                <w:tab w:val="left" w:pos="1701"/>
              </w:tabs>
              <w:rPr>
                <w:b/>
                <w:snapToGrid w:val="0"/>
              </w:rPr>
            </w:pPr>
            <w:r>
              <w:rPr>
                <w:b/>
                <w:snapToGrid w:val="0"/>
              </w:rPr>
              <w:t xml:space="preserve">§ </w:t>
            </w:r>
            <w:r w:rsidR="00985A1B">
              <w:rPr>
                <w:b/>
                <w:snapToGrid w:val="0"/>
              </w:rPr>
              <w:t>7</w:t>
            </w:r>
          </w:p>
        </w:tc>
        <w:tc>
          <w:tcPr>
            <w:tcW w:w="8010" w:type="dxa"/>
          </w:tcPr>
          <w:p w:rsidR="00985A1B" w:rsidRDefault="00985A1B" w:rsidP="00985A1B">
            <w:pPr>
              <w:widowControl/>
              <w:autoSpaceDE w:val="0"/>
              <w:autoSpaceDN w:val="0"/>
              <w:adjustRightInd w:val="0"/>
              <w:rPr>
                <w:b/>
                <w:color w:val="000000"/>
                <w:szCs w:val="24"/>
              </w:rPr>
            </w:pPr>
            <w:r w:rsidRPr="00AD47F5">
              <w:rPr>
                <w:b/>
                <w:color w:val="000000"/>
                <w:szCs w:val="24"/>
              </w:rPr>
              <w:t>Justering</w:t>
            </w:r>
            <w:r>
              <w:rPr>
                <w:b/>
                <w:color w:val="000000"/>
                <w:szCs w:val="24"/>
              </w:rPr>
              <w:t xml:space="preserve"> av protokoll</w:t>
            </w:r>
          </w:p>
          <w:p w:rsidR="003B7531" w:rsidRPr="003B7531" w:rsidRDefault="003B7531" w:rsidP="00985A1B">
            <w:pPr>
              <w:widowControl/>
              <w:autoSpaceDE w:val="0"/>
              <w:autoSpaceDN w:val="0"/>
              <w:adjustRightInd w:val="0"/>
              <w:rPr>
                <w:color w:val="000000"/>
                <w:szCs w:val="24"/>
              </w:rPr>
            </w:pPr>
            <w:r w:rsidRPr="003B7531">
              <w:rPr>
                <w:color w:val="000000"/>
                <w:szCs w:val="24"/>
              </w:rPr>
              <w:t>Utskottet justerade protokoll 2020/21:7</w:t>
            </w:r>
            <w:r w:rsidR="00A24379">
              <w:rPr>
                <w:color w:val="000000"/>
                <w:szCs w:val="24"/>
              </w:rPr>
              <w:t>.</w:t>
            </w:r>
          </w:p>
          <w:p w:rsidR="007B7C03" w:rsidRDefault="007B7C03" w:rsidP="00342BB1">
            <w:pPr>
              <w:outlineLvl w:val="0"/>
              <w:rPr>
                <w:b/>
              </w:rPr>
            </w:pPr>
          </w:p>
        </w:tc>
      </w:tr>
      <w:tr w:rsidR="00C15B79" w:rsidTr="00A24379">
        <w:tc>
          <w:tcPr>
            <w:tcW w:w="567" w:type="dxa"/>
          </w:tcPr>
          <w:p w:rsidR="00C15B79" w:rsidRDefault="00C15B79" w:rsidP="00EF57E7">
            <w:pPr>
              <w:tabs>
                <w:tab w:val="left" w:pos="1701"/>
              </w:tabs>
              <w:rPr>
                <w:b/>
                <w:snapToGrid w:val="0"/>
              </w:rPr>
            </w:pPr>
            <w:r>
              <w:rPr>
                <w:b/>
                <w:snapToGrid w:val="0"/>
              </w:rPr>
              <w:t xml:space="preserve">§ </w:t>
            </w:r>
            <w:r w:rsidR="00985A1B">
              <w:rPr>
                <w:b/>
                <w:snapToGrid w:val="0"/>
              </w:rPr>
              <w:t>8</w:t>
            </w:r>
          </w:p>
        </w:tc>
        <w:tc>
          <w:tcPr>
            <w:tcW w:w="8010" w:type="dxa"/>
          </w:tcPr>
          <w:p w:rsidR="007B7C03" w:rsidRDefault="00985A1B" w:rsidP="00985A1B">
            <w:pPr>
              <w:widowControl/>
              <w:autoSpaceDE w:val="0"/>
              <w:autoSpaceDN w:val="0"/>
              <w:adjustRightInd w:val="0"/>
              <w:rPr>
                <w:rFonts w:eastAsiaTheme="minorHAnsi"/>
                <w:b/>
                <w:bCs/>
                <w:color w:val="000000"/>
                <w:szCs w:val="24"/>
                <w:lang w:eastAsia="en-US"/>
              </w:rPr>
            </w:pPr>
            <w:r>
              <w:rPr>
                <w:rFonts w:eastAsiaTheme="minorHAnsi"/>
                <w:b/>
                <w:bCs/>
                <w:color w:val="000000"/>
                <w:szCs w:val="24"/>
                <w:lang w:eastAsia="en-US"/>
              </w:rPr>
              <w:t>Riksrevisorns årliga rapport 2020 (FiU9)</w:t>
            </w:r>
          </w:p>
          <w:p w:rsidR="00985A1B" w:rsidRDefault="00985A1B" w:rsidP="00985A1B">
            <w:pPr>
              <w:widowControl/>
              <w:autoSpaceDE w:val="0"/>
              <w:autoSpaceDN w:val="0"/>
              <w:adjustRightInd w:val="0"/>
              <w:rPr>
                <w:rFonts w:eastAsiaTheme="minorHAnsi"/>
                <w:color w:val="000000"/>
                <w:szCs w:val="24"/>
                <w:lang w:eastAsia="en-US"/>
              </w:rPr>
            </w:pPr>
            <w:r>
              <w:rPr>
                <w:rFonts w:eastAsiaTheme="minorHAnsi"/>
                <w:color w:val="000000"/>
                <w:szCs w:val="24"/>
                <w:lang w:eastAsia="en-US"/>
              </w:rPr>
              <w:t>Utskottet fortsatte behandlingen av redogörelse 2019/</w:t>
            </w:r>
            <w:proofErr w:type="gramStart"/>
            <w:r>
              <w:rPr>
                <w:rFonts w:eastAsiaTheme="minorHAnsi"/>
                <w:color w:val="000000"/>
                <w:szCs w:val="24"/>
                <w:lang w:eastAsia="en-US"/>
              </w:rPr>
              <w:t>20:RR</w:t>
            </w:r>
            <w:proofErr w:type="gramEnd"/>
            <w:r>
              <w:rPr>
                <w:rFonts w:eastAsiaTheme="minorHAnsi"/>
                <w:color w:val="000000"/>
                <w:szCs w:val="24"/>
                <w:lang w:eastAsia="en-US"/>
              </w:rPr>
              <w:t>5</w:t>
            </w:r>
            <w:r w:rsidR="00A24379">
              <w:rPr>
                <w:rFonts w:eastAsiaTheme="minorHAnsi"/>
                <w:color w:val="000000"/>
                <w:szCs w:val="24"/>
                <w:lang w:eastAsia="en-US"/>
              </w:rPr>
              <w:t>.</w:t>
            </w:r>
          </w:p>
          <w:p w:rsidR="00985A1B" w:rsidRDefault="00985A1B" w:rsidP="00985A1B">
            <w:pPr>
              <w:widowControl/>
              <w:autoSpaceDE w:val="0"/>
              <w:autoSpaceDN w:val="0"/>
              <w:adjustRightInd w:val="0"/>
              <w:rPr>
                <w:rFonts w:eastAsiaTheme="minorHAnsi"/>
                <w:color w:val="000000"/>
                <w:szCs w:val="24"/>
                <w:lang w:eastAsia="en-US"/>
              </w:rPr>
            </w:pPr>
          </w:p>
          <w:p w:rsidR="00985A1B" w:rsidRDefault="00985A1B" w:rsidP="00985A1B">
            <w:pPr>
              <w:widowControl/>
              <w:autoSpaceDE w:val="0"/>
              <w:autoSpaceDN w:val="0"/>
              <w:adjustRightInd w:val="0"/>
              <w:rPr>
                <w:b/>
                <w:color w:val="000000"/>
                <w:szCs w:val="24"/>
              </w:rPr>
            </w:pPr>
            <w:r>
              <w:rPr>
                <w:rFonts w:eastAsiaTheme="minorHAnsi"/>
                <w:color w:val="000000"/>
                <w:szCs w:val="24"/>
                <w:lang w:eastAsia="en-US"/>
              </w:rPr>
              <w:t>Utskottet justerade betänkande 2020/</w:t>
            </w:r>
            <w:proofErr w:type="gramStart"/>
            <w:r>
              <w:rPr>
                <w:rFonts w:eastAsiaTheme="minorHAnsi"/>
                <w:color w:val="000000"/>
                <w:szCs w:val="24"/>
                <w:lang w:eastAsia="en-US"/>
              </w:rPr>
              <w:t>21:FiU</w:t>
            </w:r>
            <w:proofErr w:type="gramEnd"/>
            <w:r>
              <w:rPr>
                <w:rFonts w:eastAsiaTheme="minorHAnsi"/>
                <w:color w:val="000000"/>
                <w:szCs w:val="24"/>
                <w:lang w:eastAsia="en-US"/>
              </w:rPr>
              <w:t>9</w:t>
            </w:r>
            <w:r w:rsidR="00A24379">
              <w:rPr>
                <w:rFonts w:eastAsiaTheme="minorHAnsi"/>
                <w:color w:val="000000"/>
                <w:szCs w:val="24"/>
                <w:lang w:eastAsia="en-US"/>
              </w:rPr>
              <w:t>.</w:t>
            </w:r>
            <w:r>
              <w:rPr>
                <w:rFonts w:eastAsiaTheme="minorHAnsi"/>
                <w:color w:val="000000"/>
                <w:szCs w:val="24"/>
                <w:lang w:eastAsia="en-US"/>
              </w:rPr>
              <w:br/>
            </w:r>
          </w:p>
          <w:p w:rsidR="009E7B92" w:rsidRPr="00AD47F5" w:rsidRDefault="009E7B92" w:rsidP="00985A1B">
            <w:pPr>
              <w:widowControl/>
              <w:autoSpaceDE w:val="0"/>
              <w:autoSpaceDN w:val="0"/>
              <w:adjustRightInd w:val="0"/>
              <w:rPr>
                <w:b/>
                <w:color w:val="000000"/>
                <w:szCs w:val="24"/>
              </w:rPr>
            </w:pPr>
          </w:p>
        </w:tc>
      </w:tr>
      <w:tr w:rsidR="00C15B79" w:rsidTr="00A24379">
        <w:tc>
          <w:tcPr>
            <w:tcW w:w="567" w:type="dxa"/>
          </w:tcPr>
          <w:p w:rsidR="00C15B79" w:rsidRDefault="00985A1B" w:rsidP="00EF57E7">
            <w:pPr>
              <w:tabs>
                <w:tab w:val="left" w:pos="1701"/>
              </w:tabs>
              <w:rPr>
                <w:b/>
                <w:snapToGrid w:val="0"/>
              </w:rPr>
            </w:pPr>
            <w:r>
              <w:rPr>
                <w:b/>
                <w:snapToGrid w:val="0"/>
              </w:rPr>
              <w:lastRenderedPageBreak/>
              <w:t>§ 9</w:t>
            </w:r>
          </w:p>
        </w:tc>
        <w:tc>
          <w:tcPr>
            <w:tcW w:w="8010" w:type="dxa"/>
          </w:tcPr>
          <w:p w:rsidR="00D021DB" w:rsidRDefault="00985A1B" w:rsidP="000E010A">
            <w:pPr>
              <w:widowControl/>
              <w:autoSpaceDE w:val="0"/>
              <w:autoSpaceDN w:val="0"/>
              <w:adjustRightInd w:val="0"/>
              <w:rPr>
                <w:rFonts w:eastAsiaTheme="minorHAnsi"/>
                <w:color w:val="000000"/>
                <w:szCs w:val="24"/>
                <w:lang w:eastAsia="en-US"/>
              </w:rPr>
            </w:pPr>
            <w:r>
              <w:rPr>
                <w:rFonts w:eastAsiaTheme="minorHAnsi"/>
                <w:b/>
                <w:bCs/>
                <w:color w:val="000000"/>
                <w:szCs w:val="24"/>
                <w:lang w:eastAsia="en-US"/>
              </w:rPr>
              <w:t>Tillfällig ändring i Första–Fjärde AP-fondernas placeringsregler med anledning av covid-19 (FiU12)</w:t>
            </w:r>
            <w:r>
              <w:rPr>
                <w:rFonts w:eastAsiaTheme="minorHAnsi"/>
                <w:b/>
                <w:bCs/>
                <w:color w:val="000000"/>
                <w:szCs w:val="24"/>
                <w:lang w:eastAsia="en-US"/>
              </w:rPr>
              <w:br/>
            </w:r>
            <w:r>
              <w:rPr>
                <w:rFonts w:eastAsiaTheme="minorHAnsi"/>
                <w:color w:val="000000"/>
                <w:szCs w:val="24"/>
                <w:lang w:eastAsia="en-US"/>
              </w:rPr>
              <w:t>Utskottet fortsatte behandlingen av proposition 2020/21:9</w:t>
            </w:r>
            <w:r w:rsidR="00A24379">
              <w:rPr>
                <w:rFonts w:eastAsiaTheme="minorHAnsi"/>
                <w:color w:val="000000"/>
                <w:szCs w:val="24"/>
                <w:lang w:eastAsia="en-US"/>
              </w:rPr>
              <w:t>.</w:t>
            </w:r>
          </w:p>
          <w:p w:rsidR="00985A1B" w:rsidRDefault="00985A1B" w:rsidP="000E010A">
            <w:pPr>
              <w:widowControl/>
              <w:autoSpaceDE w:val="0"/>
              <w:autoSpaceDN w:val="0"/>
              <w:adjustRightInd w:val="0"/>
              <w:rPr>
                <w:color w:val="000000"/>
                <w:szCs w:val="24"/>
              </w:rPr>
            </w:pPr>
          </w:p>
          <w:p w:rsidR="00985A1B" w:rsidRDefault="00985A1B" w:rsidP="000E010A">
            <w:pPr>
              <w:widowControl/>
              <w:autoSpaceDE w:val="0"/>
              <w:autoSpaceDN w:val="0"/>
              <w:adjustRightInd w:val="0"/>
              <w:rPr>
                <w:rFonts w:eastAsiaTheme="minorHAnsi"/>
                <w:color w:val="000000"/>
                <w:szCs w:val="24"/>
                <w:lang w:eastAsia="en-US"/>
              </w:rPr>
            </w:pPr>
            <w:r>
              <w:rPr>
                <w:rFonts w:eastAsiaTheme="minorHAnsi"/>
                <w:color w:val="000000"/>
                <w:szCs w:val="24"/>
                <w:lang w:eastAsia="en-US"/>
              </w:rPr>
              <w:t>Utskottet justerade betänkande 2020/</w:t>
            </w:r>
            <w:proofErr w:type="gramStart"/>
            <w:r>
              <w:rPr>
                <w:rFonts w:eastAsiaTheme="minorHAnsi"/>
                <w:color w:val="000000"/>
                <w:szCs w:val="24"/>
                <w:lang w:eastAsia="en-US"/>
              </w:rPr>
              <w:t>21:FiU</w:t>
            </w:r>
            <w:proofErr w:type="gramEnd"/>
            <w:r>
              <w:rPr>
                <w:rFonts w:eastAsiaTheme="minorHAnsi"/>
                <w:color w:val="000000"/>
                <w:szCs w:val="24"/>
                <w:lang w:eastAsia="en-US"/>
              </w:rPr>
              <w:t>12</w:t>
            </w:r>
            <w:r w:rsidR="00A24379">
              <w:rPr>
                <w:rFonts w:eastAsiaTheme="minorHAnsi"/>
                <w:color w:val="000000"/>
                <w:szCs w:val="24"/>
                <w:lang w:eastAsia="en-US"/>
              </w:rPr>
              <w:t>.</w:t>
            </w:r>
          </w:p>
          <w:p w:rsidR="00A24379" w:rsidRDefault="00A24379" w:rsidP="000E010A">
            <w:pPr>
              <w:widowControl/>
              <w:autoSpaceDE w:val="0"/>
              <w:autoSpaceDN w:val="0"/>
              <w:adjustRightInd w:val="0"/>
              <w:rPr>
                <w:rFonts w:eastAsiaTheme="minorHAnsi"/>
                <w:color w:val="000000"/>
                <w:szCs w:val="24"/>
                <w:lang w:eastAsia="en-US"/>
              </w:rPr>
            </w:pPr>
          </w:p>
          <w:p w:rsidR="00A24379" w:rsidRDefault="00A24379" w:rsidP="000E010A">
            <w:pPr>
              <w:widowControl/>
              <w:autoSpaceDE w:val="0"/>
              <w:autoSpaceDN w:val="0"/>
              <w:adjustRightInd w:val="0"/>
              <w:rPr>
                <w:rFonts w:eastAsiaTheme="minorHAnsi"/>
                <w:color w:val="000000"/>
                <w:szCs w:val="24"/>
                <w:lang w:eastAsia="en-US"/>
              </w:rPr>
            </w:pPr>
            <w:r>
              <w:rPr>
                <w:rFonts w:eastAsiaTheme="minorHAnsi"/>
                <w:color w:val="000000"/>
                <w:szCs w:val="24"/>
                <w:lang w:eastAsia="en-US"/>
              </w:rPr>
              <w:t>V-ledamoten anmälde ett särskilt yttrande.</w:t>
            </w:r>
          </w:p>
          <w:p w:rsidR="00985A1B" w:rsidRPr="00305C38" w:rsidRDefault="00985A1B" w:rsidP="000E010A">
            <w:pPr>
              <w:widowControl/>
              <w:autoSpaceDE w:val="0"/>
              <w:autoSpaceDN w:val="0"/>
              <w:adjustRightInd w:val="0"/>
              <w:rPr>
                <w:color w:val="000000"/>
                <w:szCs w:val="24"/>
              </w:rPr>
            </w:pPr>
          </w:p>
        </w:tc>
      </w:tr>
      <w:tr w:rsidR="00CD7E8B" w:rsidTr="00A24379">
        <w:tc>
          <w:tcPr>
            <w:tcW w:w="567" w:type="dxa"/>
          </w:tcPr>
          <w:p w:rsidR="00CD7E8B" w:rsidRDefault="00985A1B" w:rsidP="00EF57E7">
            <w:pPr>
              <w:tabs>
                <w:tab w:val="left" w:pos="1701"/>
              </w:tabs>
              <w:rPr>
                <w:b/>
                <w:snapToGrid w:val="0"/>
              </w:rPr>
            </w:pPr>
            <w:r>
              <w:rPr>
                <w:b/>
                <w:snapToGrid w:val="0"/>
              </w:rPr>
              <w:t>§ 10</w:t>
            </w:r>
          </w:p>
        </w:tc>
        <w:tc>
          <w:tcPr>
            <w:tcW w:w="8010" w:type="dxa"/>
          </w:tcPr>
          <w:p w:rsidR="00CD7E8B" w:rsidRDefault="00985A1B" w:rsidP="00D021DB">
            <w:pPr>
              <w:widowControl/>
              <w:autoSpaceDE w:val="0"/>
              <w:autoSpaceDN w:val="0"/>
              <w:adjustRightInd w:val="0"/>
              <w:rPr>
                <w:rFonts w:eastAsiaTheme="minorHAnsi"/>
                <w:color w:val="000000"/>
                <w:szCs w:val="24"/>
                <w:lang w:eastAsia="en-US"/>
              </w:rPr>
            </w:pPr>
            <w:r>
              <w:rPr>
                <w:rFonts w:eastAsiaTheme="minorHAnsi"/>
                <w:b/>
                <w:bCs/>
                <w:color w:val="000000"/>
                <w:szCs w:val="24"/>
                <w:lang w:eastAsia="en-US"/>
              </w:rPr>
              <w:t>Några frågor om clearing av OTC-derivat och om transaktioner för värdepappersfinansiering (FiU29)</w:t>
            </w:r>
            <w:r>
              <w:rPr>
                <w:rFonts w:eastAsiaTheme="minorHAnsi"/>
                <w:b/>
                <w:bCs/>
                <w:color w:val="000000"/>
                <w:szCs w:val="24"/>
                <w:lang w:eastAsia="en-US"/>
              </w:rPr>
              <w:br/>
            </w:r>
            <w:r>
              <w:rPr>
                <w:rFonts w:eastAsiaTheme="minorHAnsi"/>
                <w:color w:val="000000"/>
                <w:szCs w:val="24"/>
                <w:lang w:eastAsia="en-US"/>
              </w:rPr>
              <w:t>Utskottet fortsatte behandlingen av proposition 2020/21:174</w:t>
            </w:r>
            <w:r w:rsidR="00A24379">
              <w:rPr>
                <w:rFonts w:eastAsiaTheme="minorHAnsi"/>
                <w:color w:val="000000"/>
                <w:szCs w:val="24"/>
                <w:lang w:eastAsia="en-US"/>
              </w:rPr>
              <w:t>.</w:t>
            </w:r>
          </w:p>
          <w:p w:rsidR="00985A1B" w:rsidRDefault="00985A1B" w:rsidP="00D021DB">
            <w:pPr>
              <w:widowControl/>
              <w:autoSpaceDE w:val="0"/>
              <w:autoSpaceDN w:val="0"/>
              <w:adjustRightInd w:val="0"/>
              <w:rPr>
                <w:color w:val="000000"/>
                <w:szCs w:val="24"/>
              </w:rPr>
            </w:pPr>
          </w:p>
          <w:p w:rsidR="00985A1B" w:rsidRDefault="00985A1B" w:rsidP="00985A1B">
            <w:pPr>
              <w:widowControl/>
              <w:autoSpaceDE w:val="0"/>
              <w:autoSpaceDN w:val="0"/>
              <w:adjustRightInd w:val="0"/>
              <w:rPr>
                <w:rFonts w:eastAsiaTheme="minorHAnsi"/>
                <w:color w:val="000000"/>
                <w:szCs w:val="24"/>
                <w:lang w:eastAsia="en-US"/>
              </w:rPr>
            </w:pPr>
            <w:r>
              <w:rPr>
                <w:rFonts w:eastAsiaTheme="minorHAnsi"/>
                <w:color w:val="000000"/>
                <w:szCs w:val="24"/>
                <w:lang w:eastAsia="en-US"/>
              </w:rPr>
              <w:t>Utskottet justerade betänkande 2020/</w:t>
            </w:r>
            <w:proofErr w:type="gramStart"/>
            <w:r>
              <w:rPr>
                <w:rFonts w:eastAsiaTheme="minorHAnsi"/>
                <w:color w:val="000000"/>
                <w:szCs w:val="24"/>
                <w:lang w:eastAsia="en-US"/>
              </w:rPr>
              <w:t>21:FiU</w:t>
            </w:r>
            <w:proofErr w:type="gramEnd"/>
            <w:r>
              <w:rPr>
                <w:rFonts w:eastAsiaTheme="minorHAnsi"/>
                <w:color w:val="000000"/>
                <w:szCs w:val="24"/>
                <w:lang w:eastAsia="en-US"/>
              </w:rPr>
              <w:t>29</w:t>
            </w:r>
            <w:r w:rsidR="00A24379">
              <w:rPr>
                <w:rFonts w:eastAsiaTheme="minorHAnsi"/>
                <w:color w:val="000000"/>
                <w:szCs w:val="24"/>
                <w:lang w:eastAsia="en-US"/>
              </w:rPr>
              <w:t>.</w:t>
            </w:r>
          </w:p>
          <w:p w:rsidR="00985A1B" w:rsidRPr="00305C38" w:rsidRDefault="00985A1B" w:rsidP="00D021DB">
            <w:pPr>
              <w:widowControl/>
              <w:autoSpaceDE w:val="0"/>
              <w:autoSpaceDN w:val="0"/>
              <w:adjustRightInd w:val="0"/>
              <w:rPr>
                <w:color w:val="000000"/>
                <w:szCs w:val="24"/>
              </w:rPr>
            </w:pPr>
          </w:p>
        </w:tc>
      </w:tr>
      <w:tr w:rsidR="00CD7E8B" w:rsidTr="00A24379">
        <w:tc>
          <w:tcPr>
            <w:tcW w:w="567" w:type="dxa"/>
          </w:tcPr>
          <w:p w:rsidR="00CD7E8B" w:rsidRDefault="00CD7E8B" w:rsidP="00EF57E7">
            <w:pPr>
              <w:tabs>
                <w:tab w:val="left" w:pos="1701"/>
              </w:tabs>
              <w:rPr>
                <w:b/>
                <w:snapToGrid w:val="0"/>
              </w:rPr>
            </w:pPr>
            <w:r>
              <w:rPr>
                <w:b/>
                <w:snapToGrid w:val="0"/>
              </w:rPr>
              <w:t xml:space="preserve">§ </w:t>
            </w:r>
            <w:r w:rsidR="00985A1B">
              <w:rPr>
                <w:b/>
                <w:snapToGrid w:val="0"/>
              </w:rPr>
              <w:t>11</w:t>
            </w:r>
          </w:p>
        </w:tc>
        <w:tc>
          <w:tcPr>
            <w:tcW w:w="8010" w:type="dxa"/>
          </w:tcPr>
          <w:p w:rsidR="00CD7E8B" w:rsidRDefault="00985A1B" w:rsidP="00D021DB">
            <w:pPr>
              <w:widowControl/>
              <w:autoSpaceDE w:val="0"/>
              <w:autoSpaceDN w:val="0"/>
              <w:adjustRightInd w:val="0"/>
              <w:rPr>
                <w:rFonts w:eastAsiaTheme="minorHAnsi"/>
                <w:b/>
                <w:bCs/>
                <w:color w:val="000000"/>
                <w:szCs w:val="24"/>
                <w:lang w:eastAsia="en-US"/>
              </w:rPr>
            </w:pPr>
            <w:r>
              <w:rPr>
                <w:rFonts w:eastAsiaTheme="minorHAnsi"/>
                <w:b/>
                <w:bCs/>
                <w:color w:val="000000"/>
                <w:szCs w:val="24"/>
                <w:lang w:eastAsia="en-US"/>
              </w:rPr>
              <w:t>Medgivande för Riksbanken att ge kredit till IMF (FiU31)</w:t>
            </w:r>
          </w:p>
          <w:p w:rsidR="00985A1B" w:rsidRDefault="00985A1B" w:rsidP="00D021DB">
            <w:pPr>
              <w:widowControl/>
              <w:autoSpaceDE w:val="0"/>
              <w:autoSpaceDN w:val="0"/>
              <w:adjustRightInd w:val="0"/>
              <w:rPr>
                <w:color w:val="000000"/>
                <w:szCs w:val="24"/>
              </w:rPr>
            </w:pPr>
            <w:r>
              <w:rPr>
                <w:rFonts w:eastAsiaTheme="minorHAnsi"/>
                <w:color w:val="000000"/>
                <w:szCs w:val="24"/>
                <w:lang w:eastAsia="en-US"/>
              </w:rPr>
              <w:t>Utskottet fortsatte behandlingen av framställning 2019/</w:t>
            </w:r>
            <w:proofErr w:type="gramStart"/>
            <w:r>
              <w:rPr>
                <w:rFonts w:eastAsiaTheme="minorHAnsi"/>
                <w:color w:val="000000"/>
                <w:szCs w:val="24"/>
                <w:lang w:eastAsia="en-US"/>
              </w:rPr>
              <w:t>20:RB</w:t>
            </w:r>
            <w:proofErr w:type="gramEnd"/>
            <w:r>
              <w:rPr>
                <w:rFonts w:eastAsiaTheme="minorHAnsi"/>
                <w:color w:val="000000"/>
                <w:szCs w:val="24"/>
                <w:lang w:eastAsia="en-US"/>
              </w:rPr>
              <w:t>6</w:t>
            </w:r>
            <w:r w:rsidR="00A24379">
              <w:rPr>
                <w:rFonts w:eastAsiaTheme="minorHAnsi"/>
                <w:color w:val="000000"/>
                <w:szCs w:val="24"/>
                <w:lang w:eastAsia="en-US"/>
              </w:rPr>
              <w:t>.</w:t>
            </w:r>
          </w:p>
          <w:p w:rsidR="00985A1B" w:rsidRDefault="00985A1B" w:rsidP="00D021DB">
            <w:pPr>
              <w:widowControl/>
              <w:autoSpaceDE w:val="0"/>
              <w:autoSpaceDN w:val="0"/>
              <w:adjustRightInd w:val="0"/>
              <w:rPr>
                <w:color w:val="000000"/>
                <w:szCs w:val="24"/>
              </w:rPr>
            </w:pPr>
          </w:p>
          <w:p w:rsidR="00985A1B" w:rsidRDefault="00985A1B" w:rsidP="00985A1B">
            <w:pPr>
              <w:widowControl/>
              <w:autoSpaceDE w:val="0"/>
              <w:autoSpaceDN w:val="0"/>
              <w:adjustRightInd w:val="0"/>
              <w:rPr>
                <w:rFonts w:eastAsiaTheme="minorHAnsi"/>
                <w:color w:val="000000"/>
                <w:szCs w:val="24"/>
                <w:lang w:eastAsia="en-US"/>
              </w:rPr>
            </w:pPr>
            <w:r>
              <w:rPr>
                <w:rFonts w:eastAsiaTheme="minorHAnsi"/>
                <w:color w:val="000000"/>
                <w:szCs w:val="24"/>
                <w:lang w:eastAsia="en-US"/>
              </w:rPr>
              <w:t>Utskottet justerade betänkande 2020/</w:t>
            </w:r>
            <w:proofErr w:type="gramStart"/>
            <w:r>
              <w:rPr>
                <w:rFonts w:eastAsiaTheme="minorHAnsi"/>
                <w:color w:val="000000"/>
                <w:szCs w:val="24"/>
                <w:lang w:eastAsia="en-US"/>
              </w:rPr>
              <w:t>21:FiU</w:t>
            </w:r>
            <w:proofErr w:type="gramEnd"/>
            <w:r>
              <w:rPr>
                <w:rFonts w:eastAsiaTheme="minorHAnsi"/>
                <w:color w:val="000000"/>
                <w:szCs w:val="24"/>
                <w:lang w:eastAsia="en-US"/>
              </w:rPr>
              <w:t>31</w:t>
            </w:r>
            <w:r w:rsidR="00A24379">
              <w:rPr>
                <w:rFonts w:eastAsiaTheme="minorHAnsi"/>
                <w:color w:val="000000"/>
                <w:szCs w:val="24"/>
                <w:lang w:eastAsia="en-US"/>
              </w:rPr>
              <w:t>.</w:t>
            </w:r>
          </w:p>
          <w:p w:rsidR="00985A1B" w:rsidRPr="00305C38" w:rsidRDefault="00985A1B" w:rsidP="00D021DB">
            <w:pPr>
              <w:widowControl/>
              <w:autoSpaceDE w:val="0"/>
              <w:autoSpaceDN w:val="0"/>
              <w:adjustRightInd w:val="0"/>
              <w:rPr>
                <w:color w:val="000000"/>
                <w:szCs w:val="24"/>
              </w:rPr>
            </w:pPr>
          </w:p>
        </w:tc>
      </w:tr>
      <w:tr w:rsidR="00D12ED4" w:rsidTr="00A24379">
        <w:trPr>
          <w:trHeight w:val="707"/>
        </w:trPr>
        <w:tc>
          <w:tcPr>
            <w:tcW w:w="567" w:type="dxa"/>
          </w:tcPr>
          <w:p w:rsidR="00183CBA" w:rsidRDefault="00985A1B" w:rsidP="00985A1B">
            <w:pPr>
              <w:tabs>
                <w:tab w:val="left" w:pos="1701"/>
              </w:tabs>
              <w:rPr>
                <w:b/>
                <w:snapToGrid w:val="0"/>
              </w:rPr>
            </w:pPr>
            <w:r>
              <w:rPr>
                <w:b/>
                <w:snapToGrid w:val="0"/>
              </w:rPr>
              <w:t>§ 12</w:t>
            </w:r>
          </w:p>
        </w:tc>
        <w:tc>
          <w:tcPr>
            <w:tcW w:w="8010" w:type="dxa"/>
          </w:tcPr>
          <w:p w:rsidR="00985A1B" w:rsidRPr="00985A1B" w:rsidRDefault="00985A1B" w:rsidP="00985A1B">
            <w:pPr>
              <w:outlineLvl w:val="0"/>
              <w:rPr>
                <w:b/>
                <w:bCs/>
              </w:rPr>
            </w:pPr>
            <w:r w:rsidRPr="00985A1B">
              <w:rPr>
                <w:b/>
                <w:bCs/>
              </w:rPr>
              <w:t xml:space="preserve">Avgiftsfritt pneumokockvaccin för pensionärer över 65 år </w:t>
            </w:r>
          </w:p>
          <w:p w:rsidR="00985A1B" w:rsidRPr="00985A1B" w:rsidRDefault="00985A1B" w:rsidP="00985A1B">
            <w:pPr>
              <w:outlineLvl w:val="0"/>
              <w:rPr>
                <w:bCs/>
              </w:rPr>
            </w:pPr>
            <w:r>
              <w:rPr>
                <w:bCs/>
              </w:rPr>
              <w:t>Utskottet f</w:t>
            </w:r>
            <w:r w:rsidRPr="00985A1B">
              <w:rPr>
                <w:bCs/>
              </w:rPr>
              <w:t>ortsatt</w:t>
            </w:r>
            <w:r>
              <w:rPr>
                <w:bCs/>
              </w:rPr>
              <w:t>e</w:t>
            </w:r>
            <w:r w:rsidRPr="00985A1B">
              <w:rPr>
                <w:bCs/>
              </w:rPr>
              <w:t xml:space="preserve"> beredning</w:t>
            </w:r>
            <w:r>
              <w:rPr>
                <w:bCs/>
              </w:rPr>
              <w:t xml:space="preserve">en av fråga </w:t>
            </w:r>
            <w:r w:rsidRPr="00985A1B">
              <w:rPr>
                <w:bCs/>
              </w:rPr>
              <w:t>om yttrande till socialutskottet om förslag till utskottsinitiativ</w:t>
            </w:r>
            <w:r w:rsidR="00A24379">
              <w:rPr>
                <w:bCs/>
              </w:rPr>
              <w:t>.</w:t>
            </w:r>
          </w:p>
          <w:p w:rsidR="00985A1B" w:rsidRDefault="00985A1B" w:rsidP="00985A1B">
            <w:pPr>
              <w:outlineLvl w:val="0"/>
              <w:rPr>
                <w:bCs/>
              </w:rPr>
            </w:pPr>
          </w:p>
          <w:p w:rsidR="00EF57E7" w:rsidRDefault="00985A1B" w:rsidP="00985A1B">
            <w:pPr>
              <w:outlineLvl w:val="0"/>
              <w:rPr>
                <w:bCs/>
              </w:rPr>
            </w:pPr>
            <w:r>
              <w:rPr>
                <w:bCs/>
              </w:rPr>
              <w:t xml:space="preserve">Utskottet beslutade att inte yttra sig. </w:t>
            </w:r>
          </w:p>
          <w:p w:rsidR="00985A1B" w:rsidRPr="00D12ED4" w:rsidRDefault="00985A1B" w:rsidP="00985A1B">
            <w:pPr>
              <w:outlineLvl w:val="0"/>
              <w:rPr>
                <w:bCs/>
              </w:rPr>
            </w:pPr>
          </w:p>
        </w:tc>
      </w:tr>
      <w:tr w:rsidR="00985A1B" w:rsidTr="00A24379">
        <w:trPr>
          <w:trHeight w:val="707"/>
        </w:trPr>
        <w:tc>
          <w:tcPr>
            <w:tcW w:w="567" w:type="dxa"/>
          </w:tcPr>
          <w:p w:rsidR="00985A1B" w:rsidRDefault="00985A1B" w:rsidP="000C726F">
            <w:pPr>
              <w:tabs>
                <w:tab w:val="left" w:pos="1701"/>
              </w:tabs>
              <w:rPr>
                <w:b/>
                <w:snapToGrid w:val="0"/>
              </w:rPr>
            </w:pPr>
            <w:r>
              <w:rPr>
                <w:b/>
                <w:snapToGrid w:val="0"/>
              </w:rPr>
              <w:t>§ 13</w:t>
            </w:r>
          </w:p>
        </w:tc>
        <w:tc>
          <w:tcPr>
            <w:tcW w:w="8010" w:type="dxa"/>
          </w:tcPr>
          <w:p w:rsidR="00985A1B" w:rsidRDefault="00985A1B" w:rsidP="00D021DB">
            <w:pPr>
              <w:outlineLvl w:val="0"/>
              <w:rPr>
                <w:rFonts w:eastAsiaTheme="minorHAnsi"/>
                <w:color w:val="000000"/>
                <w:szCs w:val="24"/>
                <w:lang w:eastAsia="en-US"/>
              </w:rPr>
            </w:pPr>
            <w:r>
              <w:rPr>
                <w:rFonts w:eastAsiaTheme="minorHAnsi"/>
                <w:b/>
                <w:bCs/>
                <w:color w:val="000000"/>
                <w:szCs w:val="24"/>
                <w:lang w:eastAsia="en-US"/>
              </w:rPr>
              <w:t>Rapport från möte i riksdagens råd för Riksrevisionen</w:t>
            </w:r>
            <w:r>
              <w:rPr>
                <w:rFonts w:eastAsiaTheme="minorHAnsi"/>
                <w:b/>
                <w:bCs/>
                <w:color w:val="000000"/>
                <w:szCs w:val="24"/>
                <w:lang w:eastAsia="en-US"/>
              </w:rPr>
              <w:br/>
            </w:r>
            <w:r>
              <w:rPr>
                <w:rFonts w:eastAsiaTheme="minorHAnsi"/>
                <w:color w:val="000000"/>
                <w:szCs w:val="24"/>
                <w:lang w:eastAsia="en-US"/>
              </w:rPr>
              <w:t xml:space="preserve">Rådets ordförande Ingemar Nilsson </w:t>
            </w:r>
            <w:r w:rsidRPr="00572173">
              <w:rPr>
                <w:color w:val="000000"/>
                <w:szCs w:val="24"/>
              </w:rPr>
              <w:t xml:space="preserve">rapporterade från </w:t>
            </w:r>
            <w:r>
              <w:rPr>
                <w:color w:val="000000"/>
                <w:szCs w:val="24"/>
              </w:rPr>
              <w:t xml:space="preserve">det </w:t>
            </w:r>
            <w:r w:rsidRPr="00572173">
              <w:rPr>
                <w:color w:val="000000"/>
                <w:szCs w:val="24"/>
              </w:rPr>
              <w:t>senaste mötet i rådet.</w:t>
            </w:r>
          </w:p>
          <w:p w:rsidR="00985A1B" w:rsidRPr="00AD47F5" w:rsidRDefault="00985A1B" w:rsidP="00D021DB">
            <w:pPr>
              <w:outlineLvl w:val="0"/>
              <w:rPr>
                <w:b/>
                <w:bCs/>
              </w:rPr>
            </w:pPr>
          </w:p>
        </w:tc>
      </w:tr>
      <w:tr w:rsidR="00CD7E8B" w:rsidTr="00A24379">
        <w:trPr>
          <w:trHeight w:val="707"/>
        </w:trPr>
        <w:tc>
          <w:tcPr>
            <w:tcW w:w="567" w:type="dxa"/>
          </w:tcPr>
          <w:p w:rsidR="00CD7E8B" w:rsidRDefault="00CD7E8B" w:rsidP="000C726F">
            <w:pPr>
              <w:tabs>
                <w:tab w:val="left" w:pos="1701"/>
              </w:tabs>
              <w:rPr>
                <w:b/>
                <w:snapToGrid w:val="0"/>
              </w:rPr>
            </w:pPr>
            <w:r>
              <w:rPr>
                <w:b/>
                <w:snapToGrid w:val="0"/>
              </w:rPr>
              <w:t xml:space="preserve">§ </w:t>
            </w:r>
            <w:r w:rsidR="00985A1B">
              <w:rPr>
                <w:b/>
                <w:snapToGrid w:val="0"/>
              </w:rPr>
              <w:t>1</w:t>
            </w:r>
            <w:r w:rsidR="00A24379">
              <w:rPr>
                <w:b/>
                <w:snapToGrid w:val="0"/>
              </w:rPr>
              <w:t>4</w:t>
            </w:r>
          </w:p>
        </w:tc>
        <w:tc>
          <w:tcPr>
            <w:tcW w:w="8010" w:type="dxa"/>
          </w:tcPr>
          <w:p w:rsidR="00CD7E8B" w:rsidRDefault="00AD47F5" w:rsidP="00D021DB">
            <w:pPr>
              <w:outlineLvl w:val="0"/>
              <w:rPr>
                <w:b/>
                <w:bCs/>
              </w:rPr>
            </w:pPr>
            <w:r w:rsidRPr="00AD47F5">
              <w:rPr>
                <w:b/>
                <w:bCs/>
              </w:rPr>
              <w:t>Nästa sammanträde</w:t>
            </w:r>
          </w:p>
          <w:p w:rsidR="00A24379" w:rsidRPr="00A24379" w:rsidRDefault="00A24379" w:rsidP="00D021DB">
            <w:pPr>
              <w:outlineLvl w:val="0"/>
              <w:rPr>
                <w:bCs/>
              </w:rPr>
            </w:pPr>
            <w:r w:rsidRPr="00A24379">
              <w:rPr>
                <w:bCs/>
              </w:rPr>
              <w:t>Tisdag</w:t>
            </w:r>
            <w:r>
              <w:rPr>
                <w:bCs/>
              </w:rPr>
              <w:t>en</w:t>
            </w:r>
            <w:r w:rsidRPr="00A24379">
              <w:rPr>
                <w:bCs/>
              </w:rPr>
              <w:t xml:space="preserve"> den 20 oktober öppen utfrågning om penningpolitiken kl. 10.00</w:t>
            </w:r>
            <w:r>
              <w:rPr>
                <w:bCs/>
              </w:rPr>
              <w:t>.</w:t>
            </w:r>
          </w:p>
        </w:tc>
      </w:tr>
      <w:tr w:rsidR="00D12ED4" w:rsidTr="00A24379">
        <w:tc>
          <w:tcPr>
            <w:tcW w:w="567" w:type="dxa"/>
          </w:tcPr>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tc>
        <w:tc>
          <w:tcPr>
            <w:tcW w:w="8010" w:type="dxa"/>
          </w:tcPr>
          <w:p w:rsidR="00A24379" w:rsidRDefault="00A24379" w:rsidP="00C15B79">
            <w:pPr>
              <w:outlineLvl w:val="0"/>
              <w:rPr>
                <w:bCs/>
              </w:rPr>
            </w:pPr>
          </w:p>
          <w:p w:rsidR="00CD7E8B" w:rsidRPr="00CD7E8B" w:rsidRDefault="00CD7E8B" w:rsidP="00C15B79">
            <w:pPr>
              <w:outlineLvl w:val="0"/>
              <w:rPr>
                <w:bCs/>
              </w:rPr>
            </w:pPr>
            <w:bookmarkStart w:id="0" w:name="_GoBack"/>
            <w:bookmarkEnd w:id="0"/>
          </w:p>
          <w:p w:rsidR="00CD7E8B" w:rsidRPr="00CD7E8B" w:rsidRDefault="00CD7E8B" w:rsidP="00C15B79">
            <w:pPr>
              <w:outlineLvl w:val="0"/>
              <w:rPr>
                <w:bCs/>
              </w:rPr>
            </w:pPr>
          </w:p>
          <w:p w:rsidR="00CD7E8B" w:rsidRPr="00CD7E8B" w:rsidRDefault="00CD7E8B" w:rsidP="00C15B79">
            <w:pPr>
              <w:outlineLvl w:val="0"/>
              <w:rPr>
                <w:bCs/>
              </w:rPr>
            </w:pPr>
            <w:r w:rsidRPr="00CD7E8B">
              <w:rPr>
                <w:bCs/>
              </w:rPr>
              <w:t>Justeras</w:t>
            </w:r>
          </w:p>
          <w:p w:rsidR="00CD7E8B" w:rsidRPr="00CD7E8B" w:rsidRDefault="00CD7E8B" w:rsidP="00C15B79">
            <w:pPr>
              <w:outlineLvl w:val="0"/>
              <w:rPr>
                <w:bCs/>
              </w:rPr>
            </w:pPr>
          </w:p>
          <w:p w:rsidR="00CD7E8B" w:rsidRPr="00CD7E8B" w:rsidRDefault="00CD7E8B" w:rsidP="00C15B79">
            <w:pPr>
              <w:outlineLvl w:val="0"/>
              <w:rPr>
                <w:bCs/>
              </w:rPr>
            </w:pPr>
          </w:p>
          <w:p w:rsidR="00CD7E8B" w:rsidRPr="00CD7E8B" w:rsidRDefault="00A24379" w:rsidP="00C15B79">
            <w:pPr>
              <w:outlineLvl w:val="0"/>
              <w:rPr>
                <w:bCs/>
              </w:rPr>
            </w:pPr>
            <w:r>
              <w:rPr>
                <w:bCs/>
              </w:rPr>
              <w:t>Åsa Westlund</w:t>
            </w:r>
          </w:p>
          <w:p w:rsidR="00CD7E8B" w:rsidRPr="00CD7E8B" w:rsidRDefault="00CD7E8B" w:rsidP="00C15B79">
            <w:pPr>
              <w:outlineLvl w:val="0"/>
              <w:rPr>
                <w:bCs/>
              </w:rPr>
            </w:pPr>
          </w:p>
          <w:p w:rsidR="00D12ED4" w:rsidRPr="00D12ED4" w:rsidRDefault="00D12ED4" w:rsidP="00C15B79">
            <w:pPr>
              <w:outlineLvl w:val="0"/>
              <w:rPr>
                <w:bCs/>
              </w:rPr>
            </w:pPr>
          </w:p>
        </w:tc>
      </w:tr>
      <w:tr w:rsidR="002C538C" w:rsidTr="00A24379">
        <w:tc>
          <w:tcPr>
            <w:tcW w:w="8577" w:type="dxa"/>
            <w:gridSpan w:val="2"/>
          </w:tcPr>
          <w:p w:rsidR="002C538C" w:rsidRPr="00BD39D1" w:rsidRDefault="002C538C" w:rsidP="002C538C">
            <w:pPr>
              <w:outlineLvl w:val="0"/>
            </w:pPr>
          </w:p>
        </w:tc>
      </w:tr>
    </w:tbl>
    <w:p w:rsidR="00294515" w:rsidRDefault="00294515" w:rsidP="00223A90">
      <w:pPr>
        <w:pStyle w:val="Sidhuvud"/>
        <w:tabs>
          <w:tab w:val="clear" w:pos="4536"/>
          <w:tab w:val="left" w:pos="3402"/>
          <w:tab w:val="left" w:pos="6946"/>
        </w:tabs>
        <w:ind w:left="-851"/>
        <w:rPr>
          <w:sz w:val="20"/>
        </w:rPr>
      </w:pPr>
    </w:p>
    <w:p w:rsidR="00294515" w:rsidRDefault="00294515" w:rsidP="00223A90">
      <w:pPr>
        <w:pStyle w:val="Sidhuvud"/>
        <w:tabs>
          <w:tab w:val="clear" w:pos="4536"/>
          <w:tab w:val="left" w:pos="3402"/>
          <w:tab w:val="left" w:pos="6946"/>
        </w:tabs>
        <w:ind w:left="-851"/>
        <w:rPr>
          <w:sz w:val="20"/>
        </w:rPr>
      </w:pPr>
    </w:p>
    <w:p w:rsidR="00294515" w:rsidRDefault="00294515" w:rsidP="00223A90">
      <w:pPr>
        <w:pStyle w:val="Sidhuvud"/>
        <w:tabs>
          <w:tab w:val="clear" w:pos="4536"/>
          <w:tab w:val="left" w:pos="3402"/>
          <w:tab w:val="left" w:pos="6946"/>
        </w:tabs>
        <w:ind w:left="-851"/>
        <w:rPr>
          <w:sz w:val="20"/>
        </w:rPr>
      </w:pPr>
    </w:p>
    <w:p w:rsidR="00294515" w:rsidRDefault="00294515" w:rsidP="00223A90">
      <w:pPr>
        <w:pStyle w:val="Sidhuvud"/>
        <w:tabs>
          <w:tab w:val="clear" w:pos="4536"/>
          <w:tab w:val="left" w:pos="3402"/>
          <w:tab w:val="left" w:pos="6946"/>
        </w:tabs>
        <w:ind w:left="-851"/>
        <w:rPr>
          <w:sz w:val="20"/>
        </w:rPr>
      </w:pPr>
    </w:p>
    <w:p w:rsidR="00192BEE" w:rsidRDefault="00192BEE" w:rsidP="005A0175">
      <w:pPr>
        <w:pStyle w:val="Sidhuvud"/>
        <w:tabs>
          <w:tab w:val="clear" w:pos="4536"/>
          <w:tab w:val="left" w:pos="3402"/>
          <w:tab w:val="left" w:pos="6946"/>
        </w:tabs>
        <w:rPr>
          <w:sz w:val="20"/>
        </w:rPr>
      </w:pPr>
    </w:p>
    <w:p w:rsidR="005A0175" w:rsidRDefault="005A0175" w:rsidP="005A0175">
      <w:pPr>
        <w:pStyle w:val="Sidhuvud"/>
        <w:tabs>
          <w:tab w:val="clear" w:pos="4536"/>
          <w:tab w:val="left" w:pos="3402"/>
          <w:tab w:val="left" w:pos="6946"/>
        </w:tabs>
        <w:rPr>
          <w:sz w:val="20"/>
        </w:rPr>
      </w:pPr>
      <w:r>
        <w:rPr>
          <w:sz w:val="20"/>
        </w:rPr>
        <w:br w:type="page"/>
      </w:r>
    </w:p>
    <w:p w:rsidR="004C6601" w:rsidRDefault="004C6601" w:rsidP="004C6601">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w:t>
      </w:r>
      <w:r w:rsidR="00E12150">
        <w:rPr>
          <w:sz w:val="22"/>
          <w:szCs w:val="22"/>
        </w:rPr>
        <w:t>20</w:t>
      </w:r>
      <w:r>
        <w:rPr>
          <w:sz w:val="22"/>
          <w:szCs w:val="22"/>
        </w:rPr>
        <w:t>/</w:t>
      </w:r>
      <w:r w:rsidR="00917732">
        <w:rPr>
          <w:sz w:val="22"/>
          <w:szCs w:val="22"/>
        </w:rPr>
        <w:t>2</w:t>
      </w:r>
      <w:r w:rsidR="00E12150">
        <w:rPr>
          <w:sz w:val="22"/>
          <w:szCs w:val="22"/>
        </w:rPr>
        <w:t>1</w:t>
      </w:r>
      <w:r w:rsidRPr="00282678">
        <w:rPr>
          <w:sz w:val="22"/>
          <w:szCs w:val="22"/>
        </w:rPr>
        <w:t>:</w:t>
      </w:r>
      <w:r w:rsidR="00985A1B">
        <w:rPr>
          <w:sz w:val="22"/>
          <w:szCs w:val="22"/>
        </w:rPr>
        <w:t>8</w:t>
      </w:r>
    </w:p>
    <w:p w:rsidR="00282678" w:rsidRDefault="00282678" w:rsidP="00282678">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rsidR="004C6601" w:rsidRPr="000E151F" w:rsidRDefault="00C52A40" w:rsidP="006B55D9">
            <w:pPr>
              <w:spacing w:line="360" w:lineRule="auto"/>
              <w:rPr>
                <w:sz w:val="22"/>
                <w:szCs w:val="22"/>
              </w:rPr>
            </w:pPr>
            <w:r>
              <w:rPr>
                <w:sz w:val="22"/>
                <w:szCs w:val="22"/>
              </w:rPr>
              <w:t>§1</w:t>
            </w: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§2</w:t>
            </w: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w:t>
            </w:r>
            <w:proofErr w:type="gramStart"/>
            <w:r>
              <w:rPr>
                <w:sz w:val="22"/>
                <w:szCs w:val="22"/>
              </w:rPr>
              <w:t>3-5</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w:t>
            </w:r>
            <w:proofErr w:type="gramStart"/>
            <w:r>
              <w:rPr>
                <w:sz w:val="22"/>
                <w:szCs w:val="22"/>
              </w:rPr>
              <w:t>6-1</w:t>
            </w:r>
            <w:r w:rsidR="00A24379">
              <w:rPr>
                <w:sz w:val="22"/>
                <w:szCs w:val="22"/>
              </w:rPr>
              <w:t>4</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b/>
                <w:i/>
                <w:sz w:val="22"/>
                <w:szCs w:val="22"/>
              </w:rPr>
            </w:pPr>
            <w:r>
              <w:rPr>
                <w:snapToGrid w:val="0"/>
                <w:sz w:val="22"/>
                <w:szCs w:val="22"/>
              </w:rPr>
              <w:t xml:space="preserve"> </w:t>
            </w:r>
            <w:r w:rsidR="0031671A">
              <w:rPr>
                <w:snapToGrid w:val="0"/>
                <w:sz w:val="22"/>
                <w:szCs w:val="22"/>
              </w:rPr>
              <w:t>Åsa Westlund</w:t>
            </w:r>
            <w:r w:rsidRPr="000E151F">
              <w:rPr>
                <w:snapToGrid w:val="0"/>
                <w:sz w:val="22"/>
                <w:szCs w:val="22"/>
              </w:rPr>
              <w:t xml:space="preserve"> (S)</w:t>
            </w:r>
            <w:r>
              <w:rPr>
                <w:snapToGrid w:val="0"/>
                <w:sz w:val="22"/>
                <w:szCs w:val="22"/>
              </w:rPr>
              <w:t xml:space="preserve"> </w:t>
            </w:r>
            <w:r w:rsidRPr="00AF3CA6">
              <w:rPr>
                <w:i/>
                <w:snapToGrid w:val="0"/>
                <w:sz w:val="22"/>
                <w:szCs w:val="22"/>
              </w:rPr>
              <w:t>Ordförande</w:t>
            </w:r>
            <w:r w:rsidR="00C52A40">
              <w:rPr>
                <w:i/>
                <w:snapToGrid w:val="0"/>
                <w:sz w:val="22"/>
                <w:szCs w:val="22"/>
              </w:rPr>
              <w:t xml:space="preserve"> från punkt 3</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ind w:left="-354" w:firstLine="426"/>
              <w:rPr>
                <w:snapToGrid w:val="0"/>
                <w:sz w:val="22"/>
                <w:szCs w:val="22"/>
              </w:rPr>
            </w:pPr>
            <w:r>
              <w:rPr>
                <w:snapToGrid w:val="0"/>
                <w:sz w:val="22"/>
                <w:szCs w:val="22"/>
              </w:rPr>
              <w:t xml:space="preserve">Elisabeth Svantesson (M) </w:t>
            </w:r>
            <w:r w:rsidRPr="00AF3CA6">
              <w:rPr>
                <w:i/>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Pr>
                <w:snapToGrid w:val="0"/>
                <w:sz w:val="22"/>
                <w:szCs w:val="22"/>
              </w:rPr>
              <w:t xml:space="preserve"> Gunilla Carlsson</w:t>
            </w:r>
            <w:r w:rsidRPr="000E151F">
              <w:rPr>
                <w:snapToGrid w:val="0"/>
                <w:sz w:val="22"/>
                <w:szCs w:val="22"/>
              </w:rPr>
              <w:t xml:space="preserve"> (S) </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Pr>
                <w:snapToGrid w:val="0"/>
                <w:sz w:val="22"/>
                <w:szCs w:val="22"/>
              </w:rPr>
              <w:t xml:space="preserve"> Edward Riedl</w:t>
            </w:r>
            <w:r w:rsidRPr="000E151F">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sidRPr="000E151F">
              <w:rPr>
                <w:snapToGrid w:val="0"/>
                <w:sz w:val="22"/>
                <w:szCs w:val="22"/>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356"/>
              </w:tabs>
              <w:rPr>
                <w:snapToGrid w:val="0"/>
                <w:sz w:val="22"/>
                <w:szCs w:val="22"/>
              </w:rPr>
            </w:pPr>
            <w:r w:rsidRPr="000E151F">
              <w:rPr>
                <w:spacing w:val="4"/>
                <w:kern w:val="16"/>
                <w:sz w:val="22"/>
                <w:szCs w:val="22"/>
              </w:rPr>
              <w:t xml:space="preserve"> </w:t>
            </w:r>
            <w:r w:rsidRPr="000E151F">
              <w:rPr>
                <w:snapToGrid w:val="0"/>
                <w:sz w:val="22"/>
                <w:szCs w:val="22"/>
                <w:lang w:val="en-US"/>
              </w:rPr>
              <w:t xml:space="preserve">Adnan Dibrani </w:t>
            </w:r>
            <w:r w:rsidRPr="000E151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ind w:left="-354" w:firstLine="426"/>
              <w:rPr>
                <w:snapToGrid w:val="0"/>
                <w:sz w:val="22"/>
                <w:szCs w:val="22"/>
              </w:rPr>
            </w:pPr>
            <w:r w:rsidRPr="000E151F">
              <w:rPr>
                <w:snapToGrid w:val="0"/>
                <w:sz w:val="22"/>
                <w:szCs w:val="22"/>
              </w:rPr>
              <w:t>Emil Källström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Ulla Andersson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Jan Ericson (M</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Ingela Nylund Watz (</w:t>
            </w:r>
            <w:r>
              <w:rPr>
                <w:snapToGrid w:val="0"/>
                <w:sz w:val="22"/>
                <w:szCs w:val="22"/>
              </w:rPr>
              <w:t>S</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Jakob Forssmed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497"/>
              </w:tabs>
              <w:ind w:left="72"/>
              <w:rPr>
                <w:snapToGrid w:val="0"/>
                <w:sz w:val="22"/>
                <w:szCs w:val="22"/>
              </w:rPr>
            </w:pPr>
            <w:r>
              <w:rPr>
                <w:snapToGrid w:val="0"/>
                <w:sz w:val="22"/>
                <w:szCs w:val="22"/>
              </w:rPr>
              <w:t xml:space="preserve">Ingemar Nilsson </w:t>
            </w:r>
            <w:r w:rsidRPr="000E151F">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917732" w:rsidP="006B55D9">
            <w:pPr>
              <w:tabs>
                <w:tab w:val="left" w:pos="497"/>
              </w:tabs>
              <w:ind w:left="72"/>
              <w:rPr>
                <w:snapToGrid w:val="0"/>
                <w:sz w:val="22"/>
                <w:szCs w:val="22"/>
              </w:rPr>
            </w:pPr>
            <w:r>
              <w:rPr>
                <w:snapToGrid w:val="0"/>
                <w:sz w:val="22"/>
                <w:szCs w:val="22"/>
              </w:rPr>
              <w:t>Mats Persson</w:t>
            </w:r>
            <w:r w:rsidR="004C6601">
              <w:rPr>
                <w:snapToGrid w:val="0"/>
                <w:sz w:val="22"/>
                <w:szCs w:val="22"/>
              </w:rPr>
              <w:t xml:space="preserve"> (L</w:t>
            </w:r>
            <w:r w:rsidR="004C6601"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 xml:space="preserve">Karolina Skog </w:t>
            </w:r>
            <w:r w:rsidRPr="000E151F">
              <w:rPr>
                <w:snapToGrid w:val="0"/>
                <w:sz w:val="22"/>
                <w:szCs w:val="22"/>
              </w:rPr>
              <w:t>(MP</w:t>
            </w:r>
            <w:r>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Mattias Karlsson i Luleå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numPr>
                <w:ilvl w:val="0"/>
                <w:numId w:val="3"/>
              </w:numPr>
              <w:tabs>
                <w:tab w:val="clear" w:pos="360"/>
                <w:tab w:val="left" w:pos="0"/>
              </w:tabs>
              <w:ind w:hanging="720"/>
              <w:rPr>
                <w:snapToGrid w:val="0"/>
                <w:sz w:val="22"/>
                <w:szCs w:val="22"/>
              </w:rPr>
            </w:pPr>
            <w:r>
              <w:rPr>
                <w:snapToGrid w:val="0"/>
                <w:sz w:val="22"/>
                <w:szCs w:val="22"/>
              </w:rPr>
              <w:t xml:space="preserve"> </w:t>
            </w:r>
            <w:r w:rsidR="00B61262">
              <w:rPr>
                <w:snapToGrid w:val="0"/>
                <w:sz w:val="22"/>
                <w:szCs w:val="22"/>
              </w:rPr>
              <w:t>Björn Wiechel</w:t>
            </w:r>
            <w:r>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napToGrid w:val="0"/>
                <w:sz w:val="22"/>
                <w:szCs w:val="22"/>
              </w:rPr>
            </w:pPr>
            <w:r>
              <w:rPr>
                <w:snapToGrid w:val="0"/>
                <w:sz w:val="22"/>
                <w:szCs w:val="22"/>
              </w:rPr>
              <w:t xml:space="preserve"> Sofia Westergren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A24379"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A24379"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356"/>
              </w:tabs>
              <w:rPr>
                <w:snapToGrid w:val="0"/>
                <w:sz w:val="22"/>
                <w:szCs w:val="22"/>
              </w:rPr>
            </w:pPr>
            <w:r>
              <w:rPr>
                <w:snapToGrid w:val="0"/>
                <w:sz w:val="22"/>
                <w:szCs w:val="22"/>
              </w:rPr>
              <w:t xml:space="preserve"> Eva Lindh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52A40"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pacing w:val="4"/>
                <w:kern w:val="16"/>
                <w:sz w:val="22"/>
              </w:rPr>
              <w:t xml:space="preserve"> Josefin Malmqvist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w:t>
            </w:r>
            <w:r>
              <w:rPr>
                <w:snapToGrid w:val="0"/>
                <w:sz w:val="22"/>
                <w:szCs w:val="22"/>
              </w:rPr>
              <w:t>Sven-Olof Sällström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Johan Andersson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Lars Thomsson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Ida Gabrielsson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sidRPr="000E151F">
              <w:rPr>
                <w:snapToGrid w:val="0"/>
                <w:sz w:val="22"/>
                <w:szCs w:val="22"/>
                <w:lang w:val="en-US"/>
              </w:rPr>
              <w:t xml:space="preserve"> </w:t>
            </w:r>
            <w:r>
              <w:rPr>
                <w:snapToGrid w:val="0"/>
                <w:sz w:val="22"/>
                <w:szCs w:val="22"/>
              </w:rPr>
              <w:t>Saila Quicklund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Ann-Christine From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Monica Haider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Hampus Hagman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proofErr w:type="spellStart"/>
            <w:r>
              <w:rPr>
                <w:snapToGrid w:val="0"/>
                <w:sz w:val="22"/>
                <w:szCs w:val="22"/>
              </w:rPr>
              <w:t>Teres</w:t>
            </w:r>
            <w:proofErr w:type="spellEnd"/>
            <w:r>
              <w:rPr>
                <w:snapToGrid w:val="0"/>
                <w:sz w:val="22"/>
                <w:szCs w:val="22"/>
              </w:rPr>
              <w:t xml:space="preserve"> Lindberg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Joar Forssell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r>
              <w:rPr>
                <w:snapToGrid w:val="0"/>
                <w:sz w:val="22"/>
                <w:szCs w:val="22"/>
              </w:rPr>
              <w:t>Staffan Eklöf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Rasmus Ling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Kjell Jansson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Grubb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Clara </w:t>
            </w:r>
            <w:proofErr w:type="spellStart"/>
            <w:r>
              <w:rPr>
                <w:snapToGrid w:val="0"/>
                <w:sz w:val="22"/>
                <w:szCs w:val="22"/>
              </w:rPr>
              <w:t>Aranda</w:t>
            </w:r>
            <w:proofErr w:type="spellEnd"/>
            <w:r>
              <w:rPr>
                <w:snapToGrid w:val="0"/>
                <w:sz w:val="22"/>
                <w:szCs w:val="22"/>
              </w:rPr>
              <w:t xml:space="preserve">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917732">
              <w:rPr>
                <w:snapToGrid w:val="0"/>
                <w:sz w:val="22"/>
                <w:szCs w:val="22"/>
              </w:rPr>
              <w:t xml:space="preserve">Johan Pehrson </w:t>
            </w:r>
            <w:r>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Gulan </w:t>
            </w:r>
            <w:proofErr w:type="spellStart"/>
            <w:r>
              <w:rPr>
                <w:snapToGrid w:val="0"/>
                <w:sz w:val="22"/>
                <w:szCs w:val="22"/>
              </w:rPr>
              <w:t>Avci</w:t>
            </w:r>
            <w:proofErr w:type="spellEnd"/>
            <w:r>
              <w:rPr>
                <w:snapToGrid w:val="0"/>
                <w:sz w:val="22"/>
                <w:szCs w:val="22"/>
              </w:rPr>
              <w:t xml:space="preserve">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Sofia Nilsson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Tony Haddou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Larry Söder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Andreas Carlson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Janine Alm Ericson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Hellman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1F64CD">
        <w:tc>
          <w:tcPr>
            <w:tcW w:w="4395" w:type="dxa"/>
            <w:tcBorders>
              <w:top w:val="single" w:sz="6" w:space="0" w:color="auto"/>
              <w:left w:val="single" w:sz="6" w:space="0" w:color="auto"/>
              <w:bottom w:val="single" w:sz="4" w:space="0" w:color="auto"/>
              <w:right w:val="single" w:sz="6" w:space="0" w:color="auto"/>
            </w:tcBorders>
          </w:tcPr>
          <w:p w:rsidR="004C6601" w:rsidRDefault="004C6601" w:rsidP="006B55D9">
            <w:pPr>
              <w:tabs>
                <w:tab w:val="left" w:pos="497"/>
              </w:tabs>
              <w:rPr>
                <w:snapToGrid w:val="0"/>
                <w:sz w:val="22"/>
                <w:szCs w:val="22"/>
              </w:rPr>
            </w:pPr>
            <w:r>
              <w:rPr>
                <w:snapToGrid w:val="0"/>
                <w:sz w:val="22"/>
                <w:szCs w:val="22"/>
              </w:rPr>
              <w:t xml:space="preserve"> Sultan </w:t>
            </w:r>
            <w:proofErr w:type="spellStart"/>
            <w:r>
              <w:rPr>
                <w:snapToGrid w:val="0"/>
                <w:sz w:val="22"/>
                <w:szCs w:val="22"/>
              </w:rPr>
              <w:t>Kayhan</w:t>
            </w:r>
            <w:proofErr w:type="spellEnd"/>
            <w:r>
              <w:rPr>
                <w:snapToGrid w:val="0"/>
                <w:sz w:val="22"/>
                <w:szCs w:val="22"/>
              </w:rPr>
              <w:t xml:space="preserve"> (S)</w:t>
            </w:r>
          </w:p>
        </w:tc>
        <w:tc>
          <w:tcPr>
            <w:tcW w:w="488"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r>
      <w:tr w:rsidR="001F64CD" w:rsidRPr="000E151F" w:rsidTr="001F64CD">
        <w:tc>
          <w:tcPr>
            <w:tcW w:w="4395" w:type="dxa"/>
            <w:tcBorders>
              <w:top w:val="single" w:sz="4" w:space="0" w:color="auto"/>
              <w:left w:val="single" w:sz="4" w:space="0" w:color="auto"/>
              <w:bottom w:val="single" w:sz="4" w:space="0" w:color="auto"/>
              <w:right w:val="single" w:sz="4" w:space="0" w:color="auto"/>
            </w:tcBorders>
          </w:tcPr>
          <w:p w:rsidR="001F64CD" w:rsidRDefault="00B61262" w:rsidP="006B55D9">
            <w:pPr>
              <w:tabs>
                <w:tab w:val="left" w:pos="497"/>
              </w:tabs>
              <w:rPr>
                <w:snapToGrid w:val="0"/>
                <w:sz w:val="22"/>
                <w:szCs w:val="22"/>
              </w:rPr>
            </w:pPr>
            <w:r>
              <w:rPr>
                <w:snapToGrid w:val="0"/>
                <w:sz w:val="22"/>
                <w:szCs w:val="22"/>
              </w:rPr>
              <w:t xml:space="preserve"> </w:t>
            </w:r>
            <w:r w:rsidR="00C52A40">
              <w:rPr>
                <w:snapToGrid w:val="0"/>
                <w:sz w:val="22"/>
                <w:szCs w:val="22"/>
              </w:rPr>
              <w:t>Rickard Nordin</w:t>
            </w:r>
            <w:r w:rsidR="006F6AA0">
              <w:rPr>
                <w:snapToGrid w:val="0"/>
                <w:sz w:val="22"/>
                <w:szCs w:val="22"/>
              </w:rPr>
              <w:t xml:space="preserve"> (C) extra </w:t>
            </w:r>
            <w:proofErr w:type="spellStart"/>
            <w:r w:rsidR="006F6AA0">
              <w:rPr>
                <w:snapToGrid w:val="0"/>
                <w:sz w:val="22"/>
                <w:szCs w:val="22"/>
              </w:rPr>
              <w:t>supp</w:t>
            </w:r>
            <w:proofErr w:type="spellEnd"/>
          </w:p>
        </w:tc>
        <w:tc>
          <w:tcPr>
            <w:tcW w:w="488" w:type="dxa"/>
            <w:tcBorders>
              <w:top w:val="single" w:sz="4" w:space="0" w:color="auto"/>
              <w:left w:val="single" w:sz="4" w:space="0" w:color="auto"/>
              <w:bottom w:val="single" w:sz="4" w:space="0" w:color="auto"/>
              <w:right w:val="single" w:sz="4" w:space="0" w:color="auto"/>
            </w:tcBorders>
          </w:tcPr>
          <w:p w:rsidR="001F64CD" w:rsidRPr="000E151F" w:rsidRDefault="00C52A40" w:rsidP="006B55D9">
            <w:pPr>
              <w:rPr>
                <w:sz w:val="22"/>
                <w:szCs w:val="22"/>
              </w:rPr>
            </w:pPr>
            <w:r>
              <w:rPr>
                <w:sz w:val="22"/>
                <w:szCs w:val="22"/>
              </w:rPr>
              <w:t>-</w:t>
            </w:r>
          </w:p>
        </w:tc>
        <w:tc>
          <w:tcPr>
            <w:tcW w:w="507"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C52A40" w:rsidP="006B55D9">
            <w:pPr>
              <w:rPr>
                <w:sz w:val="22"/>
                <w:szCs w:val="22"/>
              </w:rPr>
            </w:pPr>
            <w:r>
              <w:rPr>
                <w:sz w:val="22"/>
                <w:szCs w:val="22"/>
              </w:rPr>
              <w:t>X</w:t>
            </w: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C52A40" w:rsidP="006B55D9">
            <w:pPr>
              <w:rPr>
                <w:sz w:val="22"/>
                <w:szCs w:val="22"/>
              </w:rPr>
            </w:pPr>
            <w:r>
              <w:rPr>
                <w:sz w:val="22"/>
                <w:szCs w:val="22"/>
              </w:rPr>
              <w:t>X</w:t>
            </w: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C52A40" w:rsidP="006B55D9">
            <w:pPr>
              <w:rPr>
                <w:sz w:val="22"/>
                <w:szCs w:val="22"/>
              </w:rPr>
            </w:pPr>
            <w:r>
              <w:rPr>
                <w:sz w:val="22"/>
                <w:szCs w:val="22"/>
              </w:rPr>
              <w:t>X</w:t>
            </w: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r>
      <w:tr w:rsidR="006F6AA0" w:rsidRPr="000E151F" w:rsidTr="001F64CD">
        <w:tc>
          <w:tcPr>
            <w:tcW w:w="4395" w:type="dxa"/>
            <w:tcBorders>
              <w:top w:val="single" w:sz="4" w:space="0" w:color="auto"/>
              <w:left w:val="single" w:sz="4" w:space="0" w:color="auto"/>
              <w:bottom w:val="single" w:sz="4" w:space="0" w:color="auto"/>
              <w:right w:val="single" w:sz="4" w:space="0" w:color="auto"/>
            </w:tcBorders>
          </w:tcPr>
          <w:p w:rsidR="006F6AA0" w:rsidRDefault="00B61262" w:rsidP="006B55D9">
            <w:pPr>
              <w:tabs>
                <w:tab w:val="left" w:pos="497"/>
              </w:tabs>
              <w:rPr>
                <w:snapToGrid w:val="0"/>
                <w:sz w:val="22"/>
                <w:szCs w:val="22"/>
              </w:rPr>
            </w:pPr>
            <w:r>
              <w:rPr>
                <w:snapToGrid w:val="0"/>
                <w:sz w:val="22"/>
                <w:szCs w:val="22"/>
              </w:rPr>
              <w:t xml:space="preserve"> </w:t>
            </w:r>
            <w:r w:rsidR="00C52A40">
              <w:rPr>
                <w:snapToGrid w:val="0"/>
                <w:sz w:val="22"/>
                <w:szCs w:val="22"/>
              </w:rPr>
              <w:t>Alexander Christiansson (SD)</w:t>
            </w:r>
            <w:r w:rsidR="006F6AA0">
              <w:rPr>
                <w:snapToGrid w:val="0"/>
                <w:sz w:val="22"/>
                <w:szCs w:val="22"/>
              </w:rPr>
              <w:t xml:space="preserve"> extra </w:t>
            </w:r>
            <w:proofErr w:type="spellStart"/>
            <w:r w:rsidR="006F6AA0">
              <w:rPr>
                <w:snapToGrid w:val="0"/>
                <w:sz w:val="22"/>
                <w:szCs w:val="22"/>
              </w:rPr>
              <w:t>supp</w:t>
            </w:r>
            <w:proofErr w:type="spellEnd"/>
          </w:p>
        </w:tc>
        <w:tc>
          <w:tcPr>
            <w:tcW w:w="488" w:type="dxa"/>
            <w:tcBorders>
              <w:top w:val="single" w:sz="4" w:space="0" w:color="auto"/>
              <w:left w:val="single" w:sz="4" w:space="0" w:color="auto"/>
              <w:bottom w:val="single" w:sz="4" w:space="0" w:color="auto"/>
              <w:right w:val="single" w:sz="4" w:space="0" w:color="auto"/>
            </w:tcBorders>
          </w:tcPr>
          <w:p w:rsidR="006F6AA0" w:rsidRPr="000E151F" w:rsidRDefault="00C52A40" w:rsidP="006B55D9">
            <w:pPr>
              <w:rPr>
                <w:sz w:val="22"/>
                <w:szCs w:val="22"/>
              </w:rPr>
            </w:pPr>
            <w:r>
              <w:rPr>
                <w:sz w:val="22"/>
                <w:szCs w:val="22"/>
              </w:rPr>
              <w:t>-</w:t>
            </w:r>
          </w:p>
        </w:tc>
        <w:tc>
          <w:tcPr>
            <w:tcW w:w="507"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C52A40" w:rsidP="006B55D9">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C52A40" w:rsidP="006B55D9">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C52A40" w:rsidP="006B55D9">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r>
    </w:tbl>
    <w:p w:rsidR="004C6601" w:rsidRDefault="004C6601" w:rsidP="004C6601">
      <w:pPr>
        <w:ind w:left="-709"/>
        <w:rPr>
          <w:spacing w:val="2"/>
          <w:sz w:val="18"/>
        </w:rPr>
      </w:pPr>
      <w:r>
        <w:rPr>
          <w:spacing w:val="2"/>
          <w:sz w:val="18"/>
        </w:rPr>
        <w:t>N= Närvarande                                                                    X= ledamöter som deltagit i handläggningen</w:t>
      </w:r>
    </w:p>
    <w:p w:rsidR="004C6601" w:rsidRDefault="004C6601" w:rsidP="004C6601">
      <w:pPr>
        <w:ind w:left="-709"/>
        <w:rPr>
          <w:spacing w:val="2"/>
          <w:sz w:val="18"/>
        </w:rPr>
      </w:pPr>
      <w:r>
        <w:rPr>
          <w:spacing w:val="2"/>
          <w:sz w:val="18"/>
        </w:rPr>
        <w:t>V=  Votering                                                                       O= ledamöter som härutöver varit närvarande</w:t>
      </w:r>
    </w:p>
    <w:p w:rsidR="008035C8" w:rsidRDefault="008035C8" w:rsidP="004C6601">
      <w:pPr>
        <w:pStyle w:val="Sidhuvud"/>
        <w:tabs>
          <w:tab w:val="clear" w:pos="4536"/>
          <w:tab w:val="left" w:pos="3402"/>
          <w:tab w:val="left" w:pos="5529"/>
        </w:tabs>
        <w:ind w:left="-851"/>
        <w:rPr>
          <w:sz w:val="20"/>
        </w:rPr>
      </w:pPr>
    </w:p>
    <w:sectPr w:rsidR="008035C8" w:rsidSect="00223A90">
      <w:headerReference w:type="default" r:id="rId8"/>
      <w:pgSz w:w="11906" w:h="16838" w:code="9"/>
      <w:pgMar w:top="425" w:right="1134" w:bottom="680"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AB4" w:rsidRDefault="007E0AB4">
      <w:r>
        <w:separator/>
      </w:r>
    </w:p>
  </w:endnote>
  <w:endnote w:type="continuationSeparator" w:id="0">
    <w:p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AB4" w:rsidRDefault="007E0AB4">
      <w:r>
        <w:separator/>
      </w:r>
    </w:p>
  </w:footnote>
  <w:footnote w:type="continuationSeparator" w:id="0">
    <w:p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F65" w:rsidRDefault="00C07F65" w:rsidP="00C07F65">
    <w:pPr>
      <w:pStyle w:val="Sidhuvud"/>
      <w:ind w:left="-567"/>
    </w:pPr>
    <w:bookmarkStart w:id="1" w:name="Svenska"/>
    <w:r>
      <w:t>Finansutskottet</w:t>
    </w:r>
    <w:r>
      <w:tab/>
    </w:r>
    <w:r>
      <w:tab/>
    </w:r>
    <w:r>
      <w:rPr>
        <w:noProof/>
      </w:rPr>
      <w:drawing>
        <wp:inline distT="0" distB="0" distL="0" distR="0">
          <wp:extent cx="1438275" cy="382905"/>
          <wp:effectExtent l="0" t="0" r="9525" b="0"/>
          <wp:docPr id="58"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305C717B"/>
    <w:multiLevelType w:val="hybridMultilevel"/>
    <w:tmpl w:val="8F74C806"/>
    <w:lvl w:ilvl="0" w:tplc="2246240E">
      <w:start w:val="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56B1ADD"/>
    <w:multiLevelType w:val="hybridMultilevel"/>
    <w:tmpl w:val="682CC22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AF33F11"/>
    <w:multiLevelType w:val="hybridMultilevel"/>
    <w:tmpl w:val="85D01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11"/>
  </w:num>
  <w:num w:numId="6">
    <w:abstractNumId w:val="2"/>
  </w:num>
  <w:num w:numId="7">
    <w:abstractNumId w:val="10"/>
  </w:num>
  <w:num w:numId="8">
    <w:abstractNumId w:val="4"/>
  </w:num>
  <w:num w:numId="9">
    <w:abstractNumId w:val="5"/>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3470E"/>
    <w:rsid w:val="00035F71"/>
    <w:rsid w:val="0004121C"/>
    <w:rsid w:val="00042EA9"/>
    <w:rsid w:val="00046C0A"/>
    <w:rsid w:val="00050120"/>
    <w:rsid w:val="000534EB"/>
    <w:rsid w:val="0006237B"/>
    <w:rsid w:val="00062D71"/>
    <w:rsid w:val="00084E75"/>
    <w:rsid w:val="000853D9"/>
    <w:rsid w:val="00087F8C"/>
    <w:rsid w:val="000B29E8"/>
    <w:rsid w:val="000B4B42"/>
    <w:rsid w:val="000C726F"/>
    <w:rsid w:val="000E010A"/>
    <w:rsid w:val="000E151F"/>
    <w:rsid w:val="000E58AB"/>
    <w:rsid w:val="0010300B"/>
    <w:rsid w:val="00103F5F"/>
    <w:rsid w:val="00104A51"/>
    <w:rsid w:val="00111135"/>
    <w:rsid w:val="00112605"/>
    <w:rsid w:val="00114574"/>
    <w:rsid w:val="00116AAA"/>
    <w:rsid w:val="00126BB8"/>
    <w:rsid w:val="0013018A"/>
    <w:rsid w:val="001436E6"/>
    <w:rsid w:val="00146CDA"/>
    <w:rsid w:val="00161AA6"/>
    <w:rsid w:val="001655F6"/>
    <w:rsid w:val="00174CD5"/>
    <w:rsid w:val="001756F2"/>
    <w:rsid w:val="001765D3"/>
    <w:rsid w:val="00183CBA"/>
    <w:rsid w:val="001852E2"/>
    <w:rsid w:val="00192BEE"/>
    <w:rsid w:val="00194EBF"/>
    <w:rsid w:val="001B0A1C"/>
    <w:rsid w:val="001B0DA9"/>
    <w:rsid w:val="001B212B"/>
    <w:rsid w:val="001D09A0"/>
    <w:rsid w:val="001D7293"/>
    <w:rsid w:val="001E237A"/>
    <w:rsid w:val="001E7E3D"/>
    <w:rsid w:val="001F54B4"/>
    <w:rsid w:val="001F64CD"/>
    <w:rsid w:val="001F7917"/>
    <w:rsid w:val="00200515"/>
    <w:rsid w:val="00200FDD"/>
    <w:rsid w:val="002035E8"/>
    <w:rsid w:val="0020579F"/>
    <w:rsid w:val="002119A8"/>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4515"/>
    <w:rsid w:val="00296D10"/>
    <w:rsid w:val="002B480E"/>
    <w:rsid w:val="002B5D70"/>
    <w:rsid w:val="002C0221"/>
    <w:rsid w:val="002C1771"/>
    <w:rsid w:val="002C538C"/>
    <w:rsid w:val="002D2AB5"/>
    <w:rsid w:val="002D7BA8"/>
    <w:rsid w:val="002F284C"/>
    <w:rsid w:val="002F654D"/>
    <w:rsid w:val="00305C38"/>
    <w:rsid w:val="0030711A"/>
    <w:rsid w:val="0031671A"/>
    <w:rsid w:val="0032581E"/>
    <w:rsid w:val="00342BB1"/>
    <w:rsid w:val="003441D7"/>
    <w:rsid w:val="003529BA"/>
    <w:rsid w:val="00357121"/>
    <w:rsid w:val="00357FF4"/>
    <w:rsid w:val="00360479"/>
    <w:rsid w:val="00360664"/>
    <w:rsid w:val="00362F6A"/>
    <w:rsid w:val="0039212D"/>
    <w:rsid w:val="003952A4"/>
    <w:rsid w:val="0039591D"/>
    <w:rsid w:val="00396EF2"/>
    <w:rsid w:val="003A48EB"/>
    <w:rsid w:val="003A69D1"/>
    <w:rsid w:val="003A6F3C"/>
    <w:rsid w:val="003B7531"/>
    <w:rsid w:val="003C0E60"/>
    <w:rsid w:val="003C1D28"/>
    <w:rsid w:val="003C3701"/>
    <w:rsid w:val="003D2821"/>
    <w:rsid w:val="003F39D9"/>
    <w:rsid w:val="00410507"/>
    <w:rsid w:val="00410AFE"/>
    <w:rsid w:val="00413964"/>
    <w:rsid w:val="0041580F"/>
    <w:rsid w:val="0042098E"/>
    <w:rsid w:val="00430C08"/>
    <w:rsid w:val="00440F4D"/>
    <w:rsid w:val="00450BFD"/>
    <w:rsid w:val="00454D13"/>
    <w:rsid w:val="00454E86"/>
    <w:rsid w:val="00461C67"/>
    <w:rsid w:val="00462AC9"/>
    <w:rsid w:val="0047277D"/>
    <w:rsid w:val="00474848"/>
    <w:rsid w:val="004A0267"/>
    <w:rsid w:val="004A0CDF"/>
    <w:rsid w:val="004A36BA"/>
    <w:rsid w:val="004A4171"/>
    <w:rsid w:val="004A41BC"/>
    <w:rsid w:val="004B1312"/>
    <w:rsid w:val="004C6601"/>
    <w:rsid w:val="004C6A09"/>
    <w:rsid w:val="004D4929"/>
    <w:rsid w:val="004E2BD4"/>
    <w:rsid w:val="004F1B55"/>
    <w:rsid w:val="004F2904"/>
    <w:rsid w:val="004F680C"/>
    <w:rsid w:val="005017B0"/>
    <w:rsid w:val="0050317D"/>
    <w:rsid w:val="00504616"/>
    <w:rsid w:val="00520187"/>
    <w:rsid w:val="005228C9"/>
    <w:rsid w:val="00537FF9"/>
    <w:rsid w:val="005404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B498F"/>
    <w:rsid w:val="005C1541"/>
    <w:rsid w:val="005C61EB"/>
    <w:rsid w:val="005E28B9"/>
    <w:rsid w:val="005E2FA7"/>
    <w:rsid w:val="005E439C"/>
    <w:rsid w:val="00627839"/>
    <w:rsid w:val="00643E28"/>
    <w:rsid w:val="006457B3"/>
    <w:rsid w:val="006572A3"/>
    <w:rsid w:val="00667E9B"/>
    <w:rsid w:val="00674AF0"/>
    <w:rsid w:val="006921D0"/>
    <w:rsid w:val="00692522"/>
    <w:rsid w:val="006A0738"/>
    <w:rsid w:val="006A1A13"/>
    <w:rsid w:val="006B7B0C"/>
    <w:rsid w:val="006C1499"/>
    <w:rsid w:val="006C21FA"/>
    <w:rsid w:val="006C4E53"/>
    <w:rsid w:val="006D0D77"/>
    <w:rsid w:val="006D3126"/>
    <w:rsid w:val="006D3360"/>
    <w:rsid w:val="006D5482"/>
    <w:rsid w:val="006F03B6"/>
    <w:rsid w:val="006F6AA0"/>
    <w:rsid w:val="007055E3"/>
    <w:rsid w:val="00723D66"/>
    <w:rsid w:val="007243F5"/>
    <w:rsid w:val="00743A44"/>
    <w:rsid w:val="00750FF0"/>
    <w:rsid w:val="00751AFD"/>
    <w:rsid w:val="00755F03"/>
    <w:rsid w:val="00761D68"/>
    <w:rsid w:val="00767BDA"/>
    <w:rsid w:val="00774482"/>
    <w:rsid w:val="007773C2"/>
    <w:rsid w:val="007814AA"/>
    <w:rsid w:val="007826C0"/>
    <w:rsid w:val="00784960"/>
    <w:rsid w:val="00792356"/>
    <w:rsid w:val="007A59C4"/>
    <w:rsid w:val="007B11CA"/>
    <w:rsid w:val="007B1842"/>
    <w:rsid w:val="007B7C03"/>
    <w:rsid w:val="007C3B46"/>
    <w:rsid w:val="007E0AB4"/>
    <w:rsid w:val="007F080A"/>
    <w:rsid w:val="008035C8"/>
    <w:rsid w:val="00804511"/>
    <w:rsid w:val="00813862"/>
    <w:rsid w:val="00822922"/>
    <w:rsid w:val="008231F4"/>
    <w:rsid w:val="00825025"/>
    <w:rsid w:val="00830BA7"/>
    <w:rsid w:val="00834B38"/>
    <w:rsid w:val="0083629F"/>
    <w:rsid w:val="00837D29"/>
    <w:rsid w:val="0084550B"/>
    <w:rsid w:val="008557FA"/>
    <w:rsid w:val="00870671"/>
    <w:rsid w:val="0089258A"/>
    <w:rsid w:val="00893998"/>
    <w:rsid w:val="0089581D"/>
    <w:rsid w:val="008A1F6A"/>
    <w:rsid w:val="008B3639"/>
    <w:rsid w:val="008B71CE"/>
    <w:rsid w:val="008C0FEC"/>
    <w:rsid w:val="008C79F1"/>
    <w:rsid w:val="008D303B"/>
    <w:rsid w:val="008D51ED"/>
    <w:rsid w:val="008E3A32"/>
    <w:rsid w:val="008F4D68"/>
    <w:rsid w:val="008F5A68"/>
    <w:rsid w:val="00902D30"/>
    <w:rsid w:val="00905D9C"/>
    <w:rsid w:val="00906C2D"/>
    <w:rsid w:val="009102F7"/>
    <w:rsid w:val="00910BB7"/>
    <w:rsid w:val="00917732"/>
    <w:rsid w:val="00917C71"/>
    <w:rsid w:val="0092036A"/>
    <w:rsid w:val="00920A21"/>
    <w:rsid w:val="009327CF"/>
    <w:rsid w:val="00932FD6"/>
    <w:rsid w:val="009354FE"/>
    <w:rsid w:val="009433B3"/>
    <w:rsid w:val="009460B9"/>
    <w:rsid w:val="00946978"/>
    <w:rsid w:val="0095206A"/>
    <w:rsid w:val="0096348C"/>
    <w:rsid w:val="00964ACB"/>
    <w:rsid w:val="0096754F"/>
    <w:rsid w:val="00973D8B"/>
    <w:rsid w:val="0097434A"/>
    <w:rsid w:val="0097719E"/>
    <w:rsid w:val="00985A1B"/>
    <w:rsid w:val="00991390"/>
    <w:rsid w:val="009A68FE"/>
    <w:rsid w:val="009A772E"/>
    <w:rsid w:val="009B0A01"/>
    <w:rsid w:val="009B18B5"/>
    <w:rsid w:val="009B5F52"/>
    <w:rsid w:val="009C27A1"/>
    <w:rsid w:val="009D20DC"/>
    <w:rsid w:val="009E7B92"/>
    <w:rsid w:val="009F15A5"/>
    <w:rsid w:val="009F5E2E"/>
    <w:rsid w:val="009F69BC"/>
    <w:rsid w:val="00A016D3"/>
    <w:rsid w:val="00A0379C"/>
    <w:rsid w:val="00A24379"/>
    <w:rsid w:val="00A25498"/>
    <w:rsid w:val="00A257B8"/>
    <w:rsid w:val="00A401A5"/>
    <w:rsid w:val="00A40A44"/>
    <w:rsid w:val="00A46556"/>
    <w:rsid w:val="00A63190"/>
    <w:rsid w:val="00A640B1"/>
    <w:rsid w:val="00A67C77"/>
    <w:rsid w:val="00A744C3"/>
    <w:rsid w:val="00A75B9F"/>
    <w:rsid w:val="00AA0DFB"/>
    <w:rsid w:val="00AA2873"/>
    <w:rsid w:val="00AC283D"/>
    <w:rsid w:val="00AD0133"/>
    <w:rsid w:val="00AD47F5"/>
    <w:rsid w:val="00AE5BBD"/>
    <w:rsid w:val="00AF3CA6"/>
    <w:rsid w:val="00B054F1"/>
    <w:rsid w:val="00B36495"/>
    <w:rsid w:val="00B44E5B"/>
    <w:rsid w:val="00B523F7"/>
    <w:rsid w:val="00B54410"/>
    <w:rsid w:val="00B547D0"/>
    <w:rsid w:val="00B55F04"/>
    <w:rsid w:val="00B61262"/>
    <w:rsid w:val="00B838C7"/>
    <w:rsid w:val="00B86CB0"/>
    <w:rsid w:val="00B9203B"/>
    <w:rsid w:val="00BB6541"/>
    <w:rsid w:val="00BB6AE7"/>
    <w:rsid w:val="00BC2283"/>
    <w:rsid w:val="00BD39D1"/>
    <w:rsid w:val="00BE5A5B"/>
    <w:rsid w:val="00BF0A00"/>
    <w:rsid w:val="00BF0B99"/>
    <w:rsid w:val="00C06043"/>
    <w:rsid w:val="00C07F65"/>
    <w:rsid w:val="00C12324"/>
    <w:rsid w:val="00C15B79"/>
    <w:rsid w:val="00C3449C"/>
    <w:rsid w:val="00C35200"/>
    <w:rsid w:val="00C3579D"/>
    <w:rsid w:val="00C447CF"/>
    <w:rsid w:val="00C45FAF"/>
    <w:rsid w:val="00C52A40"/>
    <w:rsid w:val="00C540B9"/>
    <w:rsid w:val="00C574FE"/>
    <w:rsid w:val="00C63961"/>
    <w:rsid w:val="00C64E6C"/>
    <w:rsid w:val="00C66E21"/>
    <w:rsid w:val="00C74946"/>
    <w:rsid w:val="00C82D0B"/>
    <w:rsid w:val="00C8766C"/>
    <w:rsid w:val="00C93236"/>
    <w:rsid w:val="00CA58BF"/>
    <w:rsid w:val="00CB01C5"/>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20E5C"/>
    <w:rsid w:val="00D21638"/>
    <w:rsid w:val="00D31100"/>
    <w:rsid w:val="00D34D00"/>
    <w:rsid w:val="00D37D24"/>
    <w:rsid w:val="00D4656A"/>
    <w:rsid w:val="00D46648"/>
    <w:rsid w:val="00D470BA"/>
    <w:rsid w:val="00D518B5"/>
    <w:rsid w:val="00D84F88"/>
    <w:rsid w:val="00DA30F0"/>
    <w:rsid w:val="00DB1740"/>
    <w:rsid w:val="00DB1AB2"/>
    <w:rsid w:val="00DE54FF"/>
    <w:rsid w:val="00DF06AE"/>
    <w:rsid w:val="00E0219D"/>
    <w:rsid w:val="00E12150"/>
    <w:rsid w:val="00E15BE8"/>
    <w:rsid w:val="00E2015B"/>
    <w:rsid w:val="00E264E7"/>
    <w:rsid w:val="00E27E50"/>
    <w:rsid w:val="00E43F8A"/>
    <w:rsid w:val="00E443F3"/>
    <w:rsid w:val="00E653E8"/>
    <w:rsid w:val="00E67EBA"/>
    <w:rsid w:val="00E833F2"/>
    <w:rsid w:val="00E872C8"/>
    <w:rsid w:val="00E916EA"/>
    <w:rsid w:val="00E950E4"/>
    <w:rsid w:val="00E97AED"/>
    <w:rsid w:val="00EA4AA0"/>
    <w:rsid w:val="00EB6C36"/>
    <w:rsid w:val="00EC107D"/>
    <w:rsid w:val="00EC1224"/>
    <w:rsid w:val="00EC14B0"/>
    <w:rsid w:val="00EC4415"/>
    <w:rsid w:val="00ED357E"/>
    <w:rsid w:val="00EE57B7"/>
    <w:rsid w:val="00EF16D4"/>
    <w:rsid w:val="00EF57E7"/>
    <w:rsid w:val="00EF721A"/>
    <w:rsid w:val="00F013FB"/>
    <w:rsid w:val="00F055E5"/>
    <w:rsid w:val="00F06D7D"/>
    <w:rsid w:val="00F14A8D"/>
    <w:rsid w:val="00F215FF"/>
    <w:rsid w:val="00F37DC2"/>
    <w:rsid w:val="00F5222B"/>
    <w:rsid w:val="00F53772"/>
    <w:rsid w:val="00F5670E"/>
    <w:rsid w:val="00F71C16"/>
    <w:rsid w:val="00F774B5"/>
    <w:rsid w:val="00F82F2C"/>
    <w:rsid w:val="00F85D75"/>
    <w:rsid w:val="00F948C4"/>
    <w:rsid w:val="00F94CF3"/>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0705"/>
    <o:shapelayout v:ext="edit">
      <o:idmap v:ext="edit" data="1"/>
    </o:shapelayout>
  </w:shapeDefaults>
  <w:decimalSymbol w:val=","/>
  <w:listSeparator w:val=";"/>
  <w14:docId w14:val="6938AAEC"/>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paragraph" w:customStyle="1" w:styleId="TableParagraph">
    <w:name w:val="Table Paragraph"/>
    <w:basedOn w:val="Normal"/>
    <w:uiPriority w:val="1"/>
    <w:qFormat/>
    <w:rsid w:val="00A24379"/>
    <w:pPr>
      <w:autoSpaceDE w:val="0"/>
      <w:autoSpaceDN w:val="0"/>
      <w:ind w:left="111"/>
    </w:pPr>
    <w:rPr>
      <w:sz w:val="22"/>
      <w:szCs w:val="22"/>
      <w:lang w:bidi="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1707">
      <w:bodyDiv w:val="1"/>
      <w:marLeft w:val="0"/>
      <w:marRight w:val="0"/>
      <w:marTop w:val="0"/>
      <w:marBottom w:val="0"/>
      <w:divBdr>
        <w:top w:val="none" w:sz="0" w:space="0" w:color="auto"/>
        <w:left w:val="none" w:sz="0" w:space="0" w:color="auto"/>
        <w:bottom w:val="none" w:sz="0" w:space="0" w:color="auto"/>
        <w:right w:val="none" w:sz="0" w:space="0" w:color="auto"/>
      </w:divBdr>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276C0-EBA4-4D71-BB6D-0501171CB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1032</Words>
  <Characters>7007</Characters>
  <Application>Microsoft Office Word</Application>
  <DocSecurity>0</DocSecurity>
  <Lines>1001</Lines>
  <Paragraphs>287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Sylvia Fredlund</cp:lastModifiedBy>
  <cp:revision>3</cp:revision>
  <cp:lastPrinted>2018-10-02T11:13:00Z</cp:lastPrinted>
  <dcterms:created xsi:type="dcterms:W3CDTF">2020-10-20T10:41:00Z</dcterms:created>
  <dcterms:modified xsi:type="dcterms:W3CDTF">2020-10-22T11:11:00Z</dcterms:modified>
</cp:coreProperties>
</file>