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juni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20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 Schlyter (MP) som ledamot i EU-nämnden fr.o.m. den 17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Romson (MP) som ledamot i EU-nämnden fr.o.m. den 17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2015/16:FPM96 Reviderad Eurodacförordning </w:t>
            </w:r>
            <w:r>
              <w:rPr>
                <w:i/>
                <w:iCs/>
                <w:rtl w:val="0"/>
              </w:rPr>
              <w:t>KOM(2016) 272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2016:9 Säkra och effektiva läkemedel – hur hanterar staten läkemedelsindustrins inflytande?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2015/16:187 Genomförande av EU:s försvarardirektiv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2015/16:188 Riksrevisionens rapport om Säkerhets- och integritetsskyddsnämndens tillsyn över brottsbekämpande myndigheter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2015/16:127 Ett svenskt tonnagebeskattningssystem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2015/16:3422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2015/16:KU20 Granskningsbetänkande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2015/16:KU23 Indelning i utgiftsområden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2015/16:KU25 Övergångsstyre och utjämning vid ändrad kommun- och landstingsindelning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2015/16:666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Provisionsförbud vid försäljning av finansiella produkter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2015/16:671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Minskade medel för företagsrådgivning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2015/16:599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Arbetsförmedlingen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juni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2016-06-10</SAFIR_Sammantradesdatum_Doc>
    <SAFIR_SammantradeID xmlns="C07A1A6C-0B19-41D9-BDF8-F523BA3921EB">eedb37a9-7866-4415-8359-c34a863dea50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F15A3-4CAF-4CBB-82C5-7A3CC36206F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