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13C" w:rsidRPr="00026475" w:rsidRDefault="0041013C">
      <w:pPr>
        <w:pStyle w:val="Hemstlrubrik"/>
        <w:shd w:val="clear" w:color="000000" w:fill="auto"/>
      </w:pPr>
      <w:r w:rsidRPr="00026475">
        <w:t>Förslag till riksdagsbeslut</w:t>
      </w:r>
    </w:p>
    <w:p w:rsidR="0041013C" w:rsidRPr="00026475" w:rsidRDefault="0041013C">
      <w:pPr>
        <w:pStyle w:val="Hemstlatt"/>
        <w:numPr>
          <w:ilvl w:val="0"/>
          <w:numId w:val="1"/>
        </w:numPr>
        <w:shd w:val="clear" w:color="000000" w:fill="auto"/>
      </w:pPr>
      <w:r w:rsidRPr="00026475">
        <w:t>Riksdagen beslutar om ändring i 3 kap. 11–13 §§ studiestödslagen (1999:1395) enligt vad som anges i moti</w:t>
      </w:r>
      <w:r w:rsidRPr="00026475">
        <w:t>o</w:t>
      </w:r>
      <w:r w:rsidRPr="00026475">
        <w:t>nen.</w:t>
      </w:r>
    </w:p>
    <w:p w:rsidR="0041013C" w:rsidRPr="00026475" w:rsidRDefault="0041013C">
      <w:pPr>
        <w:pStyle w:val="Hemstlatt"/>
        <w:numPr>
          <w:ilvl w:val="0"/>
          <w:numId w:val="1"/>
        </w:numPr>
        <w:shd w:val="clear" w:color="000000" w:fill="auto"/>
      </w:pPr>
      <w:r w:rsidRPr="00026475">
        <w:t>Riksdagen godkänner att under 2008 lån tas upp i Riksgäld</w:t>
      </w:r>
      <w:r w:rsidRPr="00026475">
        <w:t>s</w:t>
      </w:r>
      <w:r w:rsidRPr="00026475">
        <w:t>kontoret för studielån intill ett belopp om 154 500 000 000 kr.</w:t>
      </w:r>
    </w:p>
    <w:p w:rsidR="0041013C" w:rsidRPr="00026475" w:rsidRDefault="0041013C">
      <w:pPr>
        <w:pStyle w:val="Hemstlatt"/>
        <w:numPr>
          <w:ilvl w:val="0"/>
          <w:numId w:val="1"/>
        </w:numPr>
        <w:shd w:val="clear" w:color="000000" w:fill="auto"/>
      </w:pPr>
      <w:r w:rsidRPr="00026475">
        <w:t>Riksdagen anvisar med följande ändringar i förhållande till regeringens förslag anslagen under utgiftsområde 15 Studiestöd enligt uppställningen i motionen.</w:t>
      </w:r>
    </w:p>
    <w:tbl>
      <w:tblPr>
        <w:tblW w:w="5954" w:type="dxa"/>
        <w:tblInd w:w="70" w:type="dxa"/>
        <w:tblLayout w:type="fixed"/>
        <w:tblCellMar>
          <w:left w:w="70" w:type="dxa"/>
          <w:right w:w="70" w:type="dxa"/>
        </w:tblCellMar>
        <w:tblLook w:val="0000" w:firstRow="0" w:lastRow="0" w:firstColumn="0" w:lastColumn="0" w:noHBand="0" w:noVBand="0"/>
      </w:tblPr>
      <w:tblGrid>
        <w:gridCol w:w="797"/>
        <w:gridCol w:w="2416"/>
        <w:gridCol w:w="1370"/>
        <w:gridCol w:w="1371"/>
      </w:tblGrid>
      <w:tr w:rsidR="00000000" w:rsidRPr="00026475">
        <w:trPr>
          <w:trHeight w:val="420"/>
        </w:trPr>
        <w:tc>
          <w:tcPr>
            <w:tcW w:w="797" w:type="dxa"/>
            <w:tcBorders>
              <w:top w:val="single" w:sz="4" w:space="0" w:color="auto"/>
              <w:left w:val="nil"/>
              <w:bottom w:val="single" w:sz="4" w:space="0" w:color="auto"/>
              <w:right w:val="nil"/>
            </w:tcBorders>
          </w:tcPr>
          <w:p w:rsidR="0041013C" w:rsidRPr="00026475" w:rsidRDefault="0041013C">
            <w:pPr>
              <w:shd w:val="clear" w:color="000000" w:fill="auto"/>
              <w:spacing w:before="60" w:line="200" w:lineRule="exact"/>
              <w:jc w:val="center"/>
              <w:rPr>
                <w:b/>
                <w:bCs/>
                <w:color w:val="000000"/>
                <w:sz w:val="18"/>
              </w:rPr>
            </w:pPr>
            <w:r w:rsidRPr="00026475">
              <w:rPr>
                <w:b/>
                <w:bCs/>
                <w:color w:val="000000"/>
                <w:sz w:val="18"/>
              </w:rPr>
              <w:t>Anslag</w:t>
            </w:r>
          </w:p>
        </w:tc>
        <w:tc>
          <w:tcPr>
            <w:tcW w:w="2416" w:type="dxa"/>
            <w:tcBorders>
              <w:top w:val="single" w:sz="4" w:space="0" w:color="auto"/>
              <w:left w:val="nil"/>
              <w:bottom w:val="single" w:sz="4" w:space="0" w:color="auto"/>
              <w:right w:val="nil"/>
            </w:tcBorders>
          </w:tcPr>
          <w:p w:rsidR="0041013C" w:rsidRPr="00026475" w:rsidRDefault="0041013C">
            <w:pPr>
              <w:shd w:val="clear" w:color="000000" w:fill="auto"/>
              <w:spacing w:before="60" w:line="200" w:lineRule="exact"/>
              <w:jc w:val="center"/>
              <w:rPr>
                <w:b/>
                <w:bCs/>
                <w:color w:val="000000"/>
                <w:sz w:val="18"/>
              </w:rPr>
            </w:pPr>
          </w:p>
        </w:tc>
        <w:tc>
          <w:tcPr>
            <w:tcW w:w="1370" w:type="dxa"/>
            <w:tcBorders>
              <w:top w:val="single" w:sz="4" w:space="0" w:color="auto"/>
              <w:left w:val="nil"/>
              <w:bottom w:val="single" w:sz="4" w:space="0" w:color="auto"/>
              <w:right w:val="nil"/>
            </w:tcBorders>
          </w:tcPr>
          <w:p w:rsidR="0041013C" w:rsidRPr="00026475" w:rsidRDefault="0041013C">
            <w:pPr>
              <w:shd w:val="clear" w:color="000000" w:fill="auto"/>
              <w:spacing w:before="60" w:line="200" w:lineRule="exact"/>
              <w:jc w:val="right"/>
              <w:rPr>
                <w:b/>
                <w:bCs/>
                <w:color w:val="000000"/>
                <w:sz w:val="18"/>
              </w:rPr>
            </w:pPr>
            <w:r w:rsidRPr="00026475">
              <w:rPr>
                <w:b/>
                <w:bCs/>
                <w:color w:val="000000"/>
                <w:sz w:val="18"/>
              </w:rPr>
              <w:t xml:space="preserve">Regeringens förslag </w:t>
            </w:r>
            <w:r w:rsidRPr="00026475">
              <w:rPr>
                <w:b/>
                <w:sz w:val="18"/>
              </w:rPr>
              <w:t>(tkr)</w:t>
            </w:r>
          </w:p>
        </w:tc>
        <w:tc>
          <w:tcPr>
            <w:tcW w:w="1371" w:type="dxa"/>
            <w:tcBorders>
              <w:top w:val="single" w:sz="4" w:space="0" w:color="auto"/>
              <w:left w:val="nil"/>
              <w:bottom w:val="single" w:sz="4" w:space="0" w:color="auto"/>
              <w:right w:val="nil"/>
            </w:tcBorders>
          </w:tcPr>
          <w:p w:rsidR="0041013C" w:rsidRPr="00026475" w:rsidRDefault="0041013C">
            <w:pPr>
              <w:shd w:val="clear" w:color="000000" w:fill="auto"/>
              <w:spacing w:before="60" w:line="200" w:lineRule="exact"/>
              <w:jc w:val="right"/>
              <w:rPr>
                <w:b/>
                <w:bCs/>
                <w:color w:val="000000"/>
                <w:sz w:val="18"/>
              </w:rPr>
            </w:pPr>
            <w:r w:rsidRPr="00026475">
              <w:rPr>
                <w:b/>
                <w:bCs/>
                <w:color w:val="000000"/>
                <w:sz w:val="18"/>
              </w:rPr>
              <w:t xml:space="preserve">Förändring </w:t>
            </w:r>
            <w:r w:rsidRPr="00026475">
              <w:rPr>
                <w:b/>
                <w:sz w:val="18"/>
              </w:rPr>
              <w:t>(tkr)</w:t>
            </w:r>
          </w:p>
        </w:tc>
      </w:tr>
      <w:tr w:rsidR="00000000" w:rsidRPr="00026475">
        <w:trPr>
          <w:trHeight w:val="319"/>
        </w:trPr>
        <w:tc>
          <w:tcPr>
            <w:tcW w:w="797" w:type="dxa"/>
            <w:tcBorders>
              <w:top w:val="single" w:sz="4" w:space="0" w:color="auto"/>
              <w:left w:val="nil"/>
              <w:bottom w:val="nil"/>
              <w:right w:val="nil"/>
            </w:tcBorders>
          </w:tcPr>
          <w:p w:rsidR="0041013C" w:rsidRPr="00026475" w:rsidRDefault="0041013C">
            <w:pPr>
              <w:shd w:val="clear" w:color="000000" w:fill="auto"/>
              <w:spacing w:before="60" w:line="200" w:lineRule="exact"/>
              <w:rPr>
                <w:color w:val="000000"/>
                <w:sz w:val="18"/>
              </w:rPr>
            </w:pPr>
            <w:r w:rsidRPr="00026475">
              <w:rPr>
                <w:color w:val="000000"/>
                <w:sz w:val="18"/>
              </w:rPr>
              <w:t>25:2</w:t>
            </w:r>
          </w:p>
        </w:tc>
        <w:tc>
          <w:tcPr>
            <w:tcW w:w="2416" w:type="dxa"/>
            <w:tcBorders>
              <w:top w:val="single" w:sz="4" w:space="0" w:color="auto"/>
              <w:left w:val="nil"/>
              <w:bottom w:val="nil"/>
              <w:right w:val="nil"/>
            </w:tcBorders>
          </w:tcPr>
          <w:p w:rsidR="0041013C" w:rsidRPr="00026475" w:rsidRDefault="0041013C">
            <w:pPr>
              <w:shd w:val="clear" w:color="000000" w:fill="auto"/>
              <w:spacing w:before="60" w:line="200" w:lineRule="exact"/>
              <w:rPr>
                <w:color w:val="000000"/>
                <w:sz w:val="18"/>
              </w:rPr>
            </w:pPr>
            <w:r w:rsidRPr="00026475">
              <w:rPr>
                <w:color w:val="000000"/>
                <w:sz w:val="18"/>
              </w:rPr>
              <w:t>Studiemedel m.m.</w:t>
            </w:r>
          </w:p>
        </w:tc>
        <w:tc>
          <w:tcPr>
            <w:tcW w:w="1370" w:type="dxa"/>
            <w:tcBorders>
              <w:top w:val="single" w:sz="4" w:space="0" w:color="auto"/>
              <w:left w:val="nil"/>
              <w:bottom w:val="nil"/>
              <w:right w:val="nil"/>
            </w:tcBorders>
          </w:tcPr>
          <w:p w:rsidR="0041013C" w:rsidRPr="00026475" w:rsidRDefault="0041013C">
            <w:pPr>
              <w:shd w:val="clear" w:color="000000" w:fill="auto"/>
              <w:spacing w:before="60" w:line="200" w:lineRule="exact"/>
              <w:jc w:val="right"/>
              <w:rPr>
                <w:color w:val="000000"/>
                <w:sz w:val="18"/>
              </w:rPr>
            </w:pPr>
            <w:r w:rsidRPr="00026475">
              <w:rPr>
                <w:sz w:val="18"/>
              </w:rPr>
              <w:t>11 224 595</w:t>
            </w:r>
          </w:p>
        </w:tc>
        <w:tc>
          <w:tcPr>
            <w:tcW w:w="1371" w:type="dxa"/>
            <w:tcBorders>
              <w:top w:val="single" w:sz="4" w:space="0" w:color="auto"/>
              <w:left w:val="nil"/>
              <w:bottom w:val="nil"/>
              <w:right w:val="nil"/>
            </w:tcBorders>
          </w:tcPr>
          <w:p w:rsidR="0041013C" w:rsidRPr="00026475" w:rsidRDefault="0041013C">
            <w:pPr>
              <w:shd w:val="clear" w:color="000000" w:fill="auto"/>
              <w:spacing w:before="60" w:line="200" w:lineRule="exact"/>
              <w:jc w:val="right"/>
              <w:rPr>
                <w:color w:val="000000"/>
                <w:sz w:val="18"/>
              </w:rPr>
            </w:pPr>
            <w:r w:rsidRPr="00026475">
              <w:rPr>
                <w:sz w:val="18"/>
              </w:rPr>
              <w:t>3 456 000</w:t>
            </w:r>
          </w:p>
        </w:tc>
      </w:tr>
      <w:tr w:rsidR="00000000" w:rsidRPr="00026475">
        <w:trPr>
          <w:trHeight w:val="319"/>
        </w:trPr>
        <w:tc>
          <w:tcPr>
            <w:tcW w:w="797" w:type="dxa"/>
            <w:tcBorders>
              <w:top w:val="nil"/>
              <w:left w:val="nil"/>
              <w:bottom w:val="nil"/>
              <w:right w:val="nil"/>
            </w:tcBorders>
          </w:tcPr>
          <w:p w:rsidR="0041013C" w:rsidRPr="00026475" w:rsidRDefault="0041013C">
            <w:pPr>
              <w:shd w:val="clear" w:color="000000" w:fill="auto"/>
              <w:spacing w:before="60" w:line="200" w:lineRule="exact"/>
              <w:rPr>
                <w:color w:val="000000"/>
                <w:sz w:val="18"/>
              </w:rPr>
            </w:pPr>
            <w:r w:rsidRPr="00026475">
              <w:rPr>
                <w:color w:val="000000"/>
                <w:sz w:val="18"/>
              </w:rPr>
              <w:t>25:3</w:t>
            </w:r>
          </w:p>
        </w:tc>
        <w:tc>
          <w:tcPr>
            <w:tcW w:w="2416" w:type="dxa"/>
            <w:tcBorders>
              <w:top w:val="nil"/>
              <w:left w:val="nil"/>
              <w:bottom w:val="nil"/>
              <w:right w:val="nil"/>
            </w:tcBorders>
          </w:tcPr>
          <w:p w:rsidR="0041013C" w:rsidRPr="00026475" w:rsidRDefault="0041013C">
            <w:pPr>
              <w:shd w:val="clear" w:color="000000" w:fill="auto"/>
              <w:spacing w:before="60" w:line="200" w:lineRule="exact"/>
              <w:rPr>
                <w:color w:val="000000"/>
                <w:sz w:val="18"/>
              </w:rPr>
            </w:pPr>
            <w:r w:rsidRPr="00026475">
              <w:rPr>
                <w:color w:val="000000"/>
                <w:sz w:val="18"/>
              </w:rPr>
              <w:t>Studiemedelsräntor m.m.</w:t>
            </w:r>
          </w:p>
        </w:tc>
        <w:tc>
          <w:tcPr>
            <w:tcW w:w="1370" w:type="dxa"/>
            <w:tcBorders>
              <w:top w:val="nil"/>
              <w:left w:val="nil"/>
              <w:bottom w:val="nil"/>
              <w:right w:val="nil"/>
            </w:tcBorders>
          </w:tcPr>
          <w:p w:rsidR="0041013C" w:rsidRPr="00026475" w:rsidRDefault="0041013C">
            <w:pPr>
              <w:shd w:val="clear" w:color="000000" w:fill="auto"/>
              <w:spacing w:before="60" w:line="200" w:lineRule="exact"/>
              <w:jc w:val="right"/>
              <w:rPr>
                <w:sz w:val="18"/>
              </w:rPr>
            </w:pPr>
            <w:r w:rsidRPr="00026475">
              <w:rPr>
                <w:sz w:val="18"/>
              </w:rPr>
              <w:t>4 948 680</w:t>
            </w:r>
          </w:p>
        </w:tc>
        <w:tc>
          <w:tcPr>
            <w:tcW w:w="1371" w:type="dxa"/>
            <w:tcBorders>
              <w:top w:val="nil"/>
              <w:left w:val="nil"/>
              <w:bottom w:val="nil"/>
              <w:right w:val="nil"/>
            </w:tcBorders>
          </w:tcPr>
          <w:p w:rsidR="0041013C" w:rsidRPr="00026475" w:rsidRDefault="0041013C">
            <w:pPr>
              <w:shd w:val="clear" w:color="000000" w:fill="auto"/>
              <w:spacing w:before="60" w:line="200" w:lineRule="exact"/>
              <w:jc w:val="right"/>
              <w:rPr>
                <w:sz w:val="18"/>
              </w:rPr>
            </w:pPr>
            <w:r w:rsidRPr="00026475">
              <w:rPr>
                <w:sz w:val="18"/>
              </w:rPr>
              <w:t>81 000</w:t>
            </w:r>
          </w:p>
        </w:tc>
      </w:tr>
      <w:tr w:rsidR="00000000" w:rsidRPr="00026475">
        <w:trPr>
          <w:trHeight w:val="319"/>
        </w:trPr>
        <w:tc>
          <w:tcPr>
            <w:tcW w:w="797" w:type="dxa"/>
            <w:tcBorders>
              <w:top w:val="nil"/>
              <w:left w:val="nil"/>
              <w:right w:val="nil"/>
            </w:tcBorders>
          </w:tcPr>
          <w:p w:rsidR="0041013C" w:rsidRPr="00026475" w:rsidRDefault="0041013C">
            <w:pPr>
              <w:shd w:val="clear" w:color="000000" w:fill="auto"/>
              <w:spacing w:before="60" w:line="200" w:lineRule="exact"/>
              <w:rPr>
                <w:color w:val="000000"/>
                <w:sz w:val="18"/>
              </w:rPr>
            </w:pPr>
            <w:r w:rsidRPr="00026475">
              <w:rPr>
                <w:color w:val="000000"/>
                <w:sz w:val="18"/>
              </w:rPr>
              <w:t>25:6</w:t>
            </w:r>
          </w:p>
        </w:tc>
        <w:tc>
          <w:tcPr>
            <w:tcW w:w="2416" w:type="dxa"/>
            <w:tcBorders>
              <w:top w:val="nil"/>
              <w:left w:val="nil"/>
              <w:right w:val="nil"/>
            </w:tcBorders>
          </w:tcPr>
          <w:p w:rsidR="0041013C" w:rsidRPr="00026475" w:rsidRDefault="0041013C">
            <w:pPr>
              <w:shd w:val="clear" w:color="000000" w:fill="auto"/>
              <w:spacing w:before="60" w:line="200" w:lineRule="exact"/>
              <w:rPr>
                <w:spacing w:val="-2"/>
                <w:sz w:val="18"/>
              </w:rPr>
            </w:pPr>
            <w:r w:rsidRPr="00026475">
              <w:rPr>
                <w:spacing w:val="-2"/>
                <w:sz w:val="18"/>
              </w:rPr>
              <w:t>Bidrag vid vissa kortare studier</w:t>
            </w:r>
          </w:p>
        </w:tc>
        <w:tc>
          <w:tcPr>
            <w:tcW w:w="1370" w:type="dxa"/>
            <w:tcBorders>
              <w:top w:val="nil"/>
              <w:left w:val="nil"/>
              <w:right w:val="nil"/>
            </w:tcBorders>
          </w:tcPr>
          <w:p w:rsidR="0041013C" w:rsidRPr="00026475" w:rsidRDefault="0041013C">
            <w:pPr>
              <w:shd w:val="clear" w:color="000000" w:fill="auto"/>
              <w:spacing w:before="60" w:line="200" w:lineRule="exact"/>
              <w:jc w:val="right"/>
              <w:rPr>
                <w:sz w:val="18"/>
              </w:rPr>
            </w:pPr>
            <w:r w:rsidRPr="00026475">
              <w:rPr>
                <w:sz w:val="18"/>
              </w:rPr>
              <w:t>16 025</w:t>
            </w:r>
          </w:p>
        </w:tc>
        <w:tc>
          <w:tcPr>
            <w:tcW w:w="1371" w:type="dxa"/>
            <w:tcBorders>
              <w:top w:val="nil"/>
              <w:left w:val="nil"/>
              <w:right w:val="nil"/>
            </w:tcBorders>
          </w:tcPr>
          <w:p w:rsidR="0041013C" w:rsidRPr="00026475" w:rsidRDefault="0041013C">
            <w:pPr>
              <w:shd w:val="clear" w:color="000000" w:fill="auto"/>
              <w:spacing w:before="60" w:line="200" w:lineRule="exact"/>
              <w:jc w:val="right"/>
              <w:rPr>
                <w:sz w:val="18"/>
              </w:rPr>
            </w:pPr>
            <w:r w:rsidRPr="00026475">
              <w:rPr>
                <w:sz w:val="18"/>
              </w:rPr>
              <w:t>47 351</w:t>
            </w:r>
          </w:p>
        </w:tc>
      </w:tr>
      <w:tr w:rsidR="00000000" w:rsidRPr="00026475">
        <w:trPr>
          <w:trHeight w:val="319"/>
        </w:trPr>
        <w:tc>
          <w:tcPr>
            <w:tcW w:w="797" w:type="dxa"/>
            <w:tcBorders>
              <w:top w:val="nil"/>
              <w:left w:val="nil"/>
              <w:bottom w:val="single" w:sz="4" w:space="0" w:color="auto"/>
              <w:right w:val="nil"/>
            </w:tcBorders>
          </w:tcPr>
          <w:p w:rsidR="0041013C" w:rsidRPr="00026475" w:rsidRDefault="0041013C">
            <w:pPr>
              <w:shd w:val="clear" w:color="000000" w:fill="auto"/>
              <w:spacing w:before="60" w:line="200" w:lineRule="exact"/>
              <w:rPr>
                <w:b/>
                <w:bCs/>
                <w:color w:val="000000"/>
                <w:sz w:val="18"/>
              </w:rPr>
            </w:pPr>
          </w:p>
        </w:tc>
        <w:tc>
          <w:tcPr>
            <w:tcW w:w="2416" w:type="dxa"/>
            <w:tcBorders>
              <w:top w:val="nil"/>
              <w:left w:val="nil"/>
              <w:bottom w:val="single" w:sz="4" w:space="0" w:color="auto"/>
              <w:right w:val="nil"/>
            </w:tcBorders>
          </w:tcPr>
          <w:p w:rsidR="0041013C" w:rsidRPr="00026475" w:rsidRDefault="0041013C">
            <w:pPr>
              <w:shd w:val="clear" w:color="000000" w:fill="auto"/>
              <w:spacing w:before="60" w:line="200" w:lineRule="exact"/>
              <w:rPr>
                <w:b/>
                <w:bCs/>
                <w:color w:val="000000"/>
                <w:sz w:val="18"/>
              </w:rPr>
            </w:pPr>
            <w:r w:rsidRPr="00026475">
              <w:rPr>
                <w:b/>
                <w:bCs/>
                <w:color w:val="000000"/>
                <w:sz w:val="18"/>
              </w:rPr>
              <w:t>Summa:</w:t>
            </w:r>
          </w:p>
        </w:tc>
        <w:tc>
          <w:tcPr>
            <w:tcW w:w="1370" w:type="dxa"/>
            <w:tcBorders>
              <w:top w:val="nil"/>
              <w:left w:val="nil"/>
              <w:bottom w:val="single" w:sz="4" w:space="0" w:color="auto"/>
              <w:right w:val="nil"/>
            </w:tcBorders>
          </w:tcPr>
          <w:p w:rsidR="0041013C" w:rsidRPr="00026475" w:rsidRDefault="0041013C">
            <w:pPr>
              <w:shd w:val="clear" w:color="000000" w:fill="auto"/>
              <w:spacing w:before="60" w:line="200" w:lineRule="exact"/>
              <w:jc w:val="right"/>
              <w:rPr>
                <w:b/>
                <w:bCs/>
                <w:color w:val="000000"/>
                <w:sz w:val="18"/>
              </w:rPr>
            </w:pPr>
          </w:p>
        </w:tc>
        <w:tc>
          <w:tcPr>
            <w:tcW w:w="1371" w:type="dxa"/>
            <w:tcBorders>
              <w:top w:val="nil"/>
              <w:left w:val="nil"/>
              <w:bottom w:val="single" w:sz="4" w:space="0" w:color="auto"/>
              <w:right w:val="nil"/>
            </w:tcBorders>
          </w:tcPr>
          <w:p w:rsidR="0041013C" w:rsidRPr="00026475" w:rsidRDefault="0041013C">
            <w:pPr>
              <w:shd w:val="clear" w:color="000000" w:fill="auto"/>
              <w:spacing w:before="60" w:line="200" w:lineRule="exact"/>
              <w:jc w:val="right"/>
              <w:rPr>
                <w:b/>
                <w:sz w:val="18"/>
              </w:rPr>
            </w:pPr>
            <w:r w:rsidRPr="00026475">
              <w:rPr>
                <w:b/>
                <w:sz w:val="18"/>
              </w:rPr>
              <w:fldChar w:fldCharType="begin" w:fldLock="1"/>
            </w:r>
            <w:r w:rsidRPr="00026475">
              <w:rPr>
                <w:b/>
                <w:sz w:val="18"/>
              </w:rPr>
              <w:instrText xml:space="preserve"> =SUM(ABOVE) </w:instrText>
            </w:r>
            <w:r w:rsidRPr="00026475">
              <w:rPr>
                <w:b/>
                <w:sz w:val="18"/>
              </w:rPr>
              <w:fldChar w:fldCharType="separate"/>
            </w:r>
            <w:r w:rsidRPr="00026475">
              <w:rPr>
                <w:b/>
                <w:sz w:val="18"/>
              </w:rPr>
              <w:t>3 584 351</w:t>
            </w:r>
            <w:r w:rsidRPr="00026475">
              <w:rPr>
                <w:b/>
                <w:sz w:val="18"/>
              </w:rPr>
              <w:fldChar w:fldCharType="end"/>
            </w:r>
          </w:p>
        </w:tc>
      </w:tr>
    </w:tbl>
    <w:p w:rsidR="0041013C" w:rsidRPr="00026475" w:rsidRDefault="0041013C">
      <w:pPr>
        <w:shd w:val="clear" w:color="000000" w:fill="auto"/>
      </w:pPr>
    </w:p>
    <w:p w:rsidR="0041013C" w:rsidRPr="00026475" w:rsidRDefault="0041013C">
      <w:pPr>
        <w:pStyle w:val="Rubrik1"/>
        <w:shd w:val="clear" w:color="000000" w:fill="auto"/>
        <w:spacing w:before="240"/>
      </w:pPr>
      <w:r w:rsidRPr="00026475">
        <w:t>Höjda studiemedel</w:t>
      </w:r>
    </w:p>
    <w:p w:rsidR="0041013C" w:rsidRPr="00026475" w:rsidRDefault="0041013C">
      <w:pPr>
        <w:shd w:val="clear" w:color="000000" w:fill="auto"/>
      </w:pPr>
      <w:r w:rsidRPr="00026475">
        <w:t>Kunskap är en demokratisk rättighet och högskoleutbildning måste därför vara tillgänglig för alla. För Vänsterpartiet är det en viktig målsättning att bredda rekryteringen till högskolan. En av de viktigaste åtgärderna för att minska den sociala snedrekryteringen är att skapa ett studiestödssystem som ger social och ekonomisk trygghet.</w:t>
      </w:r>
    </w:p>
    <w:p w:rsidR="0041013C" w:rsidRPr="00026475" w:rsidRDefault="0041013C">
      <w:pPr>
        <w:pStyle w:val="Normaltindrag"/>
        <w:shd w:val="clear" w:color="000000" w:fill="auto"/>
      </w:pPr>
      <w:r w:rsidRPr="00026475">
        <w:t>Sverige hade under lång tid ett relativt generöst studiestöd, som dessutom genomgick kontinuerliga förbättringar. Detta hade positiva effekter och inn</w:t>
      </w:r>
      <w:r w:rsidRPr="00026475">
        <w:t>e</w:t>
      </w:r>
      <w:r w:rsidRPr="00026475">
        <w:t>bar att den sociala snedrekryteringen vid högskolan minskade. Denna utvec</w:t>
      </w:r>
      <w:r w:rsidRPr="00026475">
        <w:t>k</w:t>
      </w:r>
      <w:r w:rsidRPr="00026475">
        <w:t>ling har brutits eftersom studiemedlen har förlorat i värde och inte längre täcker studenters levnadsomkostnader.</w:t>
      </w:r>
    </w:p>
    <w:p w:rsidR="0041013C" w:rsidRPr="00026475" w:rsidRDefault="0041013C">
      <w:pPr>
        <w:pStyle w:val="Normaltindrag"/>
        <w:shd w:val="clear" w:color="000000" w:fill="auto"/>
      </w:pPr>
      <w:r w:rsidRPr="00026475">
        <w:lastRenderedPageBreak/>
        <w:t>Enligt beräkningar som har utförts av Sveriges förenade studentkårer (SFS) så har den som studerar i dag med studiemedel 22 procent lägre kö</w:t>
      </w:r>
      <w:r w:rsidRPr="00026475">
        <w:t>p</w:t>
      </w:r>
      <w:r w:rsidRPr="00026475">
        <w:t>kraft, i förhållande till konsumentprisindex, än en student med studiemedel 1980. Föreningssparbankens institut för privatekonomi har visat att studenter har fått en standardsänkning med drygt 40 procent mellan 1989 och 2004, inte minst beroende på ökade boendekostnader. I Social rapport 2006 konstaterar Socialstyrelsen att antalet fattiga studerande har ökat från en sjundedel till en femtedel mellan 1991 och 2003. Siffrorna visar på ett akut behov av en fö</w:t>
      </w:r>
      <w:r w:rsidRPr="00026475">
        <w:t>r</w:t>
      </w:r>
      <w:r w:rsidRPr="00026475">
        <w:t>stärkning av studenters ekonomi.</w:t>
      </w:r>
    </w:p>
    <w:p w:rsidR="0041013C" w:rsidRPr="00026475" w:rsidRDefault="0041013C">
      <w:pPr>
        <w:pStyle w:val="Normaltindrag"/>
        <w:shd w:val="clear" w:color="000000" w:fill="auto"/>
      </w:pPr>
      <w:r w:rsidRPr="00026475">
        <w:t>I den ekonomiska</w:t>
      </w:r>
      <w:r w:rsidRPr="00026475">
        <w:t xml:space="preserve"> vårpropositionen för 2006 höjdes studiemedlen visser</w:t>
      </w:r>
      <w:r w:rsidRPr="00026475">
        <w:softHyphen/>
        <w:t>ligen med 300 kr/månad, vilket givetvis var positivt, men långt ifrån Vänste</w:t>
      </w:r>
      <w:r w:rsidRPr="00026475">
        <w:t>r</w:t>
      </w:r>
      <w:r w:rsidRPr="00026475">
        <w:t xml:space="preserve">partiet krav, som var en höjning på 1 500 kr/månad. Vi står fortfarande fast vid detta krav och föreslår därför att studiemedlen skall höjas med ytterligare 1 200 kr/månad fr.o.m. 2008. För att minska de studerandes skuldsättning är det angeläget att öka bidragsdelen, och Vänsterpartiet föreslår att det ska ske en successiv höjning av bidragsdelen med totalt 1 200 kr/månad till </w:t>
      </w:r>
      <w:r w:rsidRPr="00026475">
        <w:t>2010.</w:t>
      </w:r>
    </w:p>
    <w:p w:rsidR="0041013C" w:rsidRPr="00026475" w:rsidRDefault="0041013C">
      <w:pPr>
        <w:pStyle w:val="Normaltindrag"/>
        <w:shd w:val="clear" w:color="000000" w:fill="auto"/>
      </w:pPr>
      <w:r w:rsidRPr="00026475">
        <w:t xml:space="preserve">Enligt </w:t>
      </w:r>
      <w:r w:rsidRPr="00026475">
        <w:rPr>
          <w:spacing w:val="-2"/>
        </w:rPr>
        <w:t>riksdagens utredningstjänst beräknas en sådan reform kosta 1,5 mi</w:t>
      </w:r>
      <w:r w:rsidRPr="00026475">
        <w:rPr>
          <w:spacing w:val="-2"/>
        </w:rPr>
        <w:t>l</w:t>
      </w:r>
      <w:r w:rsidRPr="00026475">
        <w:t>jarder kronor under anslag 25:2. Till följd av de föreslagna regeländringarna ökar låneutbetalningarna till studerande med generellt och prioriterat bidrag med omkring 1,5 miljarder kronor år 2008, vilket redovisas i Vänsterpartiets budgetmotion, 2007/08:Fi276.</w:t>
      </w:r>
    </w:p>
    <w:p w:rsidR="0041013C" w:rsidRPr="00026475" w:rsidRDefault="0041013C">
      <w:pPr>
        <w:pStyle w:val="Normaltindrag"/>
        <w:shd w:val="clear" w:color="000000" w:fill="auto"/>
      </w:pPr>
      <w:r w:rsidRPr="00026475">
        <w:t>Regeringen avskaffade 2007 rekryteringsbidraget för dem med kort tidig</w:t>
      </w:r>
      <w:r w:rsidRPr="00026475">
        <w:t>a</w:t>
      </w:r>
      <w:r w:rsidRPr="00026475">
        <w:t>re utbildning och svag ställning på arbetsmarknaden. För att kompensera för detta, som drabbade en grupp med stora utbildningsbehov, måste fler få den högre studiemedelsnivån, som är 82 procent av totalbeloppet. Vi anslår medel till detta som motsvarar det avskaffade rekryteringsbidraget, dvs. 1 728 mi</w:t>
      </w:r>
      <w:r w:rsidRPr="00026475">
        <w:t>l</w:t>
      </w:r>
      <w:r w:rsidRPr="00026475">
        <w:t xml:space="preserve">joner kronor. Anslaget har också höjts med 244 miljoner kronor som en följd av att vi förstärker bidraget till kommunerna för vuxenutbildning. Dessutom ingår 94 miljoner i ökade kostnader i förhållande till </w:t>
      </w:r>
      <w:r w:rsidRPr="00026475">
        <w:t>regeringens förslag e</w:t>
      </w:r>
      <w:r w:rsidRPr="00026475">
        <w:t>f</w:t>
      </w:r>
      <w:r w:rsidRPr="00026475">
        <w:t>tersom vi inte ställer oss bakom den nedskärning av anslagen till universitet och högskolor som regeringen vill genomföra, vilket framgår av vår motion för utgiftsområde 16, 2007/08:Ub477. Vi har också för avsikt att återkomma med ytterligare förslag till förbättringar av studiestödet när den av regeringen aviserade studiesociala utredningen har genomförts.</w:t>
      </w:r>
    </w:p>
    <w:p w:rsidR="0041013C" w:rsidRPr="00026475" w:rsidRDefault="0041013C">
      <w:pPr>
        <w:pStyle w:val="Normaltindrag"/>
        <w:shd w:val="clear" w:color="000000" w:fill="auto"/>
      </w:pPr>
      <w:r w:rsidRPr="00026475">
        <w:t>Som en följd av våra förslag ökar även ränteutgifterna för studiemedel, och anslag 25:3 ökas därför med 81 miljoner kronor.</w:t>
      </w:r>
    </w:p>
    <w:p w:rsidR="0041013C" w:rsidRPr="00026475" w:rsidRDefault="0041013C">
      <w:pPr>
        <w:pStyle w:val="Normaltindrag"/>
        <w:shd w:val="clear" w:color="000000" w:fill="auto"/>
      </w:pPr>
      <w:r w:rsidRPr="00026475">
        <w:t>För att höja studiemedlet föreslår Vänsterpartiet följande ändringar i 3 kap. studiestödslagen (1999:1395).</w:t>
      </w:r>
    </w:p>
    <w:p w:rsidR="0041013C" w:rsidRPr="00026475" w:rsidRDefault="0041013C">
      <w:pPr>
        <w:shd w:val="clear" w:color="000000" w:fill="auto"/>
        <w:spacing w:before="0" w:line="200" w:lineRule="exact"/>
        <w:jc w:val="center"/>
      </w:pPr>
      <w:r w:rsidRPr="00026475">
        <w:t>11 §</w:t>
      </w:r>
    </w:p>
    <w:p w:rsidR="0041013C" w:rsidRPr="00026475" w:rsidRDefault="0041013C">
      <w:pPr>
        <w:shd w:val="clear" w:color="000000" w:fill="auto"/>
        <w:spacing w:before="0"/>
      </w:pPr>
      <w:r w:rsidRPr="00026475">
        <w:t>Studiemedel får lämnas med ett belopp som för varje vecka då den studerande har rätt till studiemedel utgör</w:t>
      </w:r>
    </w:p>
    <w:tbl>
      <w:tblPr>
        <w:tblW w:w="6120" w:type="dxa"/>
        <w:tblCellSpacing w:w="11" w:type="dxa"/>
        <w:tblInd w:w="92" w:type="dxa"/>
        <w:tblLayout w:type="fixed"/>
        <w:tblCellMar>
          <w:left w:w="70" w:type="dxa"/>
          <w:right w:w="70" w:type="dxa"/>
        </w:tblCellMar>
        <w:tblLook w:val="0000" w:firstRow="0" w:lastRow="0" w:firstColumn="0" w:lastColumn="0" w:noHBand="0" w:noVBand="0"/>
      </w:tblPr>
      <w:tblGrid>
        <w:gridCol w:w="3120"/>
        <w:gridCol w:w="3000"/>
      </w:tblGrid>
      <w:tr w:rsidR="00000000" w:rsidRPr="00026475">
        <w:trPr>
          <w:tblCellSpacing w:w="11" w:type="dxa"/>
        </w:trPr>
        <w:tc>
          <w:tcPr>
            <w:tcW w:w="3087" w:type="dxa"/>
          </w:tcPr>
          <w:p w:rsidR="0041013C" w:rsidRPr="00026475" w:rsidRDefault="0041013C">
            <w:pPr>
              <w:pStyle w:val="Lagtext"/>
              <w:shd w:val="clear" w:color="000000" w:fill="auto"/>
              <w:spacing w:before="120"/>
            </w:pPr>
            <w:r w:rsidRPr="00026475">
              <w:t>Nuvarande lydelse</w:t>
            </w:r>
          </w:p>
        </w:tc>
        <w:tc>
          <w:tcPr>
            <w:tcW w:w="2967" w:type="dxa"/>
          </w:tcPr>
          <w:p w:rsidR="0041013C" w:rsidRPr="00026475" w:rsidRDefault="0041013C">
            <w:pPr>
              <w:pStyle w:val="Lagtext"/>
              <w:shd w:val="clear" w:color="000000" w:fill="auto"/>
              <w:spacing w:before="120"/>
            </w:pPr>
            <w:r w:rsidRPr="00026475">
              <w:t>Föreslagen lydelse</w:t>
            </w:r>
          </w:p>
        </w:tc>
      </w:tr>
      <w:tr w:rsidR="00000000" w:rsidRPr="00026475">
        <w:trPr>
          <w:tblCellSpacing w:w="11" w:type="dxa"/>
        </w:trPr>
        <w:tc>
          <w:tcPr>
            <w:tcW w:w="3087" w:type="dxa"/>
          </w:tcPr>
          <w:p w:rsidR="0041013C" w:rsidRPr="00026475" w:rsidRDefault="0041013C">
            <w:pPr>
              <w:pStyle w:val="Lagtext"/>
              <w:shd w:val="clear" w:color="000000" w:fill="auto"/>
              <w:spacing w:before="120"/>
              <w:rPr>
                <w:i w:val="0"/>
              </w:rPr>
            </w:pPr>
            <w:r w:rsidRPr="00026475">
              <w:t>a) 4,57</w:t>
            </w:r>
            <w:r w:rsidRPr="00026475">
              <w:rPr>
                <w:i w:val="0"/>
              </w:rPr>
              <w:t xml:space="preserve"> procent av prisbasbeloppet vid studier på heltid,</w:t>
            </w:r>
          </w:p>
          <w:p w:rsidR="0041013C" w:rsidRPr="00026475" w:rsidRDefault="0041013C">
            <w:pPr>
              <w:pStyle w:val="Lagtext"/>
              <w:shd w:val="clear" w:color="000000" w:fill="auto"/>
              <w:rPr>
                <w:i w:val="0"/>
              </w:rPr>
            </w:pPr>
            <w:r w:rsidRPr="00026475">
              <w:t xml:space="preserve">b) 3,42 </w:t>
            </w:r>
            <w:r w:rsidRPr="00026475">
              <w:rPr>
                <w:i w:val="0"/>
              </w:rPr>
              <w:t xml:space="preserve">procent av prisbasbeloppet vid studier på minst 75 procent men </w:t>
            </w:r>
            <w:r w:rsidRPr="00026475">
              <w:rPr>
                <w:i w:val="0"/>
                <w:spacing w:val="-2"/>
              </w:rPr>
              <w:t>mindre än 100 procent av heltid, och</w:t>
            </w:r>
            <w:r w:rsidRPr="00026475">
              <w:rPr>
                <w:i w:val="0"/>
              </w:rPr>
              <w:t xml:space="preserve"> </w:t>
            </w:r>
          </w:p>
          <w:p w:rsidR="0041013C" w:rsidRPr="00026475" w:rsidRDefault="0041013C">
            <w:pPr>
              <w:pStyle w:val="Lagtext"/>
              <w:shd w:val="clear" w:color="000000" w:fill="auto"/>
            </w:pPr>
            <w:r w:rsidRPr="00026475">
              <w:t>c) 2,28</w:t>
            </w:r>
            <w:r w:rsidRPr="00026475">
              <w:rPr>
                <w:i w:val="0"/>
              </w:rPr>
              <w:t xml:space="preserve"> procent av prisbasbeloppet vid studier på minst 50 procent men mindre än 75 procent av heltid.</w:t>
            </w:r>
          </w:p>
        </w:tc>
        <w:tc>
          <w:tcPr>
            <w:tcW w:w="2967" w:type="dxa"/>
          </w:tcPr>
          <w:p w:rsidR="0041013C" w:rsidRPr="00026475" w:rsidRDefault="0041013C">
            <w:pPr>
              <w:pStyle w:val="Lagtext"/>
              <w:shd w:val="clear" w:color="000000" w:fill="auto"/>
              <w:spacing w:before="120"/>
              <w:rPr>
                <w:i w:val="0"/>
              </w:rPr>
            </w:pPr>
            <w:r w:rsidRPr="00026475">
              <w:t>a) 5,24</w:t>
            </w:r>
            <w:r w:rsidRPr="00026475">
              <w:rPr>
                <w:i w:val="0"/>
              </w:rPr>
              <w:t xml:space="preserve"> procent av prisbasbeloppet vid studier på heltid,</w:t>
            </w:r>
          </w:p>
          <w:p w:rsidR="0041013C" w:rsidRPr="00026475" w:rsidRDefault="0041013C">
            <w:pPr>
              <w:pStyle w:val="Lagtext"/>
              <w:shd w:val="clear" w:color="000000" w:fill="auto"/>
              <w:rPr>
                <w:i w:val="0"/>
              </w:rPr>
            </w:pPr>
            <w:r w:rsidRPr="00026475">
              <w:t xml:space="preserve">b) 3,93 </w:t>
            </w:r>
            <w:r w:rsidRPr="00026475">
              <w:rPr>
                <w:i w:val="0"/>
              </w:rPr>
              <w:t xml:space="preserve">procent av prisbasbeloppet vid studier på minst 75 procent men </w:t>
            </w:r>
            <w:r w:rsidRPr="00026475">
              <w:rPr>
                <w:i w:val="0"/>
                <w:spacing w:val="-2"/>
              </w:rPr>
              <w:t>mindre än 100 procent av heltid, och</w:t>
            </w:r>
          </w:p>
          <w:p w:rsidR="0041013C" w:rsidRPr="00026475" w:rsidRDefault="0041013C">
            <w:pPr>
              <w:pStyle w:val="Lagtext"/>
              <w:shd w:val="clear" w:color="000000" w:fill="auto"/>
            </w:pPr>
            <w:r w:rsidRPr="00026475">
              <w:t>c) 2,62</w:t>
            </w:r>
            <w:r w:rsidRPr="00026475">
              <w:rPr>
                <w:i w:val="0"/>
              </w:rPr>
              <w:t xml:space="preserve"> procent av prisbasbeloppet vid studier på minst 50 procent men mindre än 75 procent av heltid.</w:t>
            </w:r>
          </w:p>
        </w:tc>
      </w:tr>
    </w:tbl>
    <w:p w:rsidR="0041013C" w:rsidRPr="00026475" w:rsidRDefault="0041013C">
      <w:pPr>
        <w:shd w:val="clear" w:color="000000" w:fill="auto"/>
        <w:tabs>
          <w:tab w:val="left" w:pos="2835"/>
        </w:tabs>
        <w:jc w:val="center"/>
      </w:pPr>
      <w:r w:rsidRPr="00026475">
        <w:t>12 §</w:t>
      </w:r>
    </w:p>
    <w:p w:rsidR="0041013C" w:rsidRPr="00026475" w:rsidRDefault="0041013C">
      <w:pPr>
        <w:shd w:val="clear" w:color="000000" w:fill="auto"/>
      </w:pPr>
      <w:r w:rsidRPr="00026475">
        <w:t>Om inte något annat följer av 13 § får studiebidrag lämnas med ett belopp som för varje vecka som den studerande har rätt till studiemedel utgör</w:t>
      </w:r>
    </w:p>
    <w:tbl>
      <w:tblPr>
        <w:tblW w:w="6070" w:type="dxa"/>
        <w:tblLayout w:type="fixed"/>
        <w:tblCellMar>
          <w:left w:w="70" w:type="dxa"/>
          <w:right w:w="70" w:type="dxa"/>
        </w:tblCellMar>
        <w:tblLook w:val="0000" w:firstRow="0" w:lastRow="0" w:firstColumn="0" w:lastColumn="0" w:noHBand="0" w:noVBand="0"/>
      </w:tblPr>
      <w:tblGrid>
        <w:gridCol w:w="3070"/>
        <w:gridCol w:w="3000"/>
      </w:tblGrid>
      <w:tr w:rsidR="00000000" w:rsidRPr="00026475">
        <w:tc>
          <w:tcPr>
            <w:tcW w:w="3070" w:type="dxa"/>
          </w:tcPr>
          <w:p w:rsidR="0041013C" w:rsidRPr="00026475" w:rsidRDefault="0041013C">
            <w:pPr>
              <w:pStyle w:val="Lagtext"/>
              <w:shd w:val="clear" w:color="000000" w:fill="auto"/>
              <w:spacing w:before="120"/>
            </w:pPr>
            <w:r w:rsidRPr="00026475">
              <w:t>Nuvarande lydelse</w:t>
            </w:r>
          </w:p>
        </w:tc>
        <w:tc>
          <w:tcPr>
            <w:tcW w:w="3000" w:type="dxa"/>
          </w:tcPr>
          <w:p w:rsidR="0041013C" w:rsidRPr="00026475" w:rsidRDefault="0041013C">
            <w:pPr>
              <w:pStyle w:val="Lagtext"/>
              <w:shd w:val="clear" w:color="000000" w:fill="auto"/>
              <w:spacing w:before="120"/>
            </w:pPr>
            <w:r w:rsidRPr="00026475">
              <w:t>Föreslagen lydelse</w:t>
            </w:r>
          </w:p>
        </w:tc>
      </w:tr>
      <w:tr w:rsidR="00000000" w:rsidRPr="00026475">
        <w:tc>
          <w:tcPr>
            <w:tcW w:w="3070" w:type="dxa"/>
          </w:tcPr>
          <w:p w:rsidR="0041013C" w:rsidRPr="00026475" w:rsidRDefault="0041013C">
            <w:pPr>
              <w:pStyle w:val="Lagtext"/>
              <w:shd w:val="clear" w:color="000000" w:fill="auto"/>
              <w:spacing w:before="120"/>
              <w:rPr>
                <w:i w:val="0"/>
              </w:rPr>
            </w:pPr>
            <w:r w:rsidRPr="00026475">
              <w:t xml:space="preserve">a) 1,57 </w:t>
            </w:r>
            <w:r w:rsidRPr="00026475">
              <w:rPr>
                <w:i w:val="0"/>
              </w:rPr>
              <w:t>procent av prisbasbeloppet vid studier på heltid,</w:t>
            </w:r>
          </w:p>
          <w:p w:rsidR="0041013C" w:rsidRPr="00026475" w:rsidRDefault="0041013C">
            <w:pPr>
              <w:pStyle w:val="Lagtext"/>
              <w:shd w:val="clear" w:color="000000" w:fill="auto"/>
              <w:rPr>
                <w:i w:val="0"/>
              </w:rPr>
            </w:pPr>
            <w:r w:rsidRPr="00026475">
              <w:t>b) 1,14</w:t>
            </w:r>
            <w:r w:rsidRPr="00026475">
              <w:rPr>
                <w:i w:val="0"/>
              </w:rPr>
              <w:t xml:space="preserve"> procent av prisbasbeloppet vid studier på minst 75 procent men mindre än 100 procent av heltid, och</w:t>
            </w:r>
          </w:p>
          <w:p w:rsidR="0041013C" w:rsidRPr="00026475" w:rsidRDefault="0041013C">
            <w:pPr>
              <w:pStyle w:val="Lagtext"/>
              <w:shd w:val="clear" w:color="000000" w:fill="auto"/>
            </w:pPr>
            <w:r w:rsidRPr="00026475">
              <w:t xml:space="preserve">c) 0,76 </w:t>
            </w:r>
            <w:r w:rsidRPr="00026475">
              <w:rPr>
                <w:i w:val="0"/>
              </w:rPr>
              <w:t>procent av prisbasbeloppet vid studier på minst 50 procent men mindre än 75 procent av heltid.</w:t>
            </w:r>
          </w:p>
        </w:tc>
        <w:tc>
          <w:tcPr>
            <w:tcW w:w="3000" w:type="dxa"/>
          </w:tcPr>
          <w:p w:rsidR="0041013C" w:rsidRPr="00026475" w:rsidRDefault="0041013C">
            <w:pPr>
              <w:pStyle w:val="Lagtext"/>
              <w:shd w:val="clear" w:color="000000" w:fill="auto"/>
              <w:spacing w:before="120"/>
            </w:pPr>
            <w:r w:rsidRPr="00026475">
              <w:t>a) 1,81</w:t>
            </w:r>
            <w:r w:rsidRPr="00026475">
              <w:rPr>
                <w:i w:val="0"/>
              </w:rPr>
              <w:t xml:space="preserve"> procent av prisbasbeloppet vid studier på heltid,</w:t>
            </w:r>
          </w:p>
          <w:p w:rsidR="0041013C" w:rsidRPr="00026475" w:rsidRDefault="0041013C">
            <w:pPr>
              <w:pStyle w:val="Lagtext"/>
              <w:shd w:val="clear" w:color="000000" w:fill="auto"/>
              <w:rPr>
                <w:i w:val="0"/>
              </w:rPr>
            </w:pPr>
            <w:r w:rsidRPr="00026475">
              <w:t xml:space="preserve">b) 1,36 </w:t>
            </w:r>
            <w:r w:rsidRPr="00026475">
              <w:rPr>
                <w:i w:val="0"/>
              </w:rPr>
              <w:t>procent av prisbasbeloppet vid studier på minst 75 procent men mindre än 100 procent av heltid, och</w:t>
            </w:r>
          </w:p>
          <w:p w:rsidR="0041013C" w:rsidRPr="00026475" w:rsidRDefault="0041013C">
            <w:pPr>
              <w:pStyle w:val="Lagtext"/>
              <w:shd w:val="clear" w:color="000000" w:fill="auto"/>
            </w:pPr>
            <w:r w:rsidRPr="00026475">
              <w:t>c) 0,90</w:t>
            </w:r>
            <w:r w:rsidRPr="00026475">
              <w:rPr>
                <w:i w:val="0"/>
              </w:rPr>
              <w:t xml:space="preserve"> procent av prisbasbeloppet vid studier på minst 50 procent men mindre än 75 procent av heltid.</w:t>
            </w:r>
          </w:p>
        </w:tc>
      </w:tr>
    </w:tbl>
    <w:p w:rsidR="0041013C" w:rsidRPr="00026475" w:rsidRDefault="0041013C">
      <w:pPr>
        <w:shd w:val="clear" w:color="000000" w:fill="auto"/>
        <w:jc w:val="center"/>
      </w:pPr>
      <w:r w:rsidRPr="00026475">
        <w:t>13 §</w:t>
      </w:r>
    </w:p>
    <w:p w:rsidR="0041013C" w:rsidRPr="00026475" w:rsidRDefault="0041013C">
      <w:pPr>
        <w:shd w:val="clear" w:color="000000" w:fill="auto"/>
      </w:pPr>
      <w:r w:rsidRPr="00026475">
        <w:t>Till studerande i sådan utbildning som avses i 2 § andra stycket får studieb</w:t>
      </w:r>
      <w:r w:rsidRPr="00026475">
        <w:t>i</w:t>
      </w:r>
      <w:r w:rsidRPr="00026475">
        <w:t>drag lämnas med ett högre belopp per vecka, nämligen med</w:t>
      </w:r>
    </w:p>
    <w:tbl>
      <w:tblPr>
        <w:tblW w:w="6070" w:type="dxa"/>
        <w:tblLayout w:type="fixed"/>
        <w:tblCellMar>
          <w:left w:w="70" w:type="dxa"/>
          <w:right w:w="70" w:type="dxa"/>
        </w:tblCellMar>
        <w:tblLook w:val="0000" w:firstRow="0" w:lastRow="0" w:firstColumn="0" w:lastColumn="0" w:noHBand="0" w:noVBand="0"/>
      </w:tblPr>
      <w:tblGrid>
        <w:gridCol w:w="3070"/>
        <w:gridCol w:w="3000"/>
      </w:tblGrid>
      <w:tr w:rsidR="00000000" w:rsidRPr="00026475">
        <w:tc>
          <w:tcPr>
            <w:tcW w:w="3070" w:type="dxa"/>
          </w:tcPr>
          <w:p w:rsidR="0041013C" w:rsidRPr="00026475" w:rsidRDefault="0041013C">
            <w:pPr>
              <w:pStyle w:val="Lagtext"/>
              <w:shd w:val="clear" w:color="000000" w:fill="auto"/>
              <w:spacing w:before="120"/>
            </w:pPr>
            <w:r w:rsidRPr="00026475">
              <w:t>Nuvarande lydelse</w:t>
            </w:r>
          </w:p>
        </w:tc>
        <w:tc>
          <w:tcPr>
            <w:tcW w:w="3000" w:type="dxa"/>
          </w:tcPr>
          <w:p w:rsidR="0041013C" w:rsidRPr="00026475" w:rsidRDefault="0041013C">
            <w:pPr>
              <w:pStyle w:val="Lagtext"/>
              <w:shd w:val="clear" w:color="000000" w:fill="auto"/>
              <w:spacing w:before="120"/>
            </w:pPr>
            <w:r w:rsidRPr="00026475">
              <w:t>Föreslagen lydelse</w:t>
            </w:r>
          </w:p>
        </w:tc>
      </w:tr>
      <w:tr w:rsidR="00000000" w:rsidRPr="00026475">
        <w:tc>
          <w:tcPr>
            <w:tcW w:w="3070" w:type="dxa"/>
          </w:tcPr>
          <w:p w:rsidR="0041013C" w:rsidRPr="00026475" w:rsidRDefault="0041013C">
            <w:pPr>
              <w:pStyle w:val="Lagtext"/>
              <w:shd w:val="clear" w:color="000000" w:fill="auto"/>
              <w:spacing w:before="120"/>
              <w:rPr>
                <w:i w:val="0"/>
              </w:rPr>
            </w:pPr>
            <w:r w:rsidRPr="00026475">
              <w:t xml:space="preserve">a) 3,66 </w:t>
            </w:r>
            <w:r w:rsidRPr="00026475">
              <w:rPr>
                <w:i w:val="0"/>
              </w:rPr>
              <w:t>procent av prisbasbeloppet</w:t>
            </w:r>
          </w:p>
          <w:p w:rsidR="0041013C" w:rsidRPr="00026475" w:rsidRDefault="0041013C">
            <w:pPr>
              <w:pStyle w:val="Lagtext"/>
              <w:shd w:val="clear" w:color="000000" w:fill="auto"/>
              <w:rPr>
                <w:i w:val="0"/>
              </w:rPr>
            </w:pPr>
            <w:r w:rsidRPr="00026475">
              <w:rPr>
                <w:i w:val="0"/>
              </w:rPr>
              <w:t>vid studier på heltid,</w:t>
            </w:r>
          </w:p>
          <w:p w:rsidR="0041013C" w:rsidRPr="00026475" w:rsidRDefault="0041013C">
            <w:pPr>
              <w:pStyle w:val="Lagtext"/>
              <w:shd w:val="clear" w:color="000000" w:fill="auto"/>
              <w:rPr>
                <w:i w:val="0"/>
              </w:rPr>
            </w:pPr>
            <w:r w:rsidRPr="00026475">
              <w:t xml:space="preserve">b) 2,74 </w:t>
            </w:r>
            <w:r w:rsidRPr="00026475">
              <w:rPr>
                <w:i w:val="0"/>
              </w:rPr>
              <w:t>procent av prisbasbeloppet vid studier på minst 75 procent men mindre än 100 procent av heltid, och</w:t>
            </w:r>
          </w:p>
          <w:p w:rsidR="0041013C" w:rsidRPr="00026475" w:rsidRDefault="0041013C">
            <w:pPr>
              <w:pStyle w:val="Lagtext"/>
              <w:shd w:val="clear" w:color="000000" w:fill="auto"/>
              <w:rPr>
                <w:i w:val="0"/>
              </w:rPr>
            </w:pPr>
            <w:r w:rsidRPr="00026475">
              <w:t xml:space="preserve">c) 1,83 </w:t>
            </w:r>
            <w:r w:rsidRPr="00026475">
              <w:rPr>
                <w:i w:val="0"/>
              </w:rPr>
              <w:t>procent av prisbasbeloppet</w:t>
            </w:r>
          </w:p>
          <w:p w:rsidR="0041013C" w:rsidRPr="00026475" w:rsidRDefault="0041013C">
            <w:pPr>
              <w:pStyle w:val="Lagtext"/>
              <w:shd w:val="clear" w:color="000000" w:fill="auto"/>
            </w:pPr>
            <w:r w:rsidRPr="00026475">
              <w:rPr>
                <w:i w:val="0"/>
              </w:rPr>
              <w:t>vid studier på minst 50 procent men mindre än 75 procent av heltid.</w:t>
            </w:r>
          </w:p>
        </w:tc>
        <w:tc>
          <w:tcPr>
            <w:tcW w:w="3000" w:type="dxa"/>
          </w:tcPr>
          <w:p w:rsidR="0041013C" w:rsidRPr="00026475" w:rsidRDefault="0041013C">
            <w:pPr>
              <w:pStyle w:val="Lagtext"/>
              <w:shd w:val="clear" w:color="000000" w:fill="auto"/>
              <w:spacing w:before="120"/>
              <w:rPr>
                <w:i w:val="0"/>
              </w:rPr>
            </w:pPr>
            <w:r w:rsidRPr="00026475">
              <w:t xml:space="preserve">a) 4,30 </w:t>
            </w:r>
            <w:r w:rsidRPr="00026475">
              <w:rPr>
                <w:i w:val="0"/>
              </w:rPr>
              <w:t>procent av prisbasbeloppet vid studier på heltid,</w:t>
            </w:r>
          </w:p>
          <w:p w:rsidR="0041013C" w:rsidRPr="00026475" w:rsidRDefault="0041013C">
            <w:pPr>
              <w:pStyle w:val="Lagtext"/>
              <w:shd w:val="clear" w:color="000000" w:fill="auto"/>
              <w:rPr>
                <w:i w:val="0"/>
              </w:rPr>
            </w:pPr>
            <w:r w:rsidRPr="00026475">
              <w:t xml:space="preserve">b) 3,22 </w:t>
            </w:r>
            <w:r w:rsidRPr="00026475">
              <w:rPr>
                <w:i w:val="0"/>
              </w:rPr>
              <w:t>procent av prisbasbeloppet vid studier på minst 75 procent men mindre än 100 procent av heltid, och</w:t>
            </w:r>
          </w:p>
          <w:p w:rsidR="0041013C" w:rsidRPr="00026475" w:rsidRDefault="0041013C">
            <w:pPr>
              <w:pStyle w:val="Lagtext"/>
              <w:shd w:val="clear" w:color="000000" w:fill="auto"/>
            </w:pPr>
            <w:r w:rsidRPr="00026475">
              <w:t>c) 2,15</w:t>
            </w:r>
            <w:r w:rsidRPr="00026475">
              <w:rPr>
                <w:i w:val="0"/>
              </w:rPr>
              <w:t xml:space="preserve"> procent av prisbasbeloppet vid studier på minst 50 procent men mindre än 75 procent av heltid.</w:t>
            </w:r>
          </w:p>
        </w:tc>
      </w:tr>
    </w:tbl>
    <w:p w:rsidR="0041013C" w:rsidRPr="00026475" w:rsidRDefault="0041013C">
      <w:pPr>
        <w:pStyle w:val="Rubrik1"/>
        <w:shd w:val="clear" w:color="000000" w:fill="auto"/>
      </w:pPr>
      <w:r w:rsidRPr="00026475">
        <w:t>Bidrag vid kortare studier</w:t>
      </w:r>
    </w:p>
    <w:p w:rsidR="0041013C" w:rsidRPr="00026475" w:rsidRDefault="0041013C">
      <w:pPr>
        <w:shd w:val="clear" w:color="000000" w:fill="auto"/>
      </w:pPr>
      <w:r w:rsidRPr="00026475">
        <w:t>Vänsterpartiet ser ett värde i att människor har möjlighet att bedriva även kortare studier, som inte nödvändigtvis är behörighetsgivande och sker vid traditionella utbildningsanstalter. Det är utvecklande för individen och dä</w:t>
      </w:r>
      <w:r w:rsidRPr="00026475">
        <w:t>r</w:t>
      </w:r>
      <w:r w:rsidRPr="00026475">
        <w:t>igenom positivt för samhället. Vi avvisar därför regeringens förslag om ne</w:t>
      </w:r>
      <w:r w:rsidRPr="00026475">
        <w:t>d</w:t>
      </w:r>
      <w:r w:rsidRPr="00026475">
        <w:t>skärningar av anslag 25:6.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6475">
        <w:trPr>
          <w:cantSplit/>
        </w:trPr>
        <w:tc>
          <w:tcPr>
            <w:tcW w:w="3046" w:type="dxa"/>
          </w:tcPr>
          <w:p w:rsidR="0041013C" w:rsidRPr="00026475" w:rsidRDefault="0041013C">
            <w:pPr>
              <w:pStyle w:val="UnderskriftDatum"/>
              <w:shd w:val="clear" w:color="000000" w:fill="auto"/>
              <w:spacing w:before="240"/>
            </w:pPr>
            <w:r w:rsidRPr="00026475">
              <w:t>Stockholm den 4 oktober 2007</w:t>
            </w:r>
          </w:p>
        </w:tc>
        <w:tc>
          <w:tcPr>
            <w:tcW w:w="3047" w:type="dxa"/>
          </w:tcPr>
          <w:p w:rsidR="0041013C" w:rsidRPr="00026475" w:rsidRDefault="0041013C">
            <w:pPr>
              <w:pStyle w:val="Underskrifter"/>
              <w:shd w:val="clear" w:color="000000" w:fill="auto"/>
              <w:spacing w:before="240"/>
            </w:pPr>
          </w:p>
        </w:tc>
      </w:tr>
      <w:tr w:rsidR="00000000" w:rsidRPr="00026475">
        <w:trPr>
          <w:cantSplit/>
        </w:trPr>
        <w:tc>
          <w:tcPr>
            <w:tcW w:w="3046" w:type="dxa"/>
          </w:tcPr>
          <w:p w:rsidR="0041013C" w:rsidRPr="00026475" w:rsidRDefault="0041013C">
            <w:pPr>
              <w:pStyle w:val="Underskrifter"/>
              <w:shd w:val="clear" w:color="000000" w:fill="auto"/>
            </w:pPr>
            <w:r w:rsidRPr="00026475">
              <w:t>Lars Ohly (v)</w:t>
            </w:r>
          </w:p>
        </w:tc>
        <w:tc>
          <w:tcPr>
            <w:tcW w:w="3046" w:type="dxa"/>
          </w:tcPr>
          <w:p w:rsidR="0041013C" w:rsidRPr="00026475" w:rsidRDefault="0041013C">
            <w:pPr>
              <w:pStyle w:val="Underskrifter"/>
              <w:shd w:val="clear" w:color="000000" w:fill="auto"/>
            </w:pPr>
          </w:p>
        </w:tc>
      </w:tr>
      <w:tr w:rsidR="00000000" w:rsidRPr="00026475">
        <w:trPr>
          <w:cantSplit/>
        </w:trPr>
        <w:tc>
          <w:tcPr>
            <w:tcW w:w="3046" w:type="dxa"/>
          </w:tcPr>
          <w:p w:rsidR="0041013C" w:rsidRPr="00026475" w:rsidRDefault="0041013C">
            <w:pPr>
              <w:pStyle w:val="Underskrifter"/>
              <w:shd w:val="clear" w:color="000000" w:fill="auto"/>
            </w:pPr>
            <w:r w:rsidRPr="00026475">
              <w:t>Marianne Berg (v)</w:t>
            </w:r>
          </w:p>
        </w:tc>
        <w:tc>
          <w:tcPr>
            <w:tcW w:w="3046" w:type="dxa"/>
          </w:tcPr>
          <w:p w:rsidR="0041013C" w:rsidRPr="00026475" w:rsidRDefault="0041013C">
            <w:pPr>
              <w:pStyle w:val="Underskrifter"/>
              <w:shd w:val="clear" w:color="000000" w:fill="auto"/>
            </w:pPr>
            <w:r w:rsidRPr="00026475">
              <w:t>Wiwi-Anne Johansson (v)</w:t>
            </w:r>
          </w:p>
        </w:tc>
      </w:tr>
      <w:tr w:rsidR="00000000" w:rsidRPr="00026475">
        <w:trPr>
          <w:cantSplit/>
        </w:trPr>
        <w:tc>
          <w:tcPr>
            <w:tcW w:w="3046" w:type="dxa"/>
          </w:tcPr>
          <w:p w:rsidR="0041013C" w:rsidRPr="00026475" w:rsidRDefault="0041013C">
            <w:pPr>
              <w:pStyle w:val="Underskrifter"/>
              <w:shd w:val="clear" w:color="000000" w:fill="auto"/>
            </w:pPr>
            <w:r w:rsidRPr="00026475">
              <w:t>Hans Linde (v)</w:t>
            </w:r>
          </w:p>
        </w:tc>
        <w:tc>
          <w:tcPr>
            <w:tcW w:w="3046" w:type="dxa"/>
          </w:tcPr>
          <w:p w:rsidR="0041013C" w:rsidRPr="00026475" w:rsidRDefault="0041013C">
            <w:pPr>
              <w:pStyle w:val="Underskrifter"/>
              <w:shd w:val="clear" w:color="000000" w:fill="auto"/>
            </w:pPr>
            <w:r w:rsidRPr="00026475">
              <w:t>Elina Linna (v)</w:t>
            </w:r>
          </w:p>
        </w:tc>
      </w:tr>
      <w:tr w:rsidR="00000000" w:rsidRPr="00026475">
        <w:trPr>
          <w:cantSplit/>
        </w:trPr>
        <w:tc>
          <w:tcPr>
            <w:tcW w:w="3046" w:type="dxa"/>
          </w:tcPr>
          <w:p w:rsidR="0041013C" w:rsidRPr="00026475" w:rsidRDefault="0041013C">
            <w:pPr>
              <w:pStyle w:val="Underskrifter"/>
              <w:shd w:val="clear" w:color="000000" w:fill="auto"/>
            </w:pPr>
            <w:r w:rsidRPr="00026475">
              <w:t>Kent Persson (v)</w:t>
            </w:r>
          </w:p>
        </w:tc>
        <w:tc>
          <w:tcPr>
            <w:tcW w:w="3046" w:type="dxa"/>
          </w:tcPr>
          <w:p w:rsidR="0041013C" w:rsidRPr="00026475" w:rsidRDefault="0041013C">
            <w:pPr>
              <w:pStyle w:val="Underskrifter"/>
              <w:shd w:val="clear" w:color="000000" w:fill="auto"/>
            </w:pPr>
            <w:r w:rsidRPr="00026475">
              <w:t>Alice Åström (v)</w:t>
            </w:r>
          </w:p>
        </w:tc>
      </w:tr>
      <w:tr w:rsidR="00000000" w:rsidRPr="00026475">
        <w:trPr>
          <w:cantSplit/>
        </w:trPr>
        <w:tc>
          <w:tcPr>
            <w:tcW w:w="3046" w:type="dxa"/>
          </w:tcPr>
          <w:p w:rsidR="0041013C" w:rsidRPr="00026475" w:rsidRDefault="0041013C">
            <w:pPr>
              <w:pStyle w:val="Underskrifter"/>
              <w:shd w:val="clear" w:color="000000" w:fill="auto"/>
            </w:pPr>
            <w:r w:rsidRPr="00026475">
              <w:t>Rossana Dinamarca (v)</w:t>
            </w:r>
          </w:p>
        </w:tc>
        <w:tc>
          <w:tcPr>
            <w:tcW w:w="3046" w:type="dxa"/>
          </w:tcPr>
          <w:p w:rsidR="0041013C" w:rsidRPr="00026475" w:rsidRDefault="0041013C">
            <w:pPr>
              <w:pStyle w:val="Underskrifter"/>
              <w:shd w:val="clear" w:color="000000" w:fill="auto"/>
            </w:pPr>
          </w:p>
        </w:tc>
      </w:tr>
    </w:tbl>
    <w:p w:rsidR="0041013C" w:rsidRPr="00026475" w:rsidRDefault="0041013C">
      <w:pPr>
        <w:pStyle w:val="Normaltindrag"/>
        <w:shd w:val="clear" w:color="000000" w:fill="auto"/>
      </w:pPr>
    </w:p>
    <w:sectPr w:rsidR="0041013C" w:rsidRPr="000264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13C" w:rsidRPr="00026475" w:rsidRDefault="0041013C">
      <w:r w:rsidRPr="00026475">
        <w:separator/>
      </w:r>
    </w:p>
  </w:endnote>
  <w:endnote w:type="continuationSeparator" w:id="0">
    <w:p w:rsidR="0041013C" w:rsidRPr="00026475" w:rsidRDefault="0041013C">
      <w:r w:rsidRPr="000264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13C" w:rsidRPr="00026475" w:rsidRDefault="00026475">
    <w:pPr>
      <w:pStyle w:val="Sidfot"/>
    </w:pPr>
    <w:r w:rsidRPr="000264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9825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13C" w:rsidRDefault="004101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13C" w:rsidRDefault="004101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13C" w:rsidRPr="00026475" w:rsidRDefault="00026475">
    <w:pPr>
      <w:pStyle w:val="Sidfot"/>
    </w:pPr>
    <w:r w:rsidRPr="000264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8776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13C" w:rsidRDefault="004101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13C" w:rsidRDefault="004101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13C" w:rsidRPr="00026475" w:rsidRDefault="00026475">
    <w:pPr>
      <w:pStyle w:val="Sidfot"/>
    </w:pPr>
    <w:r w:rsidRPr="000264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826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13C" w:rsidRDefault="00410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13C" w:rsidRDefault="00410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13C" w:rsidRPr="00026475" w:rsidRDefault="0041013C">
      <w:r w:rsidRPr="00026475">
        <w:separator/>
      </w:r>
    </w:p>
  </w:footnote>
  <w:footnote w:type="continuationSeparator" w:id="0">
    <w:p w:rsidR="0041013C" w:rsidRPr="00026475" w:rsidRDefault="0041013C">
      <w:r w:rsidRPr="000264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13C" w:rsidRPr="00026475" w:rsidRDefault="00026475">
    <w:pPr>
      <w:pStyle w:val="Sidhuvud"/>
    </w:pPr>
    <w:r w:rsidRPr="000264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6048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13C" w:rsidRDefault="004101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13C" w:rsidRDefault="004101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13C" w:rsidRPr="00026475" w:rsidRDefault="00026475">
    <w:pPr>
      <w:pStyle w:val="Sidhuvud"/>
    </w:pPr>
    <w:r w:rsidRPr="000264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018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13C" w:rsidRDefault="004101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13C" w:rsidRDefault="004101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13C" w:rsidRPr="00026475" w:rsidRDefault="0041013C">
    <w:pPr>
      <w:pStyle w:val="FSHNormal"/>
      <w:tabs>
        <w:tab w:val="right" w:pos="5840"/>
      </w:tabs>
    </w:pPr>
    <w:r w:rsidRPr="00026475">
      <w:br/>
    </w:r>
    <w:r w:rsidRPr="00026475">
      <w:fldChar w:fldCharType="begin" w:fldLock="1"/>
    </w:r>
    <w:r w:rsidRPr="00026475">
      <w:instrText xml:space="preserve"> DOCPROPERTY</w:instrText>
    </w:r>
    <w:r w:rsidRPr="00026475">
      <w:rPr>
        <w:sz w:val="18"/>
      </w:rPr>
      <w:instrText xml:space="preserve"> "YearUser" *\charformat </w:instrText>
    </w:r>
    <w:r w:rsidRPr="00026475">
      <w:fldChar w:fldCharType="separate"/>
    </w:r>
    <w:r w:rsidRPr="00026475">
      <w:t>2007/08</w:t>
    </w:r>
    <w:r w:rsidRPr="00026475">
      <w:fldChar w:fldCharType="end"/>
    </w:r>
    <w:r w:rsidRPr="00026475">
      <w:t xml:space="preserve"> </w:t>
    </w:r>
    <w:r w:rsidRPr="00026475">
      <w:tab/>
      <w:t xml:space="preserve">mnr: </w:t>
    </w:r>
    <w:r w:rsidRPr="00026475">
      <w:fldChar w:fldCharType="begin" w:fldLock="1"/>
    </w:r>
    <w:r w:rsidRPr="00026475">
      <w:instrText xml:space="preserve"> DOCPROPERTY</w:instrText>
    </w:r>
    <w:r w:rsidRPr="00026475">
      <w:rPr>
        <w:sz w:val="18"/>
      </w:rPr>
      <w:instrText xml:space="preserve"> "Motionsnummer" *\charformat </w:instrText>
    </w:r>
    <w:r w:rsidRPr="00026475">
      <w:fldChar w:fldCharType="separate"/>
    </w:r>
    <w:r w:rsidRPr="00026475">
      <w:t>Ub478</w:t>
    </w:r>
    <w:r w:rsidRPr="00026475">
      <w:fldChar w:fldCharType="end"/>
    </w:r>
    <w:r w:rsidRPr="00026475">
      <w:br/>
    </w:r>
    <w:r w:rsidRPr="00026475">
      <w:fldChar w:fldCharType="begin" w:fldLock="1"/>
    </w:r>
    <w:r w:rsidRPr="00026475">
      <w:instrText xml:space="preserve"> DOCPROPERTY</w:instrText>
    </w:r>
    <w:r w:rsidRPr="00026475">
      <w:rPr>
        <w:sz w:val="18"/>
      </w:rPr>
      <w:instrText xml:space="preserve"> "Samling" *\charformat </w:instrText>
    </w:r>
    <w:r w:rsidRPr="00026475">
      <w:fldChar w:fldCharType="end"/>
    </w:r>
    <w:r w:rsidRPr="00026475">
      <w:tab/>
      <w:t xml:space="preserve">pnr: </w:t>
    </w:r>
    <w:r w:rsidRPr="00026475">
      <w:fldChar w:fldCharType="begin" w:fldLock="1"/>
    </w:r>
    <w:r w:rsidRPr="00026475">
      <w:instrText xml:space="preserve"> DOCPROPERTY</w:instrText>
    </w:r>
    <w:r w:rsidRPr="00026475">
      <w:rPr>
        <w:sz w:val="18"/>
      </w:rPr>
      <w:instrText xml:space="preserve"> "Partinummer" *\charformat </w:instrText>
    </w:r>
    <w:r w:rsidRPr="00026475">
      <w:fldChar w:fldCharType="separate"/>
    </w:r>
    <w:r w:rsidRPr="00026475">
      <w:t>v850</w:t>
    </w:r>
    <w:r w:rsidRPr="00026475">
      <w:fldChar w:fldCharType="end"/>
    </w:r>
  </w:p>
  <w:p w:rsidR="0041013C" w:rsidRPr="00026475" w:rsidRDefault="0041013C">
    <w:pPr>
      <w:pStyle w:val="FSHRub1"/>
    </w:pPr>
    <w:r w:rsidRPr="00026475">
      <w:t>Motion till riksdagen</w:t>
    </w:r>
    <w:r w:rsidRPr="00026475">
      <w:br/>
    </w:r>
    <w:r w:rsidRPr="00026475">
      <w:fldChar w:fldCharType="begin" w:fldLock="1"/>
    </w:r>
    <w:r w:rsidRPr="00026475">
      <w:instrText xml:space="preserve"> DOCPROPERTY "YearUser" *\charformat </w:instrText>
    </w:r>
    <w:r w:rsidRPr="00026475">
      <w:fldChar w:fldCharType="separate"/>
    </w:r>
    <w:r w:rsidRPr="00026475">
      <w:t>2007/08</w:t>
    </w:r>
    <w:r w:rsidRPr="00026475">
      <w:fldChar w:fldCharType="end"/>
    </w:r>
    <w:r w:rsidRPr="00026475">
      <w:t>:</w:t>
    </w:r>
    <w:r w:rsidRPr="00026475">
      <w:fldChar w:fldCharType="begin" w:fldLock="1"/>
    </w:r>
    <w:r w:rsidRPr="00026475">
      <w:instrText xml:space="preserve"> DOCPROPERTY "Motionsnummer" *\charformat </w:instrText>
    </w:r>
    <w:r w:rsidRPr="00026475">
      <w:fldChar w:fldCharType="separate"/>
    </w:r>
    <w:r w:rsidRPr="00026475">
      <w:t>Ub478</w:t>
    </w:r>
    <w:r w:rsidRPr="00026475">
      <w:fldChar w:fldCharType="end"/>
    </w:r>
  </w:p>
  <w:p w:rsidR="0041013C" w:rsidRPr="00026475" w:rsidRDefault="0041013C">
    <w:pPr>
      <w:pStyle w:val="FSHNormalS5"/>
    </w:pPr>
    <w:r w:rsidRPr="00026475">
      <w:fldChar w:fldCharType="begin" w:fldLock="1"/>
    </w:r>
    <w:r w:rsidRPr="00026475">
      <w:instrText xml:space="preserve"> DOCPROPERTY "MotionarText" *\charformat </w:instrText>
    </w:r>
    <w:r w:rsidRPr="00026475">
      <w:fldChar w:fldCharType="separate"/>
    </w:r>
    <w:r w:rsidRPr="00026475">
      <w:t>av Lars Ohly m.fl. (v)</w:t>
    </w:r>
    <w:r w:rsidRPr="00026475">
      <w:fldChar w:fldCharType="end"/>
    </w:r>
    <w:r w:rsidRPr="00026475">
      <w:br/>
    </w:r>
    <w:r w:rsidRPr="00026475">
      <w:fldChar w:fldCharType="begin" w:fldLock="1"/>
    </w:r>
    <w:r w:rsidRPr="00026475">
      <w:instrText xml:space="preserve"> DOCPROPERTY "SvarFrasKort" *\charformat </w:instrText>
    </w:r>
    <w:r w:rsidRPr="00026475">
      <w:fldChar w:fldCharType="end"/>
    </w:r>
  </w:p>
  <w:p w:rsidR="0041013C" w:rsidRPr="00026475" w:rsidRDefault="0041013C">
    <w:pPr>
      <w:pStyle w:val="FSHTitel"/>
    </w:pPr>
    <w:r w:rsidRPr="00026475">
      <w:fldChar w:fldCharType="begin" w:fldLock="1"/>
    </w:r>
    <w:r w:rsidRPr="00026475">
      <w:instrText xml:space="preserve"> DOCPROPERTY</w:instrText>
    </w:r>
    <w:r w:rsidRPr="00026475">
      <w:rPr>
        <w:sz w:val="18"/>
      </w:rPr>
      <w:instrText xml:space="preserve"> "RubrikSvar" *\charformat </w:instrText>
    </w:r>
    <w:r w:rsidRPr="00026475">
      <w:fldChar w:fldCharType="separate"/>
    </w:r>
    <w:r w:rsidRPr="00026475">
      <w:t>Utgiftsområde 15 Studiestöd</w:t>
    </w:r>
    <w:r w:rsidRPr="00026475">
      <w:fldChar w:fldCharType="end"/>
    </w:r>
  </w:p>
  <w:p w:rsidR="0041013C" w:rsidRPr="00026475" w:rsidRDefault="0041013C">
    <w:pPr>
      <w:pStyle w:val="Normal00"/>
    </w:pPr>
  </w:p>
  <w:p w:rsidR="0041013C" w:rsidRPr="00026475" w:rsidRDefault="004101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991A67"/>
    <w:multiLevelType w:val="hybridMultilevel"/>
    <w:tmpl w:val="2E8061B4"/>
    <w:lvl w:ilvl="0" w:tplc="896A12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D5F253C0">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5028876">
    <w:abstractNumId w:val="8"/>
  </w:num>
  <w:num w:numId="2" w16cid:durableId="578562309">
    <w:abstractNumId w:val="9"/>
  </w:num>
  <w:num w:numId="3" w16cid:durableId="1394231748">
    <w:abstractNumId w:val="8"/>
  </w:num>
  <w:num w:numId="4" w16cid:durableId="965695781">
    <w:abstractNumId w:val="9"/>
  </w:num>
  <w:num w:numId="5" w16cid:durableId="687222884">
    <w:abstractNumId w:val="14"/>
  </w:num>
  <w:num w:numId="6" w16cid:durableId="522135696">
    <w:abstractNumId w:val="10"/>
  </w:num>
  <w:num w:numId="7" w16cid:durableId="1467699922">
    <w:abstractNumId w:val="12"/>
  </w:num>
  <w:num w:numId="8" w16cid:durableId="1988045305">
    <w:abstractNumId w:val="13"/>
  </w:num>
  <w:num w:numId="9" w16cid:durableId="1587498450">
    <w:abstractNumId w:val="8"/>
  </w:num>
  <w:num w:numId="10" w16cid:durableId="1189638373">
    <w:abstractNumId w:val="3"/>
  </w:num>
  <w:num w:numId="11" w16cid:durableId="1384409545">
    <w:abstractNumId w:val="2"/>
  </w:num>
  <w:num w:numId="12" w16cid:durableId="26486943">
    <w:abstractNumId w:val="1"/>
  </w:num>
  <w:num w:numId="13" w16cid:durableId="598175486">
    <w:abstractNumId w:val="0"/>
  </w:num>
  <w:num w:numId="14" w16cid:durableId="1736971068">
    <w:abstractNumId w:val="9"/>
  </w:num>
  <w:num w:numId="15" w16cid:durableId="651983120">
    <w:abstractNumId w:val="7"/>
  </w:num>
  <w:num w:numId="16" w16cid:durableId="884491416">
    <w:abstractNumId w:val="6"/>
  </w:num>
  <w:num w:numId="17" w16cid:durableId="834496541">
    <w:abstractNumId w:val="5"/>
  </w:num>
  <w:num w:numId="18" w16cid:durableId="1962414321">
    <w:abstractNumId w:val="4"/>
  </w:num>
  <w:num w:numId="19" w16cid:durableId="675960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F1A2565D-4D2F-4887-9B1D-3D7BE825DA8C},{25384487-954A-4B3D-A759-FB67661DCC6F},{93F71F64-B3B2-464F-BCC5-C49DA1B8F0E4},{88576935-7337-4AFA-923F-6E59D33EEBED},{8B923F15-4996-4696-A089-6A5BE8BF8E1B},{CBCE2632-605E-484A-97AC-47C334EA7100},{7E0BF71E-CD03-4DBF-9F51-3B5B798F2741},{E342D5A8-46A1-48DE-8F45-AD50F7AFB7F8}"/>
  </w:docVars>
  <w:rsids>
    <w:rsidRoot w:val="0057123C"/>
    <w:rsid w:val="00026475"/>
    <w:rsid w:val="0041013C"/>
    <w:rsid w:val="005712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75D3CB-457C-4420-92F0-F2C7DB58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1020</Words>
  <Characters>5698</Characters>
  <Application>Microsoft Office Word</Application>
  <DocSecurity>4</DocSecurity>
  <Lines>162</Lines>
  <Paragraphs>86</Paragraphs>
  <ScaleCrop>false</ScaleCrop>
  <HeadingPairs>
    <vt:vector size="2" baseType="variant">
      <vt:variant>
        <vt:lpstr>Rubrik</vt:lpstr>
      </vt:variant>
      <vt:variant>
        <vt:i4>1</vt:i4>
      </vt:variant>
    </vt:vector>
  </HeadingPairs>
  <TitlesOfParts>
    <vt:vector size="1" baseType="lpstr">
      <vt:lpstr>v850</vt:lpstr>
    </vt:vector>
  </TitlesOfParts>
  <Company>Riksdagen</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v850</dc:title>
  <dc:subject>v850</dc:subject>
  <dc:creator>Riksdagen</dc:creator>
  <cp:keywords>Riksdagen</cp:keywords>
  <dc:description>TKG-ktrl, MSMQ4mb, PersReg-Distribution mm</dc:description>
  <cp:lastModifiedBy>Lars Brink</cp:lastModifiedBy>
  <cp:revision>2</cp:revision>
  <cp:lastPrinted>2007-11-06T15:12:00Z</cp:lastPrinted>
  <dcterms:created xsi:type="dcterms:W3CDTF">2025-12-17T11:14:00Z</dcterms:created>
  <dcterms:modified xsi:type="dcterms:W3CDTF">2025-12-17T11:14:00Z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15 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15 Studiestöd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vt:lpwstr>
  </property>
  <property fmtid="{D5CDD505-2E9C-101B-9397-08002B2CF9AE}" pid="35" name="Samling">
    <vt:lpwstr/>
  </property>
  <property fmtid="{D5CDD505-2E9C-101B-9397-08002B2CF9AE}" pid="36" name="SamlingPrint">
    <vt:lpwstr/>
  </property>
  <property fmtid="{D5CDD505-2E9C-101B-9397-08002B2CF9AE}" pid="37" name="Motionsnummer">
    <vt:lpwstr>Ub478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20072008000000000118000008500080</vt:lpwstr>
  </property>
  <property fmtid="{D5CDD505-2E9C-101B-9397-08002B2CF9AE}" pid="47" name="datum">
    <vt:lpwstr>071004</vt:lpwstr>
  </property>
  <property fmtid="{D5CDD505-2E9C-101B-9397-08002B2CF9AE}" pid="48" name="avsändar-e-post">
    <vt:lpwstr>inger.diaz@riksdagen.se</vt:lpwstr>
  </property>
  <property fmtid="{D5CDD505-2E9C-101B-9397-08002B2CF9AE}" pid="49" name="id">
    <vt:lpwstr>20072008000000000118000008500080</vt:lpwstr>
  </property>
  <property fmtid="{D5CDD505-2E9C-101B-9397-08002B2CF9AE}" pid="50" name="nummer">
    <vt:lpwstr>478</vt:lpwstr>
  </property>
  <property fmtid="{D5CDD505-2E9C-101B-9397-08002B2CF9AE}" pid="51" name="utskottsbeteckning">
    <vt:lpwstr>Ub</vt:lpwstr>
  </property>
  <property fmtid="{D5CDD505-2E9C-101B-9397-08002B2CF9AE}" pid="52" name="GlobalUID">
    <vt:lpwstr>{EA770FF8-8BF6-4589-979F-380F867BD493}</vt:lpwstr>
  </property>
  <property fmtid="{D5CDD505-2E9C-101B-9397-08002B2CF9AE}" pid="53" name="Överföringar">
    <vt:i4>0</vt:i4>
  </property>
  <property fmtid="{D5CDD505-2E9C-101B-9397-08002B2CF9AE}" pid="54" name="Checksum">
    <vt:lpwstr>*0016526815851*</vt:lpwstr>
  </property>
  <property fmtid="{D5CDD505-2E9C-101B-9397-08002B2CF9AE}" pid="55" name="skuggnummer">
    <vt:lpwstr>2654</vt:lpwstr>
  </property>
  <property fmtid="{D5CDD505-2E9C-101B-9397-08002B2CF9AE}" pid="56" name="urixVersion">
    <vt:lpwstr>3.2.0.8</vt:lpwstr>
  </property>
  <property fmtid="{D5CDD505-2E9C-101B-9397-08002B2CF9AE}" pid="57" name="urixOrigin">
    <vt:lpwstr>071106 16:14:30.042</vt:lpwstr>
  </property>
  <property fmtid="{D5CDD505-2E9C-101B-9397-08002B2CF9AE}" pid="58" name="urixGuid">
    <vt:lpwstr>{C3A4B9A2-D05D-4EB1-98C8-E371B68D078E}</vt:lpwstr>
  </property>
</Properties>
</file>