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 maj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5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påskhelgens kravaller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6 maj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2021/22:455 av Hanna Wagenius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Fäbodbruket som riksintresse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2021/22:FPM78 Förordning om informationssäkerhet i unionens institutioner, organ och byråer </w:t>
            </w:r>
            <w:r>
              <w:rPr>
                <w:i/>
                <w:iCs/>
                <w:rtl w:val="0"/>
              </w:rPr>
              <w:t>COM(2022) 119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2021/22:SkU22 Höjd omsättningsgräns för befrielse från mervärdesskatt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2021/22:SkU23 Ytterligare sänkt mervärdesskatt på vissa reparationer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2021/22:SkU14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2021/22:FöU7 Civilt försvar och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60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2021/22:SoU24 En fast omsorgskontakt i hemtjänsten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2021/22:JuU18 Tillträdesförbud till badanläggningar och bibliotek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2021/22:JuU22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2021/22:JuU27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2021/22:JuU28 Vapenfrågor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2021/22:NU19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80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2021/22:NU20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2021/22:NU25 Ett års förlängd giltighetstid för undersökningstillstånd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Lina Axelsson Kihlblom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2021/22:462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synliga religiösa symboler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Max Elger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2021/22:458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Barns situation i överskuldsatta hushåll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 maj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2022-05-03</SAFIR_Sammantradesdatum_Doc>
    <SAFIR_SammantradeID xmlns="C07A1A6C-0B19-41D9-BDF8-F523BA3921EB">c36d476c-9fe1-47c8-8c1c-c67979229e6e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F03A6-D40F-4A5D-AFC9-805E5AF80DF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