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76137B">
        <w:tblPrEx>
          <w:tblCellMar>
            <w:top w:w="0" w:type="dxa"/>
            <w:bottom w:w="0" w:type="dxa"/>
          </w:tblCellMar>
        </w:tblPrEx>
        <w:trPr>
          <w:cantSplit/>
          <w:trHeight w:hRule="exact" w:val="1260"/>
        </w:trPr>
        <w:tc>
          <w:tcPr>
            <w:tcW w:w="6024" w:type="dxa"/>
            <w:gridSpan w:val="2"/>
            <w:vMerge w:val="restart"/>
          </w:tcPr>
          <w:p w:rsidR="000005D5" w:rsidRPr="0076137B" w:rsidRDefault="000005D5">
            <w:pPr>
              <w:pStyle w:val="HuvudRubrik"/>
            </w:pPr>
            <w:bookmarkStart w:id="0" w:name="BetänkandeRubrik"/>
            <w:bookmarkEnd w:id="0"/>
            <w:r w:rsidRPr="0076137B">
              <w:t xml:space="preserve"> Justitieutskottets yttrande</w:t>
            </w:r>
            <w:r w:rsidR="0076137B" w:rsidRPr="0076137B">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6821898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0005D5" w:rsidRPr="0076137B" w:rsidRDefault="000005D5">
                                  <w:pPr>
                                    <w:pStyle w:val="Logo"/>
                                  </w:pPr>
                                  <w:r w:rsidRPr="0076137B">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53427"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0005D5" w:rsidRPr="0076137B" w:rsidRDefault="000005D5">
                            <w:pPr>
                              <w:pStyle w:val="Logo"/>
                            </w:pPr>
                            <w:r w:rsidRPr="0076137B">
                              <w:object w:dxaOrig="840" w:dyaOrig="1545">
                                <v:shape id="_x0000_i1025" type="#_x0000_t75" style="width:90.45pt;height:77.15pt" fillcolor="window">
                                  <v:imagedata r:id="rId6" o:title="" cropright="-75835f"/>
                                </v:shape>
                                <o:OLEObject Type="Embed" ProgID="Word.Picture.8" ShapeID="_x0000_i1025" DrawAspect="Content" ObjectID="_1827353427" r:id="rId8"/>
                              </w:object>
                            </w:r>
                          </w:p>
                        </w:txbxContent>
                      </v:textbox>
                      <w10:wrap anchorx="page" anchory="page"/>
                    </v:shape>
                  </w:pict>
                </mc:Fallback>
              </mc:AlternateContent>
            </w:r>
          </w:p>
          <w:p w:rsidR="000005D5" w:rsidRPr="0076137B" w:rsidRDefault="000005D5">
            <w:pPr>
              <w:pStyle w:val="HuvudRubrikRad2"/>
            </w:pPr>
            <w:bookmarkStart w:id="17" w:name="BetänkandeNr"/>
            <w:bookmarkEnd w:id="17"/>
            <w:r w:rsidRPr="0076137B">
              <w:t>2000/01:JuU1y</w:t>
            </w:r>
          </w:p>
          <w:p w:rsidR="000005D5" w:rsidRPr="0076137B" w:rsidRDefault="000005D5">
            <w:pPr>
              <w:pStyle w:val="BetnkandeRubrik"/>
            </w:pPr>
            <w:bookmarkStart w:id="18" w:name="Huvudrubrik"/>
            <w:bookmarkEnd w:id="18"/>
            <w:r w:rsidRPr="0076137B">
              <w:t>Ramen för utgiftsområde 4 Rättsväsendet</w:t>
            </w:r>
          </w:p>
        </w:tc>
        <w:tc>
          <w:tcPr>
            <w:tcW w:w="1559" w:type="dxa"/>
            <w:tcBorders>
              <w:bottom w:val="nil"/>
            </w:tcBorders>
          </w:tcPr>
          <w:p w:rsidR="000005D5" w:rsidRPr="0076137B" w:rsidRDefault="000005D5">
            <w:pPr>
              <w:spacing w:before="0" w:line="230" w:lineRule="auto"/>
              <w:rPr>
                <w:sz w:val="24"/>
              </w:rPr>
            </w:pPr>
          </w:p>
        </w:tc>
      </w:tr>
      <w:tr w:rsidR="00000000" w:rsidRPr="0076137B">
        <w:tblPrEx>
          <w:tblCellMar>
            <w:top w:w="0" w:type="dxa"/>
            <w:bottom w:w="0" w:type="dxa"/>
          </w:tblCellMar>
        </w:tblPrEx>
        <w:trPr>
          <w:cantSplit/>
          <w:trHeight w:hRule="exact" w:val="240"/>
        </w:trPr>
        <w:tc>
          <w:tcPr>
            <w:tcW w:w="6024" w:type="dxa"/>
            <w:gridSpan w:val="2"/>
            <w:vMerge/>
            <w:tcBorders>
              <w:top w:val="nil"/>
              <w:bottom w:val="nil"/>
            </w:tcBorders>
          </w:tcPr>
          <w:p w:rsidR="000005D5" w:rsidRPr="0076137B" w:rsidRDefault="000005D5">
            <w:pPr>
              <w:spacing w:before="40" w:after="900" w:line="280" w:lineRule="exact"/>
              <w:jc w:val="left"/>
              <w:rPr>
                <w:sz w:val="28"/>
              </w:rPr>
            </w:pPr>
          </w:p>
        </w:tc>
        <w:tc>
          <w:tcPr>
            <w:tcW w:w="1559" w:type="dxa"/>
          </w:tcPr>
          <w:p w:rsidR="000005D5" w:rsidRPr="0076137B" w:rsidRDefault="000005D5">
            <w:pPr>
              <w:pStyle w:val="rtal"/>
            </w:pPr>
            <w:r w:rsidRPr="0076137B">
              <w:t>2000/01</w:t>
            </w:r>
          </w:p>
        </w:tc>
      </w:tr>
      <w:tr w:rsidR="00000000" w:rsidRPr="0076137B">
        <w:tblPrEx>
          <w:tblCellMar>
            <w:top w:w="0" w:type="dxa"/>
            <w:bottom w:w="0" w:type="dxa"/>
          </w:tblCellMar>
        </w:tblPrEx>
        <w:trPr>
          <w:cantSplit/>
          <w:trHeight w:val="560"/>
        </w:trPr>
        <w:tc>
          <w:tcPr>
            <w:tcW w:w="6024" w:type="dxa"/>
            <w:gridSpan w:val="2"/>
            <w:vMerge/>
            <w:tcBorders>
              <w:top w:val="nil"/>
              <w:bottom w:val="single" w:sz="6" w:space="0" w:color="auto"/>
            </w:tcBorders>
          </w:tcPr>
          <w:p w:rsidR="000005D5" w:rsidRPr="0076137B" w:rsidRDefault="000005D5">
            <w:pPr>
              <w:spacing w:before="40" w:after="900" w:line="280" w:lineRule="exact"/>
              <w:jc w:val="left"/>
              <w:rPr>
                <w:sz w:val="28"/>
              </w:rPr>
            </w:pPr>
          </w:p>
        </w:tc>
        <w:tc>
          <w:tcPr>
            <w:tcW w:w="1559" w:type="dxa"/>
            <w:tcBorders>
              <w:bottom w:val="single" w:sz="6" w:space="0" w:color="auto"/>
            </w:tcBorders>
          </w:tcPr>
          <w:p w:rsidR="000005D5" w:rsidRPr="0076137B" w:rsidRDefault="000005D5">
            <w:pPr>
              <w:pStyle w:val="rtal"/>
            </w:pPr>
            <w:r w:rsidRPr="0076137B">
              <w:t>JuU1y</w:t>
            </w:r>
          </w:p>
        </w:tc>
      </w:tr>
      <w:tr w:rsidR="00000000" w:rsidRPr="0076137B">
        <w:tblPrEx>
          <w:tblCellMar>
            <w:top w:w="0" w:type="dxa"/>
            <w:bottom w:w="0" w:type="dxa"/>
          </w:tblCellMar>
        </w:tblPrEx>
        <w:trPr>
          <w:cantSplit/>
          <w:trHeight w:hRule="exact" w:val="660"/>
        </w:trPr>
        <w:tc>
          <w:tcPr>
            <w:tcW w:w="3012" w:type="dxa"/>
          </w:tcPr>
          <w:p w:rsidR="000005D5" w:rsidRPr="0076137B" w:rsidRDefault="000005D5">
            <w:pPr>
              <w:pStyle w:val="StatusSida1"/>
            </w:pPr>
          </w:p>
        </w:tc>
        <w:tc>
          <w:tcPr>
            <w:tcW w:w="3012" w:type="dxa"/>
          </w:tcPr>
          <w:p w:rsidR="000005D5" w:rsidRPr="0076137B" w:rsidRDefault="000005D5">
            <w:pPr>
              <w:pStyle w:val="UtskriftsdatumSida1"/>
              <w:rPr>
                <w:b/>
                <w:sz w:val="28"/>
              </w:rPr>
            </w:pPr>
          </w:p>
        </w:tc>
        <w:tc>
          <w:tcPr>
            <w:tcW w:w="1559" w:type="dxa"/>
          </w:tcPr>
          <w:p w:rsidR="000005D5" w:rsidRPr="0076137B" w:rsidRDefault="000005D5"/>
        </w:tc>
      </w:tr>
    </w:tbl>
    <w:p w:rsidR="000005D5" w:rsidRPr="0076137B" w:rsidRDefault="000005D5">
      <w:pPr>
        <w:pStyle w:val="Rubrik1"/>
        <w:spacing w:before="0"/>
      </w:pPr>
      <w:bookmarkStart w:id="19" w:name="_Toc497104481"/>
      <w:r w:rsidRPr="0076137B">
        <w:t>Till finansutskottet</w:t>
      </w:r>
      <w:bookmarkEnd w:id="19"/>
    </w:p>
    <w:p w:rsidR="000005D5" w:rsidRPr="0076137B" w:rsidRDefault="000005D5">
      <w:pPr>
        <w:pStyle w:val="Rubrik2"/>
      </w:pPr>
      <w:bookmarkStart w:id="20" w:name="Textstart"/>
      <w:bookmarkStart w:id="21" w:name="_Toc497104482"/>
      <w:bookmarkEnd w:id="20"/>
      <w:r w:rsidRPr="0076137B">
        <w:t>Ärendet</w:t>
      </w:r>
      <w:bookmarkEnd w:id="21"/>
    </w:p>
    <w:p w:rsidR="000005D5" w:rsidRPr="0076137B" w:rsidRDefault="000005D5">
      <w:r w:rsidRPr="0076137B">
        <w:t>Finansutskottet har berett samtliga utskott tillfälle att avge yttrande över proposition 2000/01:1 Budgetpropositionen för år 2001 i vad avser den ek</w:t>
      </w:r>
      <w:r w:rsidRPr="0076137B">
        <w:t>o</w:t>
      </w:r>
      <w:r w:rsidRPr="0076137B">
        <w:t>nomiska politiken och förslag till statsbudget för år 2001, utgifternas förde</w:t>
      </w:r>
      <w:r w:rsidRPr="0076137B">
        <w:t>l</w:t>
      </w:r>
      <w:r w:rsidRPr="0076137B">
        <w:t>ning på utgiftsområden och beräkningen av statsinkomsterna, låneramar m.m. i de delar som berör respektive utskotts beredning</w:t>
      </w:r>
      <w:r w:rsidRPr="0076137B">
        <w:t>s</w:t>
      </w:r>
      <w:r w:rsidRPr="0076137B">
        <w:t>område.</w:t>
      </w:r>
    </w:p>
    <w:p w:rsidR="000005D5" w:rsidRPr="0076137B" w:rsidRDefault="000005D5">
      <w:pPr>
        <w:pStyle w:val="Normaltindrag"/>
      </w:pPr>
      <w:r w:rsidRPr="0076137B">
        <w:t>Det sagda innebär sammanfattningsvis att justitieutskottet såvitt avser statsbudgetens utgiftssida beretts tillfälle att yttra sig över yrkandena 8 och 10 i volym 1 Förslag till statsbudget, finansplan m.m.</w:t>
      </w:r>
    </w:p>
    <w:p w:rsidR="000005D5" w:rsidRPr="0076137B" w:rsidRDefault="000005D5">
      <w:pPr>
        <w:pStyle w:val="Normaltindrag"/>
      </w:pPr>
      <w:r w:rsidRPr="0076137B">
        <w:t>I yrkande 8 föreslår regeringen att riksdagen beslutar om fördelning av u</w:t>
      </w:r>
      <w:r w:rsidRPr="0076137B">
        <w:t>t</w:t>
      </w:r>
      <w:r w:rsidRPr="0076137B">
        <w:t>gifterna för budgetåret 2001 på utgiftsområden i enlighet med vad regeringen föreslår (a</w:t>
      </w:r>
      <w:r w:rsidRPr="0076137B">
        <w:t>v</w:t>
      </w:r>
      <w:r w:rsidRPr="0076137B">
        <w:t>snitt 7.1, tabell 7.2).</w:t>
      </w:r>
    </w:p>
    <w:p w:rsidR="000005D5" w:rsidRPr="0076137B" w:rsidRDefault="000005D5">
      <w:pPr>
        <w:pStyle w:val="Normaltindrag"/>
      </w:pPr>
      <w:r w:rsidRPr="0076137B">
        <w:t>I yrkande 10 föreslår regeringen att riksdagen godkänner den preliminära fördelningen av utgifterna på utgiftsområden för budgetåren 2002 och 2003 som rik</w:t>
      </w:r>
      <w:r w:rsidRPr="0076137B">
        <w:t>t</w:t>
      </w:r>
      <w:r w:rsidRPr="0076137B">
        <w:t>linje för regeringens budgetarbete (avsnitt 7.1, tabell 7.2).</w:t>
      </w:r>
    </w:p>
    <w:p w:rsidR="000005D5" w:rsidRPr="0076137B" w:rsidRDefault="000005D5">
      <w:pPr>
        <w:pStyle w:val="Normaltindrag"/>
      </w:pPr>
      <w:r w:rsidRPr="0076137B">
        <w:t xml:space="preserve">Med anledning av propositionen har väckts bl.a. motionerna 2000/01: Fi208, Fi209, Fi210 och Fi211. </w:t>
      </w:r>
    </w:p>
    <w:p w:rsidR="000005D5" w:rsidRPr="0076137B" w:rsidRDefault="000005D5">
      <w:pPr>
        <w:pStyle w:val="Normaltindrag"/>
      </w:pPr>
      <w:r w:rsidRPr="0076137B">
        <w:t>I motion Fi208 yrkandena 5 och 6 (Bo Lundgren m.fl. m) föreslås för år 2001 en utvidgning av ramen för utgiftsområde 4 Rättsväsendet med 1 034,2 miljoner kronor jämfört med regeringens förslag. För åren 2002 och 2003 föreslås att en ökning med 869 respektive 868,2 miljoner kronor i förhålla</w:t>
      </w:r>
      <w:r w:rsidRPr="0076137B">
        <w:t>n</w:t>
      </w:r>
      <w:r w:rsidRPr="0076137B">
        <w:t>de till regeringens förslag skall utgöra riktlinje för regeringens budgeta</w:t>
      </w:r>
      <w:r w:rsidRPr="0076137B">
        <w:t>r</w:t>
      </w:r>
      <w:r w:rsidRPr="0076137B">
        <w:t>bete.</w:t>
      </w:r>
    </w:p>
    <w:p w:rsidR="000005D5" w:rsidRPr="0076137B" w:rsidRDefault="000005D5">
      <w:pPr>
        <w:pStyle w:val="Normaltindrag"/>
      </w:pPr>
      <w:r w:rsidRPr="0076137B">
        <w:t>I motion Fi209 yrkandena 6 och 7 (Alf Svensson m.fl. kd) föreslås för år 2001 en utvidgning av ramen för utgiftsområde 4 Rättsväsendet med 1 000 miljoner kronor jämfört med regeringens förslag. För åren 2002 och 2003 föreslås att en ökning med 1 000 miljoner kronor för respektive  år i förhå</w:t>
      </w:r>
      <w:r w:rsidRPr="0076137B">
        <w:t>l</w:t>
      </w:r>
      <w:r w:rsidRPr="0076137B">
        <w:t>lande till regeringens förslag skall utgöra riktlinje för regeringens budgeta</w:t>
      </w:r>
      <w:r w:rsidRPr="0076137B">
        <w:t>r</w:t>
      </w:r>
      <w:r w:rsidRPr="0076137B">
        <w:t>bete.</w:t>
      </w:r>
    </w:p>
    <w:p w:rsidR="000005D5" w:rsidRPr="0076137B" w:rsidRDefault="000005D5">
      <w:pPr>
        <w:pStyle w:val="Normaltindrag"/>
      </w:pPr>
      <w:r w:rsidRPr="0076137B">
        <w:t>I motion Fi210 yrkandena 4 och 5 (Lennart Daléus m.fl. c) föreslås för år 2001 en utvidgning av ramen för utgiftsområde 4 Rättsväsendet med 260 miljoner kronor jämfört med regeringens förslag. För åren 2002 och 2003 föreslås att en ökning med 320 miljoner kronor respektive 410 miljoner kro</w:t>
      </w:r>
      <w:r w:rsidRPr="0076137B">
        <w:lastRenderedPageBreak/>
        <w:t>nor i förhållande till regeringens förslag skall utgöra riktlinje för reg</w:t>
      </w:r>
      <w:r w:rsidRPr="0076137B">
        <w:t>e</w:t>
      </w:r>
      <w:r w:rsidRPr="0076137B">
        <w:t>ringens budg</w:t>
      </w:r>
      <w:r w:rsidRPr="0076137B">
        <w:t>e</w:t>
      </w:r>
      <w:r w:rsidRPr="0076137B">
        <w:t>tarbete.</w:t>
      </w:r>
    </w:p>
    <w:p w:rsidR="000005D5" w:rsidRPr="0076137B" w:rsidRDefault="000005D5">
      <w:pPr>
        <w:pStyle w:val="Normaltindrag"/>
      </w:pPr>
      <w:r w:rsidRPr="0076137B">
        <w:t>I motion Fi211 yrkandena 6 och 8 (Lars Leijonborg m.fl. fp) föreslås för år 2001 en utvidgning av ramen för utgiftsområde 4 Rättsväsendet med 402 miljoner kronor jämfört med regeringens förslag. För åren 2002 och 2003 föreslås att en ökning med 482 miljoner kronor för respektive år i förhållande till regeringens förslag skall utgöra riktlinje för regeringens budgeta</w:t>
      </w:r>
      <w:r w:rsidRPr="0076137B">
        <w:t>r</w:t>
      </w:r>
      <w:r w:rsidRPr="0076137B">
        <w:t>bete.</w:t>
      </w:r>
    </w:p>
    <w:p w:rsidR="000005D5" w:rsidRPr="0076137B" w:rsidRDefault="000005D5">
      <w:pPr>
        <w:pStyle w:val="Normaltindrag"/>
      </w:pPr>
      <w:r w:rsidRPr="0076137B">
        <w:t>Utskottet avgränsar sitt yttrande till att avse utgiftsramen för utgiftsområde 4 Rättsväsendet och därmed sammanhängande frågor.</w:t>
      </w:r>
    </w:p>
    <w:p w:rsidR="000005D5" w:rsidRPr="0076137B" w:rsidRDefault="000005D5">
      <w:pPr>
        <w:pStyle w:val="Normaltindrag"/>
      </w:pPr>
      <w:r w:rsidRPr="0076137B">
        <w:t>Ärendet föranleder följande yttrande från justitieutskottet.</w:t>
      </w:r>
    </w:p>
    <w:p w:rsidR="000005D5" w:rsidRPr="0076137B" w:rsidRDefault="000005D5">
      <w:pPr>
        <w:pStyle w:val="Rubrik2"/>
      </w:pPr>
      <w:bookmarkStart w:id="22" w:name="_Toc497104483"/>
      <w:r w:rsidRPr="0076137B">
        <w:t>Utskottet</w:t>
      </w:r>
      <w:bookmarkEnd w:id="22"/>
    </w:p>
    <w:p w:rsidR="000005D5" w:rsidRPr="0076137B" w:rsidRDefault="000005D5">
      <w:pPr>
        <w:pStyle w:val="Rubrik3"/>
        <w:spacing w:before="123"/>
      </w:pPr>
      <w:bookmarkStart w:id="23" w:name="_Toc497104484"/>
      <w:r w:rsidRPr="0076137B">
        <w:t>Indelningen i politikområden</w:t>
      </w:r>
      <w:bookmarkEnd w:id="23"/>
    </w:p>
    <w:p w:rsidR="000005D5" w:rsidRPr="0076137B" w:rsidRDefault="000005D5">
      <w:r w:rsidRPr="0076137B">
        <w:t>I riksdagsordningen finns bestämmelser om rambudgetering och utgiftso</w:t>
      </w:r>
      <w:r w:rsidRPr="0076137B">
        <w:t>m</w:t>
      </w:r>
      <w:r w:rsidRPr="0076137B">
        <w:t>råden. Dessa tillämpades första gången i budgetarbetet hösten 1996. En utvärdering av den nya budgetprocessen finns i betänkandet Utvärdering och vidareutveckling av budgetprocessen (SOU 2000:61) som för närvarande remissbehandlas.</w:t>
      </w:r>
    </w:p>
    <w:p w:rsidR="000005D5" w:rsidRPr="0076137B" w:rsidRDefault="000005D5">
      <w:pPr>
        <w:pStyle w:val="Normaltindrag"/>
      </w:pPr>
      <w:r w:rsidRPr="0076137B">
        <w:t>I budgetpropositionen introducerar regeringen begreppet politikområden. Dessa har inte samma indelning som budgetens utgiftsområden. Införandet av politikområdena syftar till att avgränsa statlig verksamhet i politiskt rel</w:t>
      </w:r>
      <w:r w:rsidRPr="0076137B">
        <w:t>e</w:t>
      </w:r>
      <w:r w:rsidRPr="0076137B">
        <w:t>vanta sakområden, dvs. områden som är lämpliga för inbördes avvägningar och prioriteringar (budgetpropositionen vol. 1 s. 177 och s. 245). Syftet med politikområden synes alltså i stort vara detsamma som det som gäller för utgiftsområdena (se 1993/94:TK1–3, 1993/94:KU18 s. 32 f och 1995/96:TK2 s. 3–4, 1995/96:KU21). En sammanställning över politikomr</w:t>
      </w:r>
      <w:r w:rsidRPr="0076137B">
        <w:t>å</w:t>
      </w:r>
      <w:r w:rsidRPr="0076137B">
        <w:t>dena och relationen mellan politikområden och utgiftsområden finns i bu</w:t>
      </w:r>
      <w:r w:rsidRPr="0076137B">
        <w:t>d</w:t>
      </w:r>
      <w:r w:rsidRPr="0076137B">
        <w:t>getpropositi</w:t>
      </w:r>
      <w:r w:rsidRPr="0076137B">
        <w:t>o</w:t>
      </w:r>
      <w:r w:rsidRPr="0076137B">
        <w:t xml:space="preserve">nen vol. 1 s. 178 resp. s. 195. </w:t>
      </w:r>
    </w:p>
    <w:p w:rsidR="000005D5" w:rsidRPr="0076137B" w:rsidRDefault="000005D5">
      <w:pPr>
        <w:pStyle w:val="Normaltindrag"/>
      </w:pPr>
      <w:r w:rsidRPr="0076137B">
        <w:t xml:space="preserve">Enligt riksdagsordningen 4.6.4. bereder </w:t>
      </w:r>
      <w:r w:rsidRPr="0076137B">
        <w:t>justitieutskottet ärenden om bl.a. utsökningsväsendet och anslag inom utgiftsområde 4 Rättsväsendet. Inde</w:t>
      </w:r>
      <w:r w:rsidRPr="0076137B">
        <w:t>l</w:t>
      </w:r>
      <w:r w:rsidRPr="0076137B">
        <w:t>ningen i politikområden innebär att utgiftsområde 4 delas upp på två polit</w:t>
      </w:r>
      <w:r w:rsidRPr="0076137B">
        <w:t>i</w:t>
      </w:r>
      <w:r w:rsidRPr="0076137B">
        <w:t>k-</w:t>
      </w:r>
      <w:r w:rsidRPr="0076137B">
        <w:br/>
        <w:t>områden, dels  Skatt, tull och exekution med verksamheten vid kronofogd</w:t>
      </w:r>
      <w:r w:rsidRPr="0076137B">
        <w:t>e</w:t>
      </w:r>
      <w:r w:rsidRPr="0076137B">
        <w:t>myndigheterna (politikområde 3) som huvudsakligen tillhör skatteutskottets beredningsområde, dels Rättsväsendet som innehåller övrig verksamhet inom utgiftsområde 4 (politikområde 4). Regeringen föreslår också ett nytt mål för politikområdet Skatt, tull oc</w:t>
      </w:r>
      <w:r w:rsidRPr="0076137B">
        <w:t>h exekution. Detta mål inkluderar alltså kron</w:t>
      </w:r>
      <w:r w:rsidRPr="0076137B">
        <w:t>o</w:t>
      </w:r>
      <w:r w:rsidRPr="0076137B">
        <w:t>fogdemyndigheterna. Däremot föreslår regeringen inte att riksdagen skall fastställa något mål för politikområdet Rättsväsendet. Regeringens syn på förhållandet mellan mål för utgiftsområden och mål för politikområden har inte klargjorts i budge</w:t>
      </w:r>
      <w:r w:rsidRPr="0076137B">
        <w:t>t</w:t>
      </w:r>
      <w:r w:rsidRPr="0076137B">
        <w:t xml:space="preserve">propositionen. </w:t>
      </w:r>
    </w:p>
    <w:p w:rsidR="000005D5" w:rsidRPr="0076137B" w:rsidRDefault="000005D5">
      <w:pPr>
        <w:pStyle w:val="Normaltindrag"/>
      </w:pPr>
      <w:r w:rsidRPr="0076137B">
        <w:t>Utskottet kan se många fördelar med indelningen i politikområden. Det finns emellertid också en del frågetecken som redan antydningsvis nämnts. Utskottet vill här särskilt peka på de problem som uppstår nä</w:t>
      </w:r>
      <w:r w:rsidRPr="0076137B">
        <w:t>r beredning</w:t>
      </w:r>
      <w:r w:rsidRPr="0076137B">
        <w:t>s</w:t>
      </w:r>
      <w:r w:rsidRPr="0076137B">
        <w:t>ansvaret för ett politikområde enligt riksdagsordningen är delat på flera u</w:t>
      </w:r>
      <w:r w:rsidRPr="0076137B">
        <w:t>t</w:t>
      </w:r>
      <w:r w:rsidRPr="0076137B">
        <w:t>skott – som exempel kan nämnas att justitieutskottet beretts tillfälle att yttra sig till skatteutskottet över målen för politikområde 3 såvitt avser utsö</w:t>
      </w:r>
      <w:r w:rsidRPr="0076137B">
        <w:t>k</w:t>
      </w:r>
      <w:r w:rsidRPr="0076137B">
        <w:t>ningsväsendet. Som utskottet ser det kan det alltså inte uteslutas att vissa förändringar i den nya ordningen bör aktualiseras.</w:t>
      </w:r>
    </w:p>
    <w:p w:rsidR="000005D5" w:rsidRPr="0076137B" w:rsidRDefault="000005D5">
      <w:pPr>
        <w:pStyle w:val="Rubrik3"/>
      </w:pPr>
      <w:bookmarkStart w:id="24" w:name="_Toc497104485"/>
      <w:r w:rsidRPr="0076137B">
        <w:t>Utgiftsområde 4</w:t>
      </w:r>
      <w:bookmarkEnd w:id="24"/>
    </w:p>
    <w:p w:rsidR="000005D5" w:rsidRPr="0076137B" w:rsidRDefault="000005D5">
      <w:pPr>
        <w:pStyle w:val="Rubrik4"/>
        <w:spacing w:before="123"/>
      </w:pPr>
      <w:bookmarkStart w:id="25" w:name="_Toc497104486"/>
      <w:r w:rsidRPr="0076137B">
        <w:t>Inledning</w:t>
      </w:r>
      <w:bookmarkEnd w:id="25"/>
    </w:p>
    <w:p w:rsidR="000005D5" w:rsidRPr="0076137B" w:rsidRDefault="000005D5">
      <w:r w:rsidRPr="0076137B">
        <w:t>Inom utskottets beredningsområde faller utgiftsområde 4 Rättsväsendet. Utgiftsområdet omfattar anslag till bl.a. polisväsendet, åklagarväsendet, domstolsväsendet, kriminalvården, Brottsförebyggande rådet, Brottsoffe</w:t>
      </w:r>
      <w:r w:rsidRPr="0076137B">
        <w:t>r</w:t>
      </w:r>
      <w:r w:rsidRPr="0076137B">
        <w:t>myndigheten och kronofogdemyndigheterna. För budgetåret 2000 anslogs drygt 22,7 miljarder kronor. De största anslagen är polisorganisationen med 11,6 miljarder kronor, kriminalvården med 3,8 miljarder kronor och do</w:t>
      </w:r>
      <w:r w:rsidRPr="0076137B">
        <w:t>m</w:t>
      </w:r>
      <w:r w:rsidRPr="0076137B">
        <w:t>stolsväse</w:t>
      </w:r>
      <w:r w:rsidRPr="0076137B">
        <w:t>n</w:t>
      </w:r>
      <w:r w:rsidRPr="0076137B">
        <w:t>det med 3,4 miljarder kronor.</w:t>
      </w:r>
    </w:p>
    <w:p w:rsidR="000005D5" w:rsidRPr="0076137B" w:rsidRDefault="000005D5">
      <w:pPr>
        <w:pStyle w:val="Normaltindrag"/>
      </w:pPr>
      <w:r w:rsidRPr="0076137B">
        <w:t>Det övergripande och långsiktiga målet för rättsväsendet är den enskildes rättstrygghet och rättssäkerhet. Målet för kriminalpolitiken är att minska brottsligheten och öka människors trygghet.</w:t>
      </w:r>
    </w:p>
    <w:p w:rsidR="000005D5" w:rsidRPr="0076137B" w:rsidRDefault="000005D5">
      <w:pPr>
        <w:pStyle w:val="Normaltindrag"/>
      </w:pPr>
      <w:r w:rsidRPr="0076137B">
        <w:t>De budgetpolitiska målen innebär bl.a. att statens utgifter skall rymmas inom det av riksdagen beslutade utgiftstaket. Utgiftstaket för staten är förd</w:t>
      </w:r>
      <w:r w:rsidRPr="0076137B">
        <w:t>e</w:t>
      </w:r>
      <w:r w:rsidRPr="0076137B">
        <w:t>lat på utgiftsområden. Beslutet om utgiftstak för ett visst år fattas med fra</w:t>
      </w:r>
      <w:r w:rsidRPr="0076137B">
        <w:t>m</w:t>
      </w:r>
      <w:r w:rsidRPr="0076137B">
        <w:t>förhållning. Våren 1998 beslutade riksdagen sålunda om utgiftstaket för år 2001 och våren 1999 fattades motsvarande beslut avseende år 2002. Våren 2000 fastställdes utgiftstaket för år 2003. Vissa tekniska justeringar har dä</w:t>
      </w:r>
      <w:r w:rsidRPr="0076137B">
        <w:t>r</w:t>
      </w:r>
      <w:r w:rsidRPr="0076137B">
        <w:t>efter gjorts och utgiftstaken har alltså bestämts till 792, 817, respektive 847 miljarder kronor för vart och ett av åren 2001, 2002 och 2003. I vårens äre</w:t>
      </w:r>
      <w:r w:rsidRPr="0076137B">
        <w:t>n</w:t>
      </w:r>
      <w:r w:rsidRPr="0076137B">
        <w:t xml:space="preserve">de gjordes också, liksom tidigare år, en preliminär </w:t>
      </w:r>
      <w:r w:rsidRPr="0076137B">
        <w:t>fördelning av utgifterna på utgiftsområden. I budgetpropositionen lägger regeringen nu fram ett justerat förslag till beslut om utgiftstak och utgiftsramar för utgiftsområdena samt</w:t>
      </w:r>
      <w:r w:rsidRPr="0076137B">
        <w:t>i</w:t>
      </w:r>
      <w:r w:rsidRPr="0076137B">
        <w:t>digt som regeringen beträffande år 2001 också föreslår en fördelning på anslag inom respektive utgiftsram. I fyra partimotioner Fi208 (m), Fi209 (kd), Fi210 (c) och Fi211 (fp) har också väckts yrkanden om utgiftsramarnas storlek. Yrkandena har redovisats ovan såvitt avser utgiftsområde 4. Till frågan om fördelning på anslag återk</w:t>
      </w:r>
      <w:r w:rsidRPr="0076137B">
        <w:t>ommer utskottet i sitt budgetbetänkande 2000/01:JuU1.</w:t>
      </w:r>
    </w:p>
    <w:p w:rsidR="000005D5" w:rsidRPr="0076137B" w:rsidRDefault="000005D5">
      <w:pPr>
        <w:pStyle w:val="Normaltindrag"/>
      </w:pPr>
      <w:r w:rsidRPr="0076137B">
        <w:t>Utgiftstaket för staten fastställdes alltså i våras (prop. 1999/2000:100, bet. 1999/2000:FiU20, 1999/2000:JuU4y) till 792 miljarder kronor för budgetåret 2001. Regeringen föreslår nu, med hänvisning till bl.a. att kommunsektorns skatteinkomster på grund av regelförändringar kommer att öka, att utgiftst</w:t>
      </w:r>
      <w:r w:rsidRPr="0076137B">
        <w:t>a</w:t>
      </w:r>
      <w:r w:rsidRPr="0076137B">
        <w:t>ket för år 2001 skall bestämmas till 789 miljarder kronor och att utgiftstaket för åren 2002 och 2003 bestäms till 814 respektive 844 miljarder kronor. Det bör i sammanhanget nämnas att en princip i budgetsystemet är att ett fas</w:t>
      </w:r>
      <w:r w:rsidRPr="0076137B">
        <w:t>t</w:t>
      </w:r>
      <w:r w:rsidRPr="0076137B">
        <w:t>ställt utgiftstak inte skall ändras; det fastställda utgiftstaket skall, såsom föreslås i förevarande fall, i princip bara bli föremål för tekniska just</w:t>
      </w:r>
      <w:r w:rsidRPr="0076137B">
        <w:t>e</w:t>
      </w:r>
      <w:r w:rsidRPr="0076137B">
        <w:t xml:space="preserve">ringar. </w:t>
      </w:r>
    </w:p>
    <w:p w:rsidR="000005D5" w:rsidRPr="0076137B" w:rsidRDefault="000005D5">
      <w:pPr>
        <w:pStyle w:val="Normaltindrag"/>
      </w:pPr>
      <w:r w:rsidRPr="0076137B">
        <w:t>De i motionerna framförda yrkandena bygger på ett utgiftstak som är lägre än såväl det riksdagen tidigare beslutat om so</w:t>
      </w:r>
      <w:r w:rsidRPr="0076137B">
        <w:t>m det som regeringen nu för</w:t>
      </w:r>
      <w:r w:rsidRPr="0076137B">
        <w:t>e</w:t>
      </w:r>
      <w:r w:rsidRPr="0076137B">
        <w:t>slår. – Här bortses från att det i motion Fi208 framförs ett yrkande avseende år 2001 som är något högre än regeringens förslag. Detta yrkande samma</w:t>
      </w:r>
      <w:r w:rsidRPr="0076137B">
        <w:t>n</w:t>
      </w:r>
      <w:r w:rsidRPr="0076137B">
        <w:t>hänger med att vissa kostnader föreslås överförda från kommunerna till staten; tas hänsyn härtill innebär också yrkandet i motion Fi208 ett lägre utgiftstak för år 2001 än det som tidigare beslutats respektive regeringen nu föreslår. – Samtidigt föreslås i samtliga här aktuella motioner ökningar av utgiftsramen för rättsväsendet. Ett</w:t>
      </w:r>
      <w:r w:rsidRPr="0076137B">
        <w:t xml:space="preserve"> bifall till yrkandena förutsätter med andra ord en omfördelning från andra utgiftsområden till utgiftsområde 4. Detta utskott har emellertid endast att yttra sig över frågor som rör utgiftsområde 4. De övergripande frågorna liksom frågor om prioriteringar mellan utgiftso</w:t>
      </w:r>
      <w:r w:rsidRPr="0076137B">
        <w:t>m</w:t>
      </w:r>
      <w:r w:rsidRPr="0076137B">
        <w:t>rådena ankommer det inte på utskottet att ta ställning till. Utskottet vill dock åter erinra om att verksamheten inom rättsväsendet intar en särställning i förhållande till övrig statlig verksamhet i det att verksamheten utgör en grundlägg</w:t>
      </w:r>
      <w:r w:rsidRPr="0076137B">
        <w:t>ande förutsättning för ett fritt och demokratiskt samhälle. Denna särställning utgör också en självklar grund för prioritering av behoven inom utgiftsområde 4 framför behoven inom många andra u</w:t>
      </w:r>
      <w:r w:rsidRPr="0076137B">
        <w:t>t</w:t>
      </w:r>
      <w:r w:rsidRPr="0076137B">
        <w:t>giftsområden.</w:t>
      </w:r>
    </w:p>
    <w:p w:rsidR="000005D5" w:rsidRPr="0076137B" w:rsidRDefault="000005D5">
      <w:pPr>
        <w:pStyle w:val="Rubrik3"/>
      </w:pPr>
      <w:bookmarkStart w:id="26" w:name="_Toc497104487"/>
      <w:r w:rsidRPr="0076137B">
        <w:t>Utgiftsramen för åren 2001–2003</w:t>
      </w:r>
      <w:bookmarkEnd w:id="26"/>
    </w:p>
    <w:p w:rsidR="000005D5" w:rsidRPr="0076137B" w:rsidRDefault="000005D5">
      <w:pPr>
        <w:outlineLvl w:val="0"/>
      </w:pPr>
      <w:r w:rsidRPr="0076137B">
        <w:rPr>
          <w:sz w:val="20"/>
        </w:rPr>
        <w:t>Regeringens förslag och motionsförslagen framgår av följande tabell.</w:t>
      </w:r>
    </w:p>
    <w:p w:rsidR="000005D5" w:rsidRPr="0076137B" w:rsidRDefault="000005D5">
      <w:pPr>
        <w:pStyle w:val="Normaltindrag"/>
      </w:pPr>
    </w:p>
    <w:p w:rsidR="000005D5" w:rsidRPr="0076137B" w:rsidRDefault="000005D5">
      <w:pPr>
        <w:outlineLvl w:val="0"/>
      </w:pPr>
      <w:r w:rsidRPr="0076137B">
        <w:rPr>
          <w:b/>
        </w:rPr>
        <w:t>Utgiftsområde 4 (miljoner kronor)</w:t>
      </w:r>
    </w:p>
    <w:tbl>
      <w:tblPr>
        <w:tblW w:w="0" w:type="auto"/>
        <w:tblInd w:w="-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756"/>
        <w:gridCol w:w="850"/>
        <w:gridCol w:w="709"/>
        <w:gridCol w:w="722"/>
      </w:tblGrid>
      <w:tr w:rsidR="00000000" w:rsidRPr="0076137B">
        <w:tblPrEx>
          <w:tblCellMar>
            <w:top w:w="0" w:type="dxa"/>
            <w:bottom w:w="0" w:type="dxa"/>
          </w:tblCellMar>
        </w:tblPrEx>
        <w:tc>
          <w:tcPr>
            <w:tcW w:w="3756" w:type="dxa"/>
          </w:tcPr>
          <w:p w:rsidR="000005D5" w:rsidRPr="0076137B" w:rsidRDefault="000005D5"/>
        </w:tc>
        <w:tc>
          <w:tcPr>
            <w:tcW w:w="850" w:type="dxa"/>
          </w:tcPr>
          <w:p w:rsidR="000005D5" w:rsidRPr="0076137B" w:rsidRDefault="000005D5">
            <w:pPr>
              <w:pStyle w:val="Logo"/>
              <w:spacing w:before="122" w:line="245" w:lineRule="exact"/>
            </w:pPr>
            <w:r w:rsidRPr="0076137B">
              <w:t>2001</w:t>
            </w:r>
          </w:p>
        </w:tc>
        <w:tc>
          <w:tcPr>
            <w:tcW w:w="709" w:type="dxa"/>
          </w:tcPr>
          <w:p w:rsidR="000005D5" w:rsidRPr="0076137B" w:rsidRDefault="000005D5">
            <w:r w:rsidRPr="0076137B">
              <w:t>2002</w:t>
            </w:r>
          </w:p>
        </w:tc>
        <w:tc>
          <w:tcPr>
            <w:tcW w:w="722" w:type="dxa"/>
          </w:tcPr>
          <w:p w:rsidR="000005D5" w:rsidRPr="0076137B" w:rsidRDefault="000005D5">
            <w:r w:rsidRPr="0076137B">
              <w:t>2003</w:t>
            </w:r>
          </w:p>
        </w:tc>
      </w:tr>
      <w:tr w:rsidR="00000000" w:rsidRPr="0076137B">
        <w:tblPrEx>
          <w:tblCellMar>
            <w:top w:w="0" w:type="dxa"/>
            <w:bottom w:w="0" w:type="dxa"/>
          </w:tblCellMar>
        </w:tblPrEx>
        <w:tc>
          <w:tcPr>
            <w:tcW w:w="3756" w:type="dxa"/>
          </w:tcPr>
          <w:p w:rsidR="000005D5" w:rsidRPr="0076137B" w:rsidRDefault="000005D5">
            <w:pPr>
              <w:pStyle w:val="Tabell"/>
              <w:jc w:val="left"/>
            </w:pPr>
          </w:p>
          <w:p w:rsidR="000005D5" w:rsidRPr="0076137B" w:rsidRDefault="000005D5">
            <w:pPr>
              <w:pStyle w:val="Tabell"/>
              <w:jc w:val="left"/>
            </w:pPr>
            <w:r w:rsidRPr="0076137B">
              <w:t>Förslag i budgetpropositionen (prop. 2000/01:1)</w:t>
            </w:r>
          </w:p>
        </w:tc>
        <w:tc>
          <w:tcPr>
            <w:tcW w:w="850" w:type="dxa"/>
          </w:tcPr>
          <w:p w:rsidR="000005D5" w:rsidRPr="0076137B" w:rsidRDefault="000005D5">
            <w:pPr>
              <w:pStyle w:val="Tabell"/>
              <w:tabs>
                <w:tab w:val="decimal" w:pos="639"/>
              </w:tabs>
              <w:jc w:val="left"/>
            </w:pPr>
          </w:p>
          <w:p w:rsidR="000005D5" w:rsidRPr="0076137B" w:rsidRDefault="000005D5">
            <w:pPr>
              <w:pStyle w:val="Tabell"/>
              <w:tabs>
                <w:tab w:val="decimal" w:pos="639"/>
              </w:tabs>
              <w:jc w:val="left"/>
            </w:pPr>
            <w:r w:rsidRPr="0076137B">
              <w:t>23 973</w:t>
            </w:r>
          </w:p>
        </w:tc>
        <w:tc>
          <w:tcPr>
            <w:tcW w:w="709" w:type="dxa"/>
          </w:tcPr>
          <w:p w:rsidR="000005D5" w:rsidRPr="0076137B" w:rsidRDefault="000005D5">
            <w:pPr>
              <w:pStyle w:val="Tabell"/>
              <w:jc w:val="right"/>
            </w:pPr>
          </w:p>
          <w:p w:rsidR="000005D5" w:rsidRPr="0076137B" w:rsidRDefault="000005D5">
            <w:pPr>
              <w:pStyle w:val="Tabell"/>
              <w:jc w:val="right"/>
            </w:pPr>
            <w:r w:rsidRPr="0076137B">
              <w:t>25 082</w:t>
            </w:r>
          </w:p>
        </w:tc>
        <w:tc>
          <w:tcPr>
            <w:tcW w:w="722" w:type="dxa"/>
          </w:tcPr>
          <w:p w:rsidR="000005D5" w:rsidRPr="0076137B" w:rsidRDefault="000005D5">
            <w:pPr>
              <w:pStyle w:val="Tabell"/>
              <w:jc w:val="right"/>
            </w:pPr>
          </w:p>
          <w:p w:rsidR="000005D5" w:rsidRPr="0076137B" w:rsidRDefault="000005D5">
            <w:pPr>
              <w:pStyle w:val="Tabell"/>
              <w:jc w:val="right"/>
            </w:pPr>
            <w:r w:rsidRPr="0076137B">
              <w:t>25 726</w:t>
            </w:r>
          </w:p>
        </w:tc>
      </w:tr>
      <w:tr w:rsidR="00000000" w:rsidRPr="0076137B">
        <w:tblPrEx>
          <w:tblCellMar>
            <w:top w:w="0" w:type="dxa"/>
            <w:bottom w:w="0" w:type="dxa"/>
          </w:tblCellMar>
        </w:tblPrEx>
        <w:tc>
          <w:tcPr>
            <w:tcW w:w="3756" w:type="dxa"/>
          </w:tcPr>
          <w:p w:rsidR="000005D5" w:rsidRPr="0076137B" w:rsidRDefault="000005D5">
            <w:pPr>
              <w:pStyle w:val="Tabell"/>
              <w:rPr>
                <w:i/>
              </w:rPr>
            </w:pPr>
          </w:p>
          <w:p w:rsidR="000005D5" w:rsidRPr="0076137B" w:rsidRDefault="000005D5">
            <w:pPr>
              <w:pStyle w:val="Tabell"/>
              <w:rPr>
                <w:i/>
              </w:rPr>
            </w:pPr>
            <w:r w:rsidRPr="0076137B">
              <w:rPr>
                <w:i/>
              </w:rPr>
              <w:t xml:space="preserve">Ändringsförslag: </w:t>
            </w:r>
          </w:p>
        </w:tc>
        <w:tc>
          <w:tcPr>
            <w:tcW w:w="850" w:type="dxa"/>
          </w:tcPr>
          <w:p w:rsidR="000005D5" w:rsidRPr="0076137B" w:rsidRDefault="000005D5">
            <w:pPr>
              <w:pStyle w:val="Tabell"/>
              <w:tabs>
                <w:tab w:val="decimal" w:pos="639"/>
              </w:tabs>
              <w:jc w:val="left"/>
            </w:pPr>
          </w:p>
        </w:tc>
        <w:tc>
          <w:tcPr>
            <w:tcW w:w="709" w:type="dxa"/>
          </w:tcPr>
          <w:p w:rsidR="000005D5" w:rsidRPr="0076137B" w:rsidRDefault="000005D5">
            <w:pPr>
              <w:pStyle w:val="Tabell"/>
              <w:jc w:val="right"/>
            </w:pPr>
          </w:p>
        </w:tc>
        <w:tc>
          <w:tcPr>
            <w:tcW w:w="722" w:type="dxa"/>
          </w:tcPr>
          <w:p w:rsidR="000005D5" w:rsidRPr="0076137B" w:rsidRDefault="000005D5">
            <w:pPr>
              <w:pStyle w:val="Tabell"/>
              <w:jc w:val="right"/>
            </w:pPr>
          </w:p>
        </w:tc>
      </w:tr>
      <w:tr w:rsidR="00000000" w:rsidRPr="0076137B">
        <w:tblPrEx>
          <w:tblCellMar>
            <w:top w:w="0" w:type="dxa"/>
            <w:bottom w:w="0" w:type="dxa"/>
          </w:tblCellMar>
        </w:tblPrEx>
        <w:tc>
          <w:tcPr>
            <w:tcW w:w="3756" w:type="dxa"/>
          </w:tcPr>
          <w:p w:rsidR="000005D5" w:rsidRPr="0076137B" w:rsidRDefault="000005D5">
            <w:pPr>
              <w:pStyle w:val="Tabell"/>
            </w:pPr>
            <w:r w:rsidRPr="0076137B">
              <w:t xml:space="preserve">Fi208 yrkandena 5 och 6 (m) </w:t>
            </w:r>
          </w:p>
        </w:tc>
        <w:tc>
          <w:tcPr>
            <w:tcW w:w="850" w:type="dxa"/>
          </w:tcPr>
          <w:p w:rsidR="000005D5" w:rsidRPr="0076137B" w:rsidRDefault="000005D5">
            <w:pPr>
              <w:pStyle w:val="Tabell"/>
              <w:tabs>
                <w:tab w:val="decimal" w:pos="639"/>
              </w:tabs>
              <w:jc w:val="left"/>
            </w:pPr>
            <w:r w:rsidRPr="0076137B">
              <w:t>+1 034,2</w:t>
            </w:r>
          </w:p>
        </w:tc>
        <w:tc>
          <w:tcPr>
            <w:tcW w:w="709" w:type="dxa"/>
          </w:tcPr>
          <w:p w:rsidR="000005D5" w:rsidRPr="0076137B" w:rsidRDefault="000005D5">
            <w:pPr>
              <w:pStyle w:val="Tabell"/>
              <w:jc w:val="right"/>
            </w:pPr>
            <w:r w:rsidRPr="0076137B">
              <w:t>+869</w:t>
            </w:r>
          </w:p>
        </w:tc>
        <w:tc>
          <w:tcPr>
            <w:tcW w:w="722" w:type="dxa"/>
          </w:tcPr>
          <w:p w:rsidR="000005D5" w:rsidRPr="0076137B" w:rsidRDefault="000005D5">
            <w:pPr>
              <w:pStyle w:val="Tabell"/>
              <w:jc w:val="right"/>
            </w:pPr>
            <w:r w:rsidRPr="0076137B">
              <w:t>+868</w:t>
            </w:r>
          </w:p>
        </w:tc>
      </w:tr>
      <w:tr w:rsidR="00000000" w:rsidRPr="0076137B">
        <w:tblPrEx>
          <w:tblCellMar>
            <w:top w:w="0" w:type="dxa"/>
            <w:bottom w:w="0" w:type="dxa"/>
          </w:tblCellMar>
        </w:tblPrEx>
        <w:tc>
          <w:tcPr>
            <w:tcW w:w="3756" w:type="dxa"/>
          </w:tcPr>
          <w:p w:rsidR="000005D5" w:rsidRPr="0076137B" w:rsidRDefault="000005D5">
            <w:pPr>
              <w:pStyle w:val="Tabell"/>
            </w:pPr>
            <w:r w:rsidRPr="0076137B">
              <w:t>(v)</w:t>
            </w:r>
          </w:p>
        </w:tc>
        <w:tc>
          <w:tcPr>
            <w:tcW w:w="850" w:type="dxa"/>
          </w:tcPr>
          <w:p w:rsidR="000005D5" w:rsidRPr="0076137B" w:rsidRDefault="000005D5">
            <w:pPr>
              <w:pStyle w:val="Tabell"/>
              <w:tabs>
                <w:tab w:val="decimal" w:pos="639"/>
              </w:tabs>
              <w:jc w:val="left"/>
            </w:pPr>
            <w:r w:rsidRPr="0076137B">
              <w:t xml:space="preserve">0 </w:t>
            </w:r>
          </w:p>
        </w:tc>
        <w:tc>
          <w:tcPr>
            <w:tcW w:w="709" w:type="dxa"/>
          </w:tcPr>
          <w:p w:rsidR="000005D5" w:rsidRPr="0076137B" w:rsidRDefault="000005D5">
            <w:pPr>
              <w:pStyle w:val="Tabell"/>
              <w:jc w:val="right"/>
            </w:pPr>
            <w:r w:rsidRPr="0076137B">
              <w:t>0</w:t>
            </w:r>
          </w:p>
        </w:tc>
        <w:tc>
          <w:tcPr>
            <w:tcW w:w="722" w:type="dxa"/>
          </w:tcPr>
          <w:p w:rsidR="000005D5" w:rsidRPr="0076137B" w:rsidRDefault="000005D5">
            <w:pPr>
              <w:pStyle w:val="Tabell"/>
              <w:jc w:val="right"/>
            </w:pPr>
            <w:r w:rsidRPr="0076137B">
              <w:t>0</w:t>
            </w:r>
          </w:p>
        </w:tc>
      </w:tr>
      <w:tr w:rsidR="00000000" w:rsidRPr="0076137B">
        <w:tblPrEx>
          <w:tblCellMar>
            <w:top w:w="0" w:type="dxa"/>
            <w:bottom w:w="0" w:type="dxa"/>
          </w:tblCellMar>
        </w:tblPrEx>
        <w:tc>
          <w:tcPr>
            <w:tcW w:w="3756" w:type="dxa"/>
          </w:tcPr>
          <w:p w:rsidR="000005D5" w:rsidRPr="0076137B" w:rsidRDefault="000005D5">
            <w:pPr>
              <w:pStyle w:val="Tabell"/>
            </w:pPr>
            <w:r w:rsidRPr="0076137B">
              <w:t>Fi209 yrkandena 6 och 7 (kd)</w:t>
            </w:r>
          </w:p>
        </w:tc>
        <w:tc>
          <w:tcPr>
            <w:tcW w:w="850" w:type="dxa"/>
          </w:tcPr>
          <w:p w:rsidR="000005D5" w:rsidRPr="0076137B" w:rsidRDefault="000005D5">
            <w:pPr>
              <w:pStyle w:val="Tabell"/>
              <w:tabs>
                <w:tab w:val="decimal" w:pos="639"/>
              </w:tabs>
              <w:jc w:val="left"/>
            </w:pPr>
            <w:r w:rsidRPr="0076137B">
              <w:t xml:space="preserve">+1 000 </w:t>
            </w:r>
          </w:p>
        </w:tc>
        <w:tc>
          <w:tcPr>
            <w:tcW w:w="709" w:type="dxa"/>
          </w:tcPr>
          <w:p w:rsidR="000005D5" w:rsidRPr="0076137B" w:rsidRDefault="000005D5">
            <w:pPr>
              <w:pStyle w:val="Tabell"/>
              <w:jc w:val="right"/>
            </w:pPr>
            <w:r w:rsidRPr="0076137B">
              <w:t>+1 000</w:t>
            </w:r>
          </w:p>
        </w:tc>
        <w:tc>
          <w:tcPr>
            <w:tcW w:w="722" w:type="dxa"/>
          </w:tcPr>
          <w:p w:rsidR="000005D5" w:rsidRPr="0076137B" w:rsidRDefault="000005D5">
            <w:pPr>
              <w:pStyle w:val="Tabell"/>
              <w:jc w:val="right"/>
            </w:pPr>
            <w:r w:rsidRPr="0076137B">
              <w:t>+1 000</w:t>
            </w:r>
          </w:p>
        </w:tc>
      </w:tr>
      <w:tr w:rsidR="00000000" w:rsidRPr="0076137B">
        <w:tblPrEx>
          <w:tblCellMar>
            <w:top w:w="0" w:type="dxa"/>
            <w:bottom w:w="0" w:type="dxa"/>
          </w:tblCellMar>
        </w:tblPrEx>
        <w:tc>
          <w:tcPr>
            <w:tcW w:w="3756" w:type="dxa"/>
          </w:tcPr>
          <w:p w:rsidR="000005D5" w:rsidRPr="0076137B" w:rsidRDefault="000005D5">
            <w:pPr>
              <w:pStyle w:val="Tabell"/>
            </w:pPr>
            <w:r w:rsidRPr="0076137B">
              <w:t>Fi210 yrkandena 4 och 5 (c)</w:t>
            </w:r>
          </w:p>
        </w:tc>
        <w:tc>
          <w:tcPr>
            <w:tcW w:w="850" w:type="dxa"/>
          </w:tcPr>
          <w:p w:rsidR="000005D5" w:rsidRPr="0076137B" w:rsidRDefault="000005D5">
            <w:pPr>
              <w:pStyle w:val="Tabell"/>
              <w:tabs>
                <w:tab w:val="decimal" w:pos="639"/>
              </w:tabs>
              <w:jc w:val="left"/>
            </w:pPr>
            <w:r w:rsidRPr="0076137B">
              <w:t xml:space="preserve">+260 </w:t>
            </w:r>
          </w:p>
        </w:tc>
        <w:tc>
          <w:tcPr>
            <w:tcW w:w="709" w:type="dxa"/>
          </w:tcPr>
          <w:p w:rsidR="000005D5" w:rsidRPr="0076137B" w:rsidRDefault="000005D5">
            <w:pPr>
              <w:pStyle w:val="Tabell"/>
              <w:jc w:val="right"/>
            </w:pPr>
            <w:r w:rsidRPr="0076137B">
              <w:t>+320</w:t>
            </w:r>
          </w:p>
        </w:tc>
        <w:tc>
          <w:tcPr>
            <w:tcW w:w="722" w:type="dxa"/>
          </w:tcPr>
          <w:p w:rsidR="000005D5" w:rsidRPr="0076137B" w:rsidRDefault="000005D5">
            <w:pPr>
              <w:pStyle w:val="Tabell"/>
              <w:jc w:val="right"/>
            </w:pPr>
            <w:r w:rsidRPr="0076137B">
              <w:t>+410</w:t>
            </w:r>
          </w:p>
        </w:tc>
      </w:tr>
      <w:tr w:rsidR="00000000" w:rsidRPr="0076137B">
        <w:tblPrEx>
          <w:tblCellMar>
            <w:top w:w="0" w:type="dxa"/>
            <w:bottom w:w="0" w:type="dxa"/>
          </w:tblCellMar>
        </w:tblPrEx>
        <w:tc>
          <w:tcPr>
            <w:tcW w:w="3756" w:type="dxa"/>
          </w:tcPr>
          <w:p w:rsidR="000005D5" w:rsidRPr="0076137B" w:rsidRDefault="000005D5">
            <w:pPr>
              <w:pStyle w:val="Tabell"/>
            </w:pPr>
            <w:r w:rsidRPr="0076137B">
              <w:t>Fi211 yrkandena 6 och 8 (fp)</w:t>
            </w:r>
          </w:p>
        </w:tc>
        <w:tc>
          <w:tcPr>
            <w:tcW w:w="850" w:type="dxa"/>
          </w:tcPr>
          <w:p w:rsidR="000005D5" w:rsidRPr="0076137B" w:rsidRDefault="000005D5">
            <w:pPr>
              <w:pStyle w:val="Tabell"/>
              <w:tabs>
                <w:tab w:val="decimal" w:pos="639"/>
              </w:tabs>
              <w:jc w:val="left"/>
            </w:pPr>
            <w:r w:rsidRPr="0076137B">
              <w:t xml:space="preserve">+402 </w:t>
            </w:r>
          </w:p>
        </w:tc>
        <w:tc>
          <w:tcPr>
            <w:tcW w:w="709" w:type="dxa"/>
          </w:tcPr>
          <w:p w:rsidR="000005D5" w:rsidRPr="0076137B" w:rsidRDefault="000005D5">
            <w:pPr>
              <w:pStyle w:val="Tabell"/>
              <w:jc w:val="right"/>
            </w:pPr>
            <w:r w:rsidRPr="0076137B">
              <w:t>+482</w:t>
            </w:r>
          </w:p>
        </w:tc>
        <w:tc>
          <w:tcPr>
            <w:tcW w:w="722" w:type="dxa"/>
          </w:tcPr>
          <w:p w:rsidR="000005D5" w:rsidRPr="0076137B" w:rsidRDefault="000005D5">
            <w:pPr>
              <w:pStyle w:val="Tabell"/>
              <w:jc w:val="right"/>
            </w:pPr>
            <w:r w:rsidRPr="0076137B">
              <w:t>+482</w:t>
            </w:r>
          </w:p>
        </w:tc>
      </w:tr>
      <w:tr w:rsidR="00000000" w:rsidRPr="0076137B">
        <w:tblPrEx>
          <w:tblCellMar>
            <w:top w:w="0" w:type="dxa"/>
            <w:bottom w:w="0" w:type="dxa"/>
          </w:tblCellMar>
        </w:tblPrEx>
        <w:tc>
          <w:tcPr>
            <w:tcW w:w="3756" w:type="dxa"/>
          </w:tcPr>
          <w:p w:rsidR="000005D5" w:rsidRPr="0076137B" w:rsidRDefault="000005D5">
            <w:pPr>
              <w:pStyle w:val="Tabell"/>
            </w:pPr>
            <w:r w:rsidRPr="0076137B">
              <w:t xml:space="preserve">(mp) </w:t>
            </w:r>
          </w:p>
        </w:tc>
        <w:tc>
          <w:tcPr>
            <w:tcW w:w="850" w:type="dxa"/>
          </w:tcPr>
          <w:p w:rsidR="000005D5" w:rsidRPr="0076137B" w:rsidRDefault="000005D5">
            <w:pPr>
              <w:pStyle w:val="Tabell"/>
              <w:tabs>
                <w:tab w:val="decimal" w:pos="639"/>
              </w:tabs>
              <w:jc w:val="left"/>
            </w:pPr>
            <w:r w:rsidRPr="0076137B">
              <w:t xml:space="preserve">0 </w:t>
            </w:r>
          </w:p>
        </w:tc>
        <w:tc>
          <w:tcPr>
            <w:tcW w:w="709" w:type="dxa"/>
          </w:tcPr>
          <w:p w:rsidR="000005D5" w:rsidRPr="0076137B" w:rsidRDefault="000005D5">
            <w:pPr>
              <w:pStyle w:val="Tabell"/>
              <w:jc w:val="right"/>
            </w:pPr>
            <w:r w:rsidRPr="0076137B">
              <w:t>0</w:t>
            </w:r>
          </w:p>
        </w:tc>
        <w:tc>
          <w:tcPr>
            <w:tcW w:w="722" w:type="dxa"/>
          </w:tcPr>
          <w:p w:rsidR="000005D5" w:rsidRPr="0076137B" w:rsidRDefault="000005D5">
            <w:pPr>
              <w:pStyle w:val="Tabell"/>
              <w:jc w:val="right"/>
            </w:pPr>
            <w:r w:rsidRPr="0076137B">
              <w:t>0</w:t>
            </w:r>
          </w:p>
        </w:tc>
      </w:tr>
    </w:tbl>
    <w:p w:rsidR="000005D5" w:rsidRPr="0076137B" w:rsidRDefault="000005D5"/>
    <w:p w:rsidR="000005D5" w:rsidRPr="0076137B" w:rsidRDefault="000005D5">
      <w:r w:rsidRPr="0076137B">
        <w:t>Regeringen föreslår alltså att rättsväsendets utgiftsram bestäms till knappt 24 miljarder kronor för år 2001 och preliminärt 25,1 respektive 25,7 miljarder för åren 2002 och 2003. Förslaget innebär i enlighet med vad som beslutades i våras att rättsväsendet tillförs 1 000 miljoner kronor för år 2001, 1 500 miljoner kronor för år 2002 och 1 600 miljoner kronor för år 2003. För år 2001 föreslås merparten, 575 miljoner kronor, fördelas till polisorganisati</w:t>
      </w:r>
      <w:r w:rsidRPr="0076137B">
        <w:t>o</w:t>
      </w:r>
      <w:r w:rsidRPr="0076137B">
        <w:t>nen medan huvuddelen av återstoden tillförs kriminalvården, domstolsväse</w:t>
      </w:r>
      <w:r w:rsidRPr="0076137B">
        <w:t>n</w:t>
      </w:r>
      <w:r w:rsidRPr="0076137B">
        <w:t>det och åklagarverksamheten med respektive 271, 120 och 25 miljoner kr</w:t>
      </w:r>
      <w:r w:rsidRPr="0076137B">
        <w:t>o</w:t>
      </w:r>
      <w:r w:rsidRPr="0076137B">
        <w:t>nor. För anslagen till Rättsmedicinalverket och Brottsoffermyndigheten föreslås höjningar med 7 respektive 2 miljoner kronor. En i stora drag mo</w:t>
      </w:r>
      <w:r w:rsidRPr="0076137B">
        <w:t>t</w:t>
      </w:r>
      <w:r w:rsidRPr="0076137B">
        <w:t>svarande fördelning, dock med större tyngdpunkt på polisen, redovisas för de kommande två åren.</w:t>
      </w:r>
      <w:r w:rsidRPr="0076137B">
        <w:rPr>
          <w:sz w:val="20"/>
        </w:rPr>
        <w:t xml:space="preserve"> </w:t>
      </w:r>
      <w:r w:rsidRPr="0076137B">
        <w:t>Härutöver föreslås vissa omfördelningar inom utgift</w:t>
      </w:r>
      <w:r w:rsidRPr="0076137B">
        <w:t>s</w:t>
      </w:r>
      <w:r w:rsidRPr="0076137B">
        <w:t>området respektive mellan utgiftsområde 4 och andra utgiftsområden. Slutl</w:t>
      </w:r>
      <w:r w:rsidRPr="0076137B">
        <w:t>i</w:t>
      </w:r>
      <w:r w:rsidRPr="0076137B">
        <w:t xml:space="preserve">gen föreslås vissa tekniska justeringar, bl.a. pris- och löneomräkning. </w:t>
      </w:r>
    </w:p>
    <w:p w:rsidR="000005D5" w:rsidRPr="0076137B" w:rsidRDefault="000005D5">
      <w:pPr>
        <w:pStyle w:val="Normaltindrag"/>
      </w:pPr>
      <w:r w:rsidRPr="0076137B">
        <w:t>Regeringen konstaterar att den ekonomiska situationen inom rättsväsendet är ansträngd och att den, som uttalades i 2000 års ekonomiska vårpropos</w:t>
      </w:r>
      <w:r w:rsidRPr="0076137B">
        <w:t>i</w:t>
      </w:r>
      <w:r w:rsidRPr="0076137B">
        <w:t>tion, noga kommer att följa rättsväsendets verksamhet och resultat och åte</w:t>
      </w:r>
      <w:r w:rsidRPr="0076137B">
        <w:t>r</w:t>
      </w:r>
      <w:r w:rsidRPr="0076137B">
        <w:t>komma till riksdagen om de ytterligare insatser som erfordras för att fullfölja stat</w:t>
      </w:r>
      <w:r w:rsidRPr="0076137B">
        <w:t>s</w:t>
      </w:r>
      <w:r w:rsidRPr="0076137B">
        <w:t>makternas intentioner i fråga om utvecklingen av rättsväsendet.</w:t>
      </w:r>
    </w:p>
    <w:p w:rsidR="000005D5" w:rsidRPr="0076137B" w:rsidRDefault="000005D5">
      <w:pPr>
        <w:pStyle w:val="Normaltindrag"/>
      </w:pPr>
      <w:r w:rsidRPr="0076137B">
        <w:t>Regeringens förslag bygger på att moderniseringen av rättsväsendet skall fortsätta och att medborgarperspektivet därvid skall vara en utgångspunkt. Nyttan för den enskilde medborgaren av tilltänkta förändringar och reformer skall stå i fokus. Rättsväsendet skall alltså målmedvetet utvec</w:t>
      </w:r>
      <w:r w:rsidRPr="0076137B">
        <w:t>klas mot ba</w:t>
      </w:r>
      <w:r w:rsidRPr="0076137B">
        <w:t>k</w:t>
      </w:r>
      <w:r w:rsidRPr="0076137B">
        <w:t>grund av medborgarnas behov och samhällets utveckling så att det även i morgondagens samhälle kan fungera som rättsstatens garant för medborga</w:t>
      </w:r>
      <w:r w:rsidRPr="0076137B">
        <w:t>r</w:t>
      </w:r>
      <w:r w:rsidRPr="0076137B">
        <w:t xml:space="preserve">nas rättssäkerhet och rättstrygghet. </w:t>
      </w:r>
    </w:p>
    <w:p w:rsidR="000005D5" w:rsidRPr="0076137B" w:rsidRDefault="000005D5">
      <w:pPr>
        <w:pStyle w:val="Normaltindrag"/>
        <w:rPr>
          <w:sz w:val="20"/>
        </w:rPr>
      </w:pPr>
      <w:r w:rsidRPr="0076137B">
        <w:rPr>
          <w:sz w:val="20"/>
        </w:rPr>
        <w:t>Regeringens förslag för åren 2002 och 2003 innebär en ytterligare kraftig förstärkning av rättsväsendet med en än starkare tyngdpunkt på pol</w:t>
      </w:r>
      <w:r w:rsidRPr="0076137B">
        <w:rPr>
          <w:sz w:val="20"/>
        </w:rPr>
        <w:t>i</w:t>
      </w:r>
      <w:r w:rsidRPr="0076137B">
        <w:rPr>
          <w:sz w:val="20"/>
        </w:rPr>
        <w:t xml:space="preserve">sens behov. </w:t>
      </w:r>
    </w:p>
    <w:p w:rsidR="000005D5" w:rsidRPr="0076137B" w:rsidRDefault="000005D5">
      <w:pPr>
        <w:pStyle w:val="Normaltindrag"/>
      </w:pPr>
      <w:r w:rsidRPr="0076137B">
        <w:rPr>
          <w:sz w:val="20"/>
        </w:rPr>
        <w:t>I inledningen till detta yttrande har redovisats Moderata samlingpart</w:t>
      </w:r>
      <w:r w:rsidRPr="0076137B">
        <w:rPr>
          <w:sz w:val="20"/>
        </w:rPr>
        <w:t>i</w:t>
      </w:r>
      <w:r w:rsidRPr="0076137B">
        <w:rPr>
          <w:sz w:val="20"/>
        </w:rPr>
        <w:t>ets, Kristdemokraternas, Centerpartiets och Folkpartiet liberalernas y</w:t>
      </w:r>
      <w:r w:rsidRPr="0076137B">
        <w:rPr>
          <w:sz w:val="20"/>
        </w:rPr>
        <w:t>r</w:t>
      </w:r>
      <w:r w:rsidRPr="0076137B">
        <w:rPr>
          <w:sz w:val="20"/>
        </w:rPr>
        <w:t>kanden om ramar för rättsväsendet i motionerna Fi208 (m), Fi209 (kd), Fi210 (c) respektive Fi211 (fp). Motionsyrkandena bygger på att de fyra partierna gjort andra bedömningar av behoven inom respektive anslag än regerin</w:t>
      </w:r>
      <w:r w:rsidRPr="0076137B">
        <w:rPr>
          <w:sz w:val="20"/>
        </w:rPr>
        <w:t>g</w:t>
      </w:r>
      <w:r w:rsidRPr="0076137B">
        <w:rPr>
          <w:sz w:val="20"/>
        </w:rPr>
        <w:t>en.</w:t>
      </w:r>
    </w:p>
    <w:p w:rsidR="000005D5" w:rsidRPr="0076137B" w:rsidRDefault="000005D5">
      <w:pPr>
        <w:pStyle w:val="Normaltindrag"/>
      </w:pPr>
      <w:r w:rsidRPr="0076137B">
        <w:t xml:space="preserve"> I motion Fi208 (m) föreslås att utgiftsramen för år 2001 skall ökas med drygt 1 000 miljoner kronor jämfört med regeringens förslag. Härav skulle 895 miljoner kronor tillföras polisorganisationen, 80 miljoner krono</w:t>
      </w:r>
      <w:r w:rsidRPr="0076137B">
        <w:t>r do</w:t>
      </w:r>
      <w:r w:rsidRPr="0076137B">
        <w:t>m</w:t>
      </w:r>
      <w:r w:rsidRPr="0076137B">
        <w:t>stolsväsendet och knappt 70 miljoner kronor kriminalvården. Förslaget inn</w:t>
      </w:r>
      <w:r w:rsidRPr="0076137B">
        <w:t>e</w:t>
      </w:r>
      <w:r w:rsidRPr="0076137B">
        <w:t>håller också förstärkningar till åklagarorganisationen och Rättsmedicinalve</w:t>
      </w:r>
      <w:r w:rsidRPr="0076137B">
        <w:t>r</w:t>
      </w:r>
      <w:r w:rsidRPr="0076137B">
        <w:t>ket och en minskning av anslaget till kronofogdemyndigheterna. Förslagen följs i stort upp avseende åren 2002 och 2003.</w:t>
      </w:r>
    </w:p>
    <w:p w:rsidR="000005D5" w:rsidRPr="0076137B" w:rsidRDefault="000005D5">
      <w:pPr>
        <w:pStyle w:val="Normaltindrag"/>
      </w:pPr>
      <w:r w:rsidRPr="0076137B">
        <w:t xml:space="preserve">I motion Fi209 (kd) föreslås att utgiftsramen för år 2001 skall ökas med </w:t>
      </w:r>
      <w:r w:rsidRPr="0076137B">
        <w:br/>
        <w:t>1 000 miljoner kronor jämfört med regeringens förslag. Härav skulle 290 miljoner kronor tillföras polisorganisationen, 350 miljoner kronor tillföras domstolsväsendet och 250 miljoner kronor tillföras kriminalvården. Försl</w:t>
      </w:r>
      <w:r w:rsidRPr="0076137B">
        <w:t>a</w:t>
      </w:r>
      <w:r w:rsidRPr="0076137B">
        <w:t>get innehåller också förstärkningar till åklagarorganisationen, bidrag till brottsförebyggande arbete och Brottsoffermyndigheten. Förslagen följs i stort upp avseende åren 2002 och 2003.</w:t>
      </w:r>
    </w:p>
    <w:p w:rsidR="000005D5" w:rsidRPr="0076137B" w:rsidRDefault="000005D5">
      <w:pPr>
        <w:pStyle w:val="Normaltindrag"/>
      </w:pPr>
      <w:r w:rsidRPr="0076137B">
        <w:t>I motion Fi210 (c) föreslås att utgiftsramen för år 2001 skall ökas med 260 miljoner kronor. Härav sku</w:t>
      </w:r>
      <w:r w:rsidRPr="0076137B">
        <w:t>lle 200 miljoner kronor tillföras polisorganisati</w:t>
      </w:r>
      <w:r w:rsidRPr="0076137B">
        <w:t>o</w:t>
      </w:r>
      <w:r w:rsidRPr="0076137B">
        <w:t>en, 59,5 miljoner kronor tillföras kriminalvården och 0,5 miljoner kronor tillföras Brottsoffermyndigheten. Förslagen följs i stort upp avseende åren 2002 och 2003.</w:t>
      </w:r>
    </w:p>
    <w:p w:rsidR="000005D5" w:rsidRPr="0076137B" w:rsidRDefault="000005D5">
      <w:pPr>
        <w:pStyle w:val="Normaltindrag"/>
      </w:pPr>
      <w:r w:rsidRPr="0076137B">
        <w:t>I motion Fi211 (fp) föreslås att utgiftsramen för år 2001 skall ökas med 402 miljoner kronor. Härav skulle 220 miljoner kronor tillföras polisorgan</w:t>
      </w:r>
      <w:r w:rsidRPr="0076137B">
        <w:t>i</w:t>
      </w:r>
      <w:r w:rsidRPr="0076137B">
        <w:t>sationen, 100 miljoner kronor tillföras domstolsväsendet och 56 miljoner kronor anslaget till rättshjälpskostnader – det sistnämnda beloppet i syfte att återställa rättshjälpsförmånerna till vad som gällde före den 1 december 1997. Förslaget innehåller också förstärkningar till åklagarorganisationen och Brottsoffermyndigheten med 10 respektive 16 miljoner kronor. Försl</w:t>
      </w:r>
      <w:r w:rsidRPr="0076137B">
        <w:t>a</w:t>
      </w:r>
      <w:r w:rsidRPr="0076137B">
        <w:t>gen följs i stort upp avseende åren 2001 och 2002.</w:t>
      </w:r>
    </w:p>
    <w:p w:rsidR="000005D5" w:rsidRPr="0076137B" w:rsidRDefault="000005D5">
      <w:pPr>
        <w:pStyle w:val="Normaltindrag"/>
      </w:pPr>
      <w:r w:rsidRPr="0076137B">
        <w:t>Utskottet konstaterar först att regeringens förslag innebär en betydande förstärkning av</w:t>
      </w:r>
      <w:r w:rsidRPr="0076137B">
        <w:t xml:space="preserve"> rättsväsendet. Det handlar om inte mindre än en miljard kronor redan nästa budgetår och 1,5 respektive 1,6 miljarder för de två kommande åren. Sett över hela planeringsperioden kan ändå, som regeringen framhåller (s. 15), den ansträngda ekonomiska situationen inom rättsväsendet göra att utgifterna kan komma att överstiga anslagsramarna under budgetp</w:t>
      </w:r>
      <w:r w:rsidRPr="0076137B">
        <w:t>e</w:t>
      </w:r>
      <w:r w:rsidRPr="0076137B">
        <w:t>rioden. Detta betyder att vissa myndigheters nuvarande anslagskrediter kan vara otillräckliga. Utskottet vill i sammanhanget dock erinra om att utskottet, i li</w:t>
      </w:r>
      <w:r w:rsidRPr="0076137B">
        <w:t>khet med regeringen, anser att förändrings- och rationaliseringsarbetet skall fortsätta. Å andra sidan vill utskottet också erinra om att den kraftfulla satsning som nu görs på polisen bör komma att få effekt även på verksa</w:t>
      </w:r>
      <w:r w:rsidRPr="0076137B">
        <w:t>m</w:t>
      </w:r>
      <w:r w:rsidRPr="0076137B">
        <w:t>heten inom de efterföljande myndigheterna i rättskedjan under planeringsp</w:t>
      </w:r>
      <w:r w:rsidRPr="0076137B">
        <w:t>e</w:t>
      </w:r>
      <w:r w:rsidRPr="0076137B">
        <w:t>rioden. Detta är ägnat att ytterligare förstärka behovet av ett kraftfullt förn</w:t>
      </w:r>
      <w:r w:rsidRPr="0076137B">
        <w:t>y</w:t>
      </w:r>
      <w:r w:rsidRPr="0076137B">
        <w:t>elsearbete. Ändå måste utskottet konstatera att det inte är lätt att förutse det framtida medelsbehovet. Regeringen har, såvitt utskot</w:t>
      </w:r>
      <w:r w:rsidRPr="0076137B">
        <w:t>tet kan förstå, dragit samma slutsats. Regeringen avser således (s.17) att noga följa rättsväsendets verksamhet och resultat och återkomma till riksdagen om de ytterligare i</w:t>
      </w:r>
      <w:r w:rsidRPr="0076137B">
        <w:t>n</w:t>
      </w:r>
      <w:r w:rsidRPr="0076137B">
        <w:t>satser som erfordras för att fullfölja statsmakternas intentioner för utvec</w:t>
      </w:r>
      <w:r w:rsidRPr="0076137B">
        <w:t>k</w:t>
      </w:r>
      <w:r w:rsidRPr="0076137B">
        <w:t>lingen av rättsväsendet. Utskottet, som delar regeringens bedömningar såväl i fråga om medelsbehovet som i fråga om prioriteringar inom utgiftsområdet, känner mot den bakgrunden ingen oro för att rättsväsendets behov inte skulle tillgodoses också i ett något län</w:t>
      </w:r>
      <w:r w:rsidRPr="0076137B">
        <w:t xml:space="preserve">gre perspektiv. Utskottet tillstyrker alltså regeringens förslag och avstyrker samtliga här aktuella motionsyrkanden. När det gäller yrkandet i motion Fi211 om rättshjälpen vill utskottet tillägga att det enligt utskottets mening inte finns någon anledning för riksdagen att inta någon annan ståndpunkt än att reformens principer står fast. </w:t>
      </w:r>
    </w:p>
    <w:p w:rsidR="000005D5" w:rsidRPr="0076137B" w:rsidRDefault="000005D5">
      <w:pPr>
        <w:pStyle w:val="Normaltindrag"/>
      </w:pPr>
      <w:r w:rsidRPr="0076137B">
        <w:t>Sammanfattningsvis tillstyrker utskottet yrkandena 8 och 10 i budgetpr</w:t>
      </w:r>
      <w:r w:rsidRPr="0076137B">
        <w:t>o</w:t>
      </w:r>
      <w:r w:rsidRPr="0076137B">
        <w:t>positionen för 2001 Förslag till statsbudget, finansplan m.m. och avstyrker motionerna Fi208, Fi209, Fi210 och Fi211 i motsvarande delar såvitt avser utgiftsområde 4.</w:t>
      </w:r>
    </w:p>
    <w:p w:rsidR="000005D5" w:rsidRPr="0076137B" w:rsidRDefault="000005D5"/>
    <w:p w:rsidR="000005D5" w:rsidRPr="0076137B" w:rsidRDefault="000005D5"/>
    <w:p w:rsidR="000005D5" w:rsidRPr="0076137B" w:rsidRDefault="000005D5">
      <w:pPr>
        <w:pStyle w:val="Stockholm"/>
        <w:outlineLvl w:val="0"/>
      </w:pPr>
      <w:r w:rsidRPr="0076137B">
        <w:t xml:space="preserve">Stockholm den 24 oktober 2000 </w:t>
      </w:r>
    </w:p>
    <w:p w:rsidR="000005D5" w:rsidRPr="0076137B" w:rsidRDefault="000005D5">
      <w:pPr>
        <w:pStyle w:val="Vgnar"/>
      </w:pPr>
      <w:r w:rsidRPr="0076137B">
        <w:t>På justitieutskottets vägnar</w:t>
      </w:r>
    </w:p>
    <w:p w:rsidR="000005D5" w:rsidRPr="0076137B" w:rsidRDefault="000005D5">
      <w:pPr>
        <w:pStyle w:val="Ordfnamn"/>
      </w:pPr>
      <w:bookmarkStart w:id="27" w:name="Ordförande"/>
      <w:bookmarkEnd w:id="27"/>
      <w:r w:rsidRPr="0076137B">
        <w:t xml:space="preserve">Gun Hellsvik </w:t>
      </w:r>
    </w:p>
    <w:p w:rsidR="000005D5" w:rsidRPr="0076137B" w:rsidRDefault="000005D5"/>
    <w:p w:rsidR="000005D5" w:rsidRPr="0076137B" w:rsidRDefault="000005D5">
      <w:pPr>
        <w:pStyle w:val="Deltagare"/>
      </w:pPr>
      <w:bookmarkStart w:id="28" w:name="Deltagare"/>
      <w:bookmarkEnd w:id="28"/>
      <w:r w:rsidRPr="0076137B">
        <w:t>I beslutet har deltagit: Gun Hellsvik (m), Ingvar Johnsson (s), Margareta Sandgren (s), Ingemar Vänerlöv (kd), Ann-Marie Fagerström (s), Maud Ekendahl (m), Helena Zakariasén (s), Morgan Johansson (s), Yvonne O</w:t>
      </w:r>
      <w:r w:rsidRPr="0076137B">
        <w:t>s</w:t>
      </w:r>
      <w:r w:rsidRPr="0076137B">
        <w:t>carsson (v), Ragnwi Marcelind (kd), Jeppe Johnsson (m), Kia Andreasson (mp), Gunnel Wallin (c), Göran Norlander (s), Anita Sidén (m) och Johan Pehrson (fp).</w:t>
      </w:r>
    </w:p>
    <w:p w:rsidR="000005D5" w:rsidRPr="0076137B" w:rsidRDefault="000005D5">
      <w:pPr>
        <w:pStyle w:val="Normaltindrag"/>
      </w:pPr>
    </w:p>
    <w:p w:rsidR="000005D5" w:rsidRPr="0076137B" w:rsidRDefault="000005D5">
      <w:pPr>
        <w:pStyle w:val="Rubrik1"/>
      </w:pPr>
      <w:bookmarkStart w:id="29" w:name="_Toc497104488"/>
      <w:r w:rsidRPr="0076137B">
        <w:t>Avvikande meningar</w:t>
      </w:r>
      <w:bookmarkEnd w:id="29"/>
    </w:p>
    <w:p w:rsidR="000005D5" w:rsidRPr="0076137B" w:rsidRDefault="000005D5">
      <w:r w:rsidRPr="0076137B">
        <w:t>1. Gun Hellsvik (m), Maud Ekendahl (m), Jeppe Johnsson (m) och Anita Sidén (m) anför:</w:t>
      </w:r>
    </w:p>
    <w:p w:rsidR="000005D5" w:rsidRPr="0076137B" w:rsidRDefault="000005D5">
      <w:pPr>
        <w:pStyle w:val="Normaltindrag"/>
      </w:pPr>
      <w:r w:rsidRPr="0076137B">
        <w:t>I takt med att rättsväsendet uppvisar allt tydligare tecken på att befinna sig i djup kris har människors tilltro till statsmakterna försvagats. I en rad olika avseenden får medborgarnas behov av rättssäkerhet och rättstrygghet stå tillbaka därför att de rättsvårdande myndigheterna inte längre klarar av att fullgöra sina uppgifter på ett godtagbart sätt. De eftersatta behoven är på praktiskt taget alla områden stora; detta gäller inte minst polisen där det finns ett mycket stort uppdämt behov av personalfö</w:t>
      </w:r>
      <w:r w:rsidRPr="0076137B">
        <w:t>rstärkning, kompetensutvec</w:t>
      </w:r>
      <w:r w:rsidRPr="0076137B">
        <w:t>k</w:t>
      </w:r>
      <w:r w:rsidRPr="0076137B">
        <w:t>ling och vidareutbildning. Enligt vår bedömning är regeringens förslag till förstärkning av rättsväsendet helt otillräckligt. Vi föreslår alltså att utgift</w:t>
      </w:r>
      <w:r w:rsidRPr="0076137B">
        <w:t>s</w:t>
      </w:r>
      <w:r w:rsidRPr="0076137B">
        <w:t>området för de kommande tre åren tillförs 2,7 miljarder kronor utöver reg</w:t>
      </w:r>
      <w:r w:rsidRPr="0076137B">
        <w:t>e</w:t>
      </w:r>
      <w:r w:rsidRPr="0076137B">
        <w:t>ringens förslag. Härav bör utgiftsramen redan nästa år ökas med drygt 1 034 miljoner kronor. Samtidigt skärper vi kraven när det gäller resultatuppföl</w:t>
      </w:r>
      <w:r w:rsidRPr="0076137B">
        <w:t>j</w:t>
      </w:r>
      <w:r w:rsidRPr="0076137B">
        <w:t xml:space="preserve">ning och gott ledarskap. Enligt vår mening bör finansutskottet alltså tillstyrka motion Fi208 i berörda </w:t>
      </w:r>
      <w:r w:rsidRPr="0076137B">
        <w:t>delar. När det gäller fördelningen på anslag av de extra medel vi föreslår hänvisar vi till motion 2000/01:Ju927 som kommer att behandlas i justitieutskottets budgetbetä</w:t>
      </w:r>
      <w:r w:rsidRPr="0076137B">
        <w:t>n</w:t>
      </w:r>
      <w:r w:rsidRPr="0076137B">
        <w:t>kande 2000/01:JuU1.</w:t>
      </w:r>
    </w:p>
    <w:p w:rsidR="000005D5" w:rsidRPr="0076137B" w:rsidRDefault="000005D5">
      <w:pPr>
        <w:pStyle w:val="Normaltindrag"/>
      </w:pPr>
    </w:p>
    <w:p w:rsidR="000005D5" w:rsidRPr="0076137B" w:rsidRDefault="000005D5">
      <w:r w:rsidRPr="0076137B">
        <w:t>2. Ingemar Vänerlöv (kd) och Ragnwi Marcelind (kd) anför:</w:t>
      </w:r>
    </w:p>
    <w:p w:rsidR="000005D5" w:rsidRPr="0076137B" w:rsidRDefault="000005D5">
      <w:pPr>
        <w:pStyle w:val="Normaltindrag"/>
      </w:pPr>
      <w:r w:rsidRPr="0076137B">
        <w:t>Kristdemokraterna har motsatt sig de nedskärningar som skett inom rätt</w:t>
      </w:r>
      <w:r w:rsidRPr="0076137B">
        <w:t>s</w:t>
      </w:r>
      <w:r w:rsidRPr="0076137B">
        <w:t>väsendet under senare år. De eftersatta behoven är nu mycket stora, särskilt inom de tre största myndigheterna polisen, domstolsväsendet och krimina</w:t>
      </w:r>
      <w:r w:rsidRPr="0076137B">
        <w:t>l</w:t>
      </w:r>
      <w:r w:rsidRPr="0076137B">
        <w:t>vården som sammantaget svarar för över 80 % av verksamheten inom u</w:t>
      </w:r>
      <w:r w:rsidRPr="0076137B">
        <w:t>t</w:t>
      </w:r>
      <w:r w:rsidRPr="0076137B">
        <w:t>giftsområdet. Regeringens förslag i dessa delar innebär inte en tillräcklig prioritering. Även det brottsförebyggande arbetet är eftersatt i regeringens förslag. Med hänvisning till det anförda anser vi att utgiftsramen för rättsv</w:t>
      </w:r>
      <w:r w:rsidRPr="0076137B">
        <w:t>ä</w:t>
      </w:r>
      <w:r w:rsidRPr="0076137B">
        <w:t>sendet för de kommande tre åren bör tillföras 3 miljarder kronor</w:t>
      </w:r>
      <w:r w:rsidRPr="0076137B">
        <w:t xml:space="preserve">  utöver regeringens förslag. Härav bör utgiftsområdet tillföras en miljard kronor redan nästa budgetår. Enligt vår mening bör finansutskottet alltså tillstyrka motion Fi209 i berörda delar. När det gäller fördelningen på anslag av de extra medel vi föreslår hänvisar vi till motion 2000/01:Ju913 som kommer att behandlas i justitieu</w:t>
      </w:r>
      <w:r w:rsidRPr="0076137B">
        <w:t>t</w:t>
      </w:r>
      <w:r w:rsidRPr="0076137B">
        <w:t>skottets budgetbetänkande 2000/01:JuU1.</w:t>
      </w:r>
    </w:p>
    <w:p w:rsidR="000005D5" w:rsidRPr="0076137B" w:rsidRDefault="000005D5">
      <w:pPr>
        <w:pStyle w:val="Normaltindrag"/>
      </w:pPr>
    </w:p>
    <w:p w:rsidR="000005D5" w:rsidRPr="0076137B" w:rsidRDefault="000005D5">
      <w:r w:rsidRPr="0076137B">
        <w:t>3. Gunnel Wallin (c) anför:</w:t>
      </w:r>
    </w:p>
    <w:p w:rsidR="000005D5" w:rsidRPr="0076137B" w:rsidRDefault="000005D5">
      <w:pPr>
        <w:pStyle w:val="Normaltindrag"/>
      </w:pPr>
      <w:r w:rsidRPr="0076137B">
        <w:t>En av statens kärnuppgifter är att tillgodose den enskildes rättssäkerhet och rättstrygghet för att därigenom öka människors trygghet och livskvalitet. Det är av avgörande betydelse att de rättsvårdande myndigheterna ges tillräckliga förutsättningar att fullgöra sina uppgifter. Situationen inom rättsväsendet lämnar dessvärre mycket i övrigt att önska. Resursbristen är särskilt besv</w:t>
      </w:r>
      <w:r w:rsidRPr="0076137B">
        <w:t>ä</w:t>
      </w:r>
      <w:r w:rsidRPr="0076137B">
        <w:t>rande inom polisen, men också inom kriminalvården finns eftersatta behov. Mot den bakgrunden anser jag att utgiftsramen för de kommande tre åren bör tillföras 990 miljoner kronor utöver regeringens förslag. Enligt min mening bör finansutskottet alltså tillstyrka motion Fi210 i berörda delar. När det gäller fördelningen på anslag av de extra medel jag föreslår hänvisar jag till motion 2000/01:Ju926 som kommer att behandlas i justitieutskottets budge</w:t>
      </w:r>
      <w:r w:rsidRPr="0076137B">
        <w:t>t</w:t>
      </w:r>
      <w:r w:rsidRPr="0076137B">
        <w:t>betä</w:t>
      </w:r>
      <w:r w:rsidRPr="0076137B">
        <w:t>n</w:t>
      </w:r>
      <w:r w:rsidRPr="0076137B">
        <w:t>kande 2000/01:JuU1.</w:t>
      </w:r>
    </w:p>
    <w:p w:rsidR="000005D5" w:rsidRPr="0076137B" w:rsidRDefault="000005D5">
      <w:pPr>
        <w:pStyle w:val="Normaltindrag"/>
      </w:pPr>
    </w:p>
    <w:p w:rsidR="000005D5" w:rsidRPr="0076137B" w:rsidRDefault="000005D5">
      <w:r w:rsidRPr="0076137B">
        <w:t>4. Johan Pehrson (fp) anför:</w:t>
      </w:r>
    </w:p>
    <w:p w:rsidR="000005D5" w:rsidRPr="0076137B" w:rsidRDefault="000005D5">
      <w:pPr>
        <w:pStyle w:val="Normaltindrag"/>
      </w:pPr>
      <w:r w:rsidRPr="0076137B">
        <w:t>Att upprätthålla rättsordningen är en av de verkligt genuina uppgifterna för det offentliga. Därför måste det finnas resurser så att uppgifterna kan ful</w:t>
      </w:r>
      <w:r w:rsidRPr="0076137B">
        <w:t>l</w:t>
      </w:r>
      <w:r w:rsidRPr="0076137B">
        <w:t>följas på ett tillfredsställande sätt. Detta är dessvärre inte längre fallet. Det finns en rad eftersatta behov, särskilt inom polisen och domstolsväsendet men också brottsofferverksamheten måste förstärkas. Jag vill också åter upprepa min ståndpunkt att den s.k. rättshjälpsreformen är ett misslyckande och att reglerna bör återföras till vad som gällde före år 1997. Mot den ba</w:t>
      </w:r>
      <w:r w:rsidRPr="0076137B">
        <w:t>k</w:t>
      </w:r>
      <w:r w:rsidRPr="0076137B">
        <w:t xml:space="preserve">grunden anser jag att utgiftsramen för de kommande tre åren bör tillföras 1 366 miljoner kronor utöver regeringens förslag. Enligt </w:t>
      </w:r>
      <w:r w:rsidRPr="0076137B">
        <w:t>min mening bör f</w:t>
      </w:r>
      <w:r w:rsidRPr="0076137B">
        <w:t>i</w:t>
      </w:r>
      <w:r w:rsidRPr="0076137B">
        <w:t>nansutskottet alltså tillstyrka motion Fi211 i berörda delar. När det gäller fördelningen på anslag av de extra medel jag föreslår hänvisar jag till motion 2000/01:Ju933 som kommer att behandlas i justitieutskottets budgetbetä</w:t>
      </w:r>
      <w:r w:rsidRPr="0076137B">
        <w:t>n</w:t>
      </w:r>
      <w:r w:rsidRPr="0076137B">
        <w:t>kande 2000/01:JuU1.</w:t>
      </w:r>
    </w:p>
    <w:p w:rsidR="000005D5" w:rsidRPr="0076137B" w:rsidRDefault="000005D5">
      <w:pPr>
        <w:pStyle w:val="Normaltindrag"/>
      </w:pPr>
    </w:p>
    <w:p w:rsidR="000005D5" w:rsidRPr="0076137B" w:rsidRDefault="000005D5">
      <w:pPr>
        <w:pStyle w:val="Normaltindrag"/>
      </w:pPr>
    </w:p>
    <w:p w:rsidR="000005D5" w:rsidRPr="0076137B" w:rsidRDefault="000005D5">
      <w:pPr>
        <w:pStyle w:val="Normaltindrag"/>
      </w:pPr>
    </w:p>
    <w:p w:rsidR="000005D5" w:rsidRPr="0076137B" w:rsidRDefault="000005D5">
      <w:pPr>
        <w:pStyle w:val="Normaltindrag"/>
      </w:pPr>
    </w:p>
    <w:p w:rsidR="000005D5" w:rsidRPr="0076137B" w:rsidRDefault="000005D5">
      <w:pPr>
        <w:pStyle w:val="Normaltindrag"/>
      </w:pPr>
      <w:bookmarkStart w:id="30" w:name="Nästa_Reservation"/>
      <w:bookmarkEnd w:id="30"/>
    </w:p>
    <w:p w:rsidR="000005D5" w:rsidRPr="0076137B" w:rsidRDefault="000005D5"/>
    <w:p w:rsidR="000005D5" w:rsidRPr="0076137B" w:rsidRDefault="000005D5">
      <w:pPr>
        <w:pStyle w:val="Tryckort"/>
        <w:framePr w:wrap="around"/>
      </w:pPr>
      <w:r w:rsidRPr="0076137B">
        <w:t>Elanders Gotab, Stockholm  2000</w:t>
      </w:r>
    </w:p>
    <w:p w:rsidR="000005D5" w:rsidRPr="0076137B" w:rsidRDefault="000005D5">
      <w:pPr>
        <w:pStyle w:val="Normaltindrag"/>
      </w:pPr>
    </w:p>
    <w:sectPr w:rsidR="000005D5" w:rsidRPr="0076137B">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05D5" w:rsidRPr="0076137B" w:rsidRDefault="000005D5">
      <w:pPr>
        <w:spacing w:before="0" w:line="240" w:lineRule="auto"/>
      </w:pPr>
      <w:r w:rsidRPr="0076137B">
        <w:separator/>
      </w:r>
    </w:p>
  </w:endnote>
  <w:endnote w:type="continuationSeparator" w:id="0">
    <w:p w:rsidR="000005D5" w:rsidRPr="0076137B" w:rsidRDefault="000005D5">
      <w:pPr>
        <w:spacing w:before="0" w:line="240" w:lineRule="auto"/>
      </w:pPr>
      <w:r w:rsidRPr="007613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5D5" w:rsidRPr="0076137B" w:rsidRDefault="000005D5">
    <w:pPr>
      <w:pStyle w:val="SidfotH"/>
      <w:framePr w:wrap="around"/>
    </w:pPr>
    <w:r w:rsidRPr="0076137B">
      <w:fldChar w:fldCharType="begin" w:fldLock="1"/>
    </w:r>
    <w:r w:rsidRPr="0076137B">
      <w:instrText xml:space="preserve"> PAGE </w:instrText>
    </w:r>
    <w:r w:rsidRPr="0076137B">
      <w:fldChar w:fldCharType="separate"/>
    </w:r>
    <w:r w:rsidRPr="0076137B">
      <w:t>1</w:t>
    </w:r>
    <w:r w:rsidRPr="0076137B">
      <w:fldChar w:fldCharType="end"/>
    </w:r>
  </w:p>
  <w:p w:rsidR="000005D5" w:rsidRPr="0076137B" w:rsidRDefault="000005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05D5" w:rsidRPr="0076137B" w:rsidRDefault="000005D5">
      <w:pPr>
        <w:pStyle w:val="Sidfot"/>
      </w:pPr>
    </w:p>
  </w:footnote>
  <w:footnote w:type="continuationSeparator" w:id="0">
    <w:p w:rsidR="000005D5" w:rsidRPr="0076137B" w:rsidRDefault="000005D5">
      <w:pPr>
        <w:spacing w:before="0" w:line="240" w:lineRule="auto"/>
      </w:pPr>
      <w:r w:rsidRPr="007613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5D5" w:rsidRPr="0076137B" w:rsidRDefault="000005D5">
    <w:pPr>
      <w:pStyle w:val="SidhuvudKant"/>
      <w:framePr w:w="1758" w:h="2744" w:hRule="exact" w:wrap="around" w:vAnchor="page" w:hAnchor="page" w:x="7372" w:y="568" w:anchorLock="0"/>
    </w:pPr>
  </w:p>
  <w:p w:rsidR="000005D5" w:rsidRPr="0076137B" w:rsidRDefault="000005D5">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0001"/>
  </w:docVars>
  <w:rsids>
    <w:rsidRoot w:val="00DD6B6D"/>
    <w:rsid w:val="000005D5"/>
    <w:rsid w:val="0076137B"/>
    <w:rsid w:val="00DD6B6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D6817E-5551-4155-AEAB-67C6886A3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2886</Words>
  <Characters>18072</Characters>
  <Application>Microsoft Office Word</Application>
  <DocSecurity>4</DocSecurity>
  <Lines>376</Lines>
  <Paragraphs>105</Paragraphs>
  <ScaleCrop>false</ScaleCrop>
  <HeadingPairs>
    <vt:vector size="4" baseType="variant">
      <vt:variant>
        <vt:lpstr>Title</vt:lpstr>
      </vt:variant>
      <vt:variant>
        <vt:i4>1</vt:i4>
      </vt:variant>
      <vt:variant>
        <vt:lpstr>Rubriker</vt:lpstr>
      </vt:variant>
      <vt:variant>
        <vt:i4>10</vt:i4>
      </vt:variant>
    </vt:vector>
  </HeadingPairs>
  <TitlesOfParts>
    <vt:vector size="11" baseType="lpstr">
      <vt:lpstr>Justitieutskottets yttrande</vt:lpstr>
      <vt:lpstr>Till finansutskottet</vt:lpstr>
      <vt:lpstr>    Ärendet</vt:lpstr>
      <vt:lpstr>    Utskottet</vt:lpstr>
      <vt:lpstr>        Indelningen i politikområden</vt:lpstr>
      <vt:lpstr>        Utgiftsområde 4</vt:lpstr>
      <vt:lpstr>        Utgiftsramen för åren 2001–2003</vt:lpstr>
      <vt:lpstr>Regeringens förslag och motionsförslagen framgår av följande tabell.</vt:lpstr>
      <vt:lpstr>Utgiftsområde 4 (miljoner kronor)</vt:lpstr>
      <vt:lpstr>Stockholm den 24 oktober 2000 </vt:lpstr>
      <vt:lpstr>Avvikande meningar</vt:lpstr>
    </vt:vector>
  </TitlesOfParts>
  <Company>Riksdagen</Company>
  <LinksUpToDate>false</LinksUpToDate>
  <CharactersWithSpaces>20853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yttrande</dc:title>
  <dc:subject>Justitieutskottets yttrande</dc:subject>
  <dc:creator>Riksdagen</dc:creator>
  <cp:keywords>Riksdagen</cp:keywords>
  <cp:lastModifiedBy>Lars Brink</cp:lastModifiedBy>
  <cp:revision>2</cp:revision>
  <cp:lastPrinted>2000-10-27T06:30:00Z</cp:lastPrinted>
  <dcterms:created xsi:type="dcterms:W3CDTF">2025-12-15T23:57:00Z</dcterms:created>
  <dcterms:modified xsi:type="dcterms:W3CDTF">2025-12-15T23:57:00Z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JuU</vt:lpwstr>
  </property>
  <property fmtid="{D5CDD505-2E9C-101B-9397-08002B2CF9AE}" pid="4" name="BetänkandeÅr">
    <vt:lpwstr>2000/01</vt:lpwstr>
  </property>
  <property fmtid="{D5CDD505-2E9C-101B-9397-08002B2CF9AE}" pid="5" name="Status">
    <vt:lpwstr/>
  </property>
  <property fmtid="{D5CDD505-2E9C-101B-9397-08002B2CF9AE}" pid="6" name="Numrering">
    <vt:lpwstr>NotUpdated</vt:lpwstr>
  </property>
</Properties>
</file>