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499" w:rsidRPr="000C5499" w:rsidRDefault="000C5499">
      <w:pPr>
        <w:pStyle w:val="Frslagsrubrik"/>
        <w:shd w:val="clear" w:color="000000" w:fill="auto"/>
      </w:pPr>
      <w:r w:rsidRPr="000C5499">
        <w:t>Förslag till riksdagsbeslut</w:t>
      </w:r>
    </w:p>
    <w:p w:rsidR="000C5499" w:rsidRPr="000C5499" w:rsidRDefault="000C5499">
      <w:pPr>
        <w:pStyle w:val="Hemstlatt"/>
        <w:numPr>
          <w:ilvl w:val="0"/>
          <w:numId w:val="1"/>
        </w:numPr>
        <w:shd w:val="clear" w:color="000000" w:fill="auto"/>
      </w:pPr>
      <w:r w:rsidRPr="000C5499">
        <w:t>Riksdagen tillkännager för regeringen som sin mening vad som anförs i motionen om att inleda en omförhandling av skatteavtalet mellan Danmark och Sverige hösten 2011.</w:t>
      </w:r>
    </w:p>
    <w:p w:rsidR="000C5499" w:rsidRPr="000C5499" w:rsidRDefault="000C5499">
      <w:pPr>
        <w:pStyle w:val="Hemstlatt"/>
        <w:numPr>
          <w:ilvl w:val="0"/>
          <w:numId w:val="1"/>
        </w:numPr>
        <w:shd w:val="clear" w:color="000000" w:fill="auto"/>
      </w:pPr>
      <w:r w:rsidRPr="000C5499">
        <w:t>Riksdagen tillkännager för regeringen som sin mening vad som anförs i motionen om förutsättningar för ett nytt skatteavtal me</w:t>
      </w:r>
      <w:r w:rsidRPr="000C5499">
        <w:t>l</w:t>
      </w:r>
      <w:r w:rsidRPr="000C5499">
        <w:t>lan Danmark och Sverige.</w:t>
      </w:r>
    </w:p>
    <w:p w:rsidR="000C5499" w:rsidRPr="000C5499" w:rsidRDefault="000C5499">
      <w:pPr>
        <w:pStyle w:val="Rubrik1"/>
        <w:shd w:val="clear" w:color="000000" w:fill="auto"/>
      </w:pPr>
      <w:r w:rsidRPr="000C5499">
        <w:t>Motivering</w:t>
      </w:r>
    </w:p>
    <w:p w:rsidR="000C5499" w:rsidRPr="000C5499" w:rsidRDefault="000C5499">
      <w:pPr>
        <w:shd w:val="clear" w:color="000000" w:fill="auto"/>
      </w:pPr>
      <w:r w:rsidRPr="000C5499">
        <w:t>Arbetspendlingen över Öresund har ökat kraftigt på 00-talet som en kons</w:t>
      </w:r>
      <w:r w:rsidRPr="000C5499">
        <w:t>e</w:t>
      </w:r>
      <w:r w:rsidRPr="000C5499">
        <w:t>kvens av Öresundsbron och ett aktivt arbete för att integrera arbetsmarkn</w:t>
      </w:r>
      <w:r w:rsidRPr="000C5499">
        <w:t>a</w:t>
      </w:r>
      <w:r w:rsidRPr="000C5499">
        <w:t>derna i Skåne och Själland. Det har inneburit en regionförstoring som är bra för näringsliv, forskning och tillväxt.</w:t>
      </w:r>
    </w:p>
    <w:p w:rsidR="000C5499" w:rsidRPr="000C5499" w:rsidRDefault="000C5499">
      <w:pPr>
        <w:pStyle w:val="Normaltindrag"/>
        <w:shd w:val="clear" w:color="000000" w:fill="auto"/>
      </w:pPr>
      <w:r w:rsidRPr="000C5499">
        <w:t>Samtidigt har frågan om skatteinkomster till den kommun där arbetspen</w:t>
      </w:r>
      <w:r w:rsidRPr="000C5499">
        <w:t>d</w:t>
      </w:r>
      <w:r w:rsidRPr="000C5499">
        <w:t>laren bor blivit alltmer laddad. Obalanser i avtalet medför att de svenska kommunerna tappar alltmer skatteintäkter.</w:t>
      </w:r>
    </w:p>
    <w:p w:rsidR="000C5499" w:rsidRPr="000C5499" w:rsidRDefault="000C5499">
      <w:pPr>
        <w:pStyle w:val="Normaltindrag"/>
        <w:shd w:val="clear" w:color="000000" w:fill="auto"/>
      </w:pPr>
      <w:r w:rsidRPr="000C5499">
        <w:t>För de arbetspendlare som bor i Skåne och arbetar i Danmark blir frågan allt besvärligare. De är oroliga för att betraktas som snyltare som inte betalar skatt för skola och vård där de bor. Genom föreningen Öresundsborger har de framfört sin önskan att få betala sin skatt i bostadskommunen.</w:t>
      </w:r>
    </w:p>
    <w:p w:rsidR="000C5499" w:rsidRPr="000C5499" w:rsidRDefault="000C5499">
      <w:pPr>
        <w:pStyle w:val="Normaltindrag"/>
        <w:shd w:val="clear" w:color="000000" w:fill="auto"/>
      </w:pPr>
      <w:r w:rsidRPr="000C5499">
        <w:t>Tidigare hade Sverige och Danmark ett gränsgångaravtal som innebar att skatteintäkterna tillföll det land där den anställde bodde. Sverige har fortf</w:t>
      </w:r>
      <w:r w:rsidRPr="000C5499">
        <w:t>a</w:t>
      </w:r>
      <w:r w:rsidRPr="000C5499">
        <w:t xml:space="preserve">rande gränsgångaravtal med Finland och Norge, men Danmark sade upp avtalet inför brobygget. I stället slöt Sverige och Danmark ett skatteavtal 2003 som skulle kompensera för skatteintäkterna. Detta avtal skulle utvärderas </w:t>
      </w:r>
      <w:r w:rsidRPr="000C5499">
        <w:lastRenderedPageBreak/>
        <w:t>2007. Skatteverket gjorde 2007 en sådan utvärdering och kom fram till att det rådde en stor obalans i avtalet, dvs. de svenska kommunerna kompenseras väldigt lite medan de danska kompenseras på en rimlig nivå, och att endast 28 % av pendlarnas inkomster omfattas av avtalet i praktiken. Re</w:t>
      </w:r>
      <w:r w:rsidRPr="000C5499">
        <w:t>geringen har gång på gång pressats på att omförhandla avtalet men inte gjort något. I juni 2010 svarade finansminister Anders Borg i en interpellationsdebatt med Leif Jakobsson (S) att Finansdepartementet inte såg någon obalans i avtalet – trots myndigheters och Kommunförbundet Skånes rapporter. Den 18 november 2010 presenterade Riksrevisionen en rapport med stark kritik mot regeringens bristande arbete med skatteavtalen.</w:t>
      </w:r>
    </w:p>
    <w:p w:rsidR="000C5499" w:rsidRPr="000C5499" w:rsidRDefault="000C5499">
      <w:pPr>
        <w:pStyle w:val="Normaltindrag"/>
        <w:shd w:val="clear" w:color="000000" w:fill="auto"/>
      </w:pPr>
      <w:r w:rsidRPr="000C5499">
        <w:t>Därutöver har det uppmärksammats att de skattemedel som trots allt ko</w:t>
      </w:r>
      <w:r w:rsidRPr="000C5499">
        <w:t>m</w:t>
      </w:r>
      <w:r w:rsidRPr="000C5499">
        <w:t>mer från Danmark inte går till de kommuner som berörs utan går in i det stora utjämningssystemet. Effekterna av det är att västskånska kommuner missgy</w:t>
      </w:r>
      <w:r w:rsidRPr="000C5499">
        <w:t>n</w:t>
      </w:r>
      <w:r w:rsidRPr="000C5499">
        <w:t>nas kraftigt. Utjämningskommittén.08, som är en parlamentarisk översyn av skatteutjämningen, har uppdragit åt Statskontoret att belysa frågan, vilket är gjort i en rapport utgiven den 26 maj 2010.</w:t>
      </w:r>
    </w:p>
    <w:p w:rsidR="000C5499" w:rsidRPr="000C5499" w:rsidRDefault="000C5499">
      <w:pPr>
        <w:pStyle w:val="Rubrik2"/>
        <w:shd w:val="clear" w:color="000000" w:fill="auto"/>
      </w:pPr>
      <w:r w:rsidRPr="000C5499">
        <w:t>Skatteavtalet</w:t>
      </w:r>
    </w:p>
    <w:p w:rsidR="000C5499" w:rsidRPr="000C5499" w:rsidRDefault="000C5499">
      <w:pPr>
        <w:shd w:val="clear" w:color="000000" w:fill="auto"/>
      </w:pPr>
      <w:r w:rsidRPr="000C5499">
        <w:t>Skatteavtalet är utformat så att respektive land ska översända motsvarande kommunalskatten för dem som arbetar mer än halva arbetstiden i det andra landet. Landstingsskatten ingår inte i underlaget. Men en del undantag och tillämpningar gör att avtalet inte fungerar som det är tänkt.</w:t>
      </w:r>
    </w:p>
    <w:p w:rsidR="000C5499" w:rsidRPr="000C5499" w:rsidRDefault="000C5499">
      <w:pPr>
        <w:pStyle w:val="PunktlistaBomb"/>
        <w:shd w:val="clear" w:color="000000" w:fill="auto"/>
      </w:pPr>
      <w:r w:rsidRPr="000C5499">
        <w:t>Endast personer med en årsinkomst över 150 000 danska kronor räknas in.</w:t>
      </w:r>
    </w:p>
    <w:p w:rsidR="000C5499" w:rsidRPr="000C5499" w:rsidRDefault="000C5499">
      <w:pPr>
        <w:pStyle w:val="PunktlistaBomb"/>
        <w:shd w:val="clear" w:color="000000" w:fill="auto"/>
        <w:spacing w:before="0"/>
      </w:pPr>
      <w:r w:rsidRPr="000C5499">
        <w:t>Danska myndigheter gör ett grundavdrag på 40 000 respektive 80 000 danska kronor för en ogift/gift före uträkningen.</w:t>
      </w:r>
    </w:p>
    <w:p w:rsidR="000C5499" w:rsidRPr="000C5499" w:rsidRDefault="000C5499">
      <w:pPr>
        <w:pStyle w:val="PunktlistaBomb"/>
        <w:shd w:val="clear" w:color="000000" w:fill="auto"/>
        <w:spacing w:before="0"/>
      </w:pPr>
      <w:r w:rsidRPr="000C5499">
        <w:t>Danska myndigheter tar bort alla offentliganställda (ca 22 %) innan r</w:t>
      </w:r>
      <w:r w:rsidRPr="000C5499">
        <w:t>e</w:t>
      </w:r>
      <w:r w:rsidRPr="000C5499">
        <w:t>glering sker med Sverige.</w:t>
      </w:r>
    </w:p>
    <w:p w:rsidR="000C5499" w:rsidRPr="000C5499" w:rsidRDefault="000C5499">
      <w:pPr>
        <w:shd w:val="clear" w:color="000000" w:fill="auto"/>
      </w:pPr>
      <w:r w:rsidRPr="000C5499">
        <w:t>Totalt innebär detta att Sverige får ca 8 kr per intjänad hundralapp medan Danmark får ca 20 kr per intjänad hundralapp enligt en undersökning från Öresundsinstitutet 2007. Lönesumman för svenskar som arbetar i Danmark var 2007 enligt SCB 6 660 668 028 kr. Om Sverige hade kompenserats med kommunalskatten 20 % skulle Sverige ha fått ca 1,3 miljarder, men Danmark sände endast tillbaka 368 miljoner. Sedan dess har pendlingen ökat ytterlig</w:t>
      </w:r>
      <w:r w:rsidRPr="000C5499">
        <w:t>a</w:t>
      </w:r>
      <w:r w:rsidRPr="000C5499">
        <w:t>re, varför skatteklyftan ökat ännu mer. För varje år som regeringen inte tar tag i det blir det allt svårare att rätta till felet eftersom det kommer att kosta Da</w:t>
      </w:r>
      <w:r w:rsidRPr="000C5499">
        <w:t>n</w:t>
      </w:r>
      <w:r w:rsidRPr="000C5499">
        <w:t>mark alltmer.</w:t>
      </w:r>
    </w:p>
    <w:p w:rsidR="000C5499" w:rsidRPr="000C5499" w:rsidRDefault="000C5499">
      <w:pPr>
        <w:pStyle w:val="Rubrik2"/>
        <w:shd w:val="clear" w:color="000000" w:fill="auto"/>
      </w:pPr>
      <w:r w:rsidRPr="000C5499">
        <w:t>Ökningen av pendlingen</w:t>
      </w:r>
    </w:p>
    <w:p w:rsidR="000C5499" w:rsidRPr="000C5499" w:rsidRDefault="000C5499">
      <w:pPr>
        <w:shd w:val="clear" w:color="000000" w:fill="auto"/>
      </w:pPr>
      <w:r w:rsidRPr="000C5499">
        <w:t>Det som var i pengar räknat små avvikelser när avtalet ingicks 2003 har ökat till miljardbelopp på grund av den kraftigt ökade pendlingen. År 2001 hade de svenskboende Danmarkspendlarna en gemensam lönesumma på 1,6 miljarder medan den 2007 uppgick till 6,6 miljarder och i dag kan antas vara kring 10 miljarder, dvs. mer än femdubblats på mindre än 10 år.</w:t>
      </w:r>
    </w:p>
    <w:p w:rsidR="000C5499" w:rsidRPr="000C5499" w:rsidRDefault="000C5499">
      <w:pPr>
        <w:pStyle w:val="Rubrik2"/>
        <w:shd w:val="clear" w:color="000000" w:fill="auto"/>
      </w:pPr>
      <w:r w:rsidRPr="000C5499">
        <w:t>Effekterna av skatteutjämningen</w:t>
      </w:r>
    </w:p>
    <w:p w:rsidR="000C5499" w:rsidRPr="000C5499" w:rsidRDefault="000C5499">
      <w:pPr>
        <w:shd w:val="clear" w:color="000000" w:fill="auto"/>
      </w:pPr>
      <w:r w:rsidRPr="000C5499">
        <w:t>De pengar som överförs från Danmark tillfaller inte de kommuner där pen</w:t>
      </w:r>
      <w:r w:rsidRPr="000C5499">
        <w:t>d</w:t>
      </w:r>
      <w:r w:rsidRPr="000C5499">
        <w:t>larna bor utan stoppas in i det stora utjämningssystemet. Det är alltså alla kommuner och landsting som får dela på den kompensation som trots allt kommer från Danmark. De svenska landstingen är med och delar på intäkte</w:t>
      </w:r>
      <w:r w:rsidRPr="000C5499">
        <w:t>r</w:t>
      </w:r>
      <w:r w:rsidRPr="000C5499">
        <w:t>na trots att det bara är den primärkommunala skatten som ska regleras. Efter den danska reformen av samhällsorganisationen finns det inte längre någon landstingsskatt där.</w:t>
      </w:r>
    </w:p>
    <w:p w:rsidR="000C5499" w:rsidRPr="000C5499" w:rsidRDefault="000C5499">
      <w:pPr>
        <w:pStyle w:val="Normaltindrag"/>
        <w:shd w:val="clear" w:color="000000" w:fill="auto"/>
      </w:pPr>
      <w:r w:rsidRPr="000C5499">
        <w:t>De kommuner som har många arbetspendlare kompenseras senare i i</w:t>
      </w:r>
      <w:r w:rsidRPr="000C5499">
        <w:t>n</w:t>
      </w:r>
      <w:r w:rsidRPr="000C5499">
        <w:t>komstutjämningen eftersom de ser ut att ha många färre i arbete än vad som är sant.</w:t>
      </w:r>
    </w:p>
    <w:p w:rsidR="000C5499" w:rsidRPr="000C5499" w:rsidRDefault="000C5499">
      <w:pPr>
        <w:pStyle w:val="Normaltindrag"/>
        <w:shd w:val="clear" w:color="000000" w:fill="auto"/>
      </w:pPr>
      <w:r w:rsidRPr="000C5499">
        <w:t>I kostnadsutjämningssystemet påverkas fyra olika faktorer av att pendla</w:t>
      </w:r>
      <w:r w:rsidRPr="000C5499">
        <w:t>r</w:t>
      </w:r>
      <w:r w:rsidRPr="000C5499">
        <w:t>kommunerna ser ut att ha lägre sysselsättning än vad som är riktigt.</w:t>
      </w:r>
    </w:p>
    <w:p w:rsidR="000C5499" w:rsidRPr="000C5499" w:rsidRDefault="000C5499">
      <w:pPr>
        <w:pStyle w:val="PunktlistaBomb"/>
        <w:shd w:val="clear" w:color="000000" w:fill="auto"/>
      </w:pPr>
      <w:r w:rsidRPr="000C5499">
        <w:t>Pendlarkommunerna missgynnas kraftigt i utjämningen för förskola och skolbarnsomsorg. Eftersom färre antas arbeta så antas färre av barnen ha behov av förskola och skolbarnsomsorg.</w:t>
      </w:r>
    </w:p>
    <w:p w:rsidR="000C5499" w:rsidRPr="000C5499" w:rsidRDefault="000C5499">
      <w:pPr>
        <w:pStyle w:val="PunktlistaBomb"/>
        <w:shd w:val="clear" w:color="000000" w:fill="auto"/>
        <w:spacing w:before="0"/>
      </w:pPr>
      <w:r w:rsidRPr="000C5499">
        <w:t>Pendlarkommunerna överkompenseras för individ- och familjeomsorg eftersom fler antas behöva försörjningsstöd.</w:t>
      </w:r>
    </w:p>
    <w:p w:rsidR="000C5499" w:rsidRPr="000C5499" w:rsidRDefault="000C5499">
      <w:pPr>
        <w:pStyle w:val="PunktlistaBomb"/>
        <w:shd w:val="clear" w:color="000000" w:fill="auto"/>
        <w:spacing w:before="0"/>
      </w:pPr>
      <w:r w:rsidRPr="000C5499">
        <w:t>Pendlarkommunerna underkompenseras i utjämningen för lönestrukturer.</w:t>
      </w:r>
    </w:p>
    <w:p w:rsidR="000C5499" w:rsidRPr="000C5499" w:rsidRDefault="000C5499">
      <w:pPr>
        <w:pStyle w:val="PunktlistaBomb"/>
        <w:shd w:val="clear" w:color="000000" w:fill="auto"/>
        <w:spacing w:before="0"/>
      </w:pPr>
      <w:r w:rsidRPr="000C5499">
        <w:t>Pendlarkommunerna får för lite kompensation för kollektivtrafik eftersom färre än i verkligheten antas resa till jobbet.</w:t>
      </w:r>
    </w:p>
    <w:p w:rsidR="000C5499" w:rsidRPr="000C5499" w:rsidRDefault="000C5499">
      <w:pPr>
        <w:pStyle w:val="Rubrik2"/>
        <w:shd w:val="clear" w:color="000000" w:fill="auto"/>
      </w:pPr>
      <w:r w:rsidRPr="000C5499">
        <w:t>Statskontorets uträkning för 2007</w:t>
      </w:r>
    </w:p>
    <w:p w:rsidR="000C5499" w:rsidRPr="000C5499" w:rsidRDefault="000C5499">
      <w:pPr>
        <w:shd w:val="clear" w:color="000000" w:fill="auto"/>
      </w:pPr>
      <w:r w:rsidRPr="000C5499">
        <w:t>Statskontoret har på den parlamentariska översynens uppdrag gjort en utre</w:t>
      </w:r>
      <w:r w:rsidRPr="000C5499">
        <w:t>d</w:t>
      </w:r>
      <w:r w:rsidRPr="000C5499">
        <w:t>ning om vilka effekter det skulle ha fått för landets kommuner och landsting om pendlarnas skatt (enligt vad avtalet ger) gick direkt till pendlarkommune</w:t>
      </w:r>
      <w:r w:rsidRPr="000C5499">
        <w:t>r</w:t>
      </w:r>
      <w:r w:rsidRPr="000C5499">
        <w:t>na. Uträkningen är gjord för taxeringsåret 2007, då Sverige nettokompenser</w:t>
      </w:r>
      <w:r w:rsidRPr="000C5499">
        <w:t>a</w:t>
      </w:r>
      <w:r w:rsidRPr="000C5499">
        <w:t>des med 283 miljoner kronor från Danmark. De fördelades så att kommune</w:t>
      </w:r>
      <w:r w:rsidRPr="000C5499">
        <w:t>r</w:t>
      </w:r>
      <w:r w:rsidRPr="000C5499">
        <w:t>na fick 185 miljoner och landstingen 98 miljoner.</w:t>
      </w:r>
    </w:p>
    <w:p w:rsidR="000C5499" w:rsidRPr="000C5499" w:rsidRDefault="000C5499">
      <w:pPr>
        <w:pStyle w:val="Normaltindrag"/>
        <w:shd w:val="clear" w:color="000000" w:fill="auto"/>
        <w:spacing w:after="120"/>
      </w:pPr>
      <w:r w:rsidRPr="000C5499">
        <w:t>Effekterna för några skånska kommuner skulle då bli:</w:t>
      </w:r>
    </w:p>
    <w:tbl>
      <w:tblPr>
        <w:tblStyle w:val="Tabellrutnt"/>
        <w:tblW w:w="6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68"/>
        <w:gridCol w:w="720"/>
        <w:gridCol w:w="840"/>
        <w:gridCol w:w="638"/>
        <w:gridCol w:w="703"/>
        <w:gridCol w:w="819"/>
        <w:gridCol w:w="703"/>
        <w:gridCol w:w="1143"/>
      </w:tblGrid>
      <w:tr w:rsidR="00000000" w:rsidRPr="000C5499">
        <w:trPr>
          <w:cantSplit/>
          <w:tblHeader/>
        </w:trPr>
        <w:tc>
          <w:tcPr>
            <w:tcW w:w="1068" w:type="dxa"/>
            <w:tcBorders>
              <w:top w:val="single" w:sz="4" w:space="0" w:color="auto"/>
              <w:bottom w:val="single" w:sz="4" w:space="0" w:color="auto"/>
            </w:tcBorders>
          </w:tcPr>
          <w:p w:rsidR="000C5499" w:rsidRPr="000C5499" w:rsidRDefault="000C5499">
            <w:pPr>
              <w:shd w:val="clear" w:color="000000" w:fill="auto"/>
              <w:spacing w:before="60" w:line="200" w:lineRule="exact"/>
              <w:rPr>
                <w:b/>
                <w:sz w:val="16"/>
                <w:szCs w:val="16"/>
              </w:rPr>
            </w:pPr>
            <w:r w:rsidRPr="000C5499">
              <w:rPr>
                <w:b/>
                <w:sz w:val="16"/>
                <w:szCs w:val="16"/>
              </w:rPr>
              <w:t>Kommun</w:t>
            </w:r>
          </w:p>
        </w:tc>
        <w:tc>
          <w:tcPr>
            <w:tcW w:w="720" w:type="dxa"/>
            <w:tcBorders>
              <w:top w:val="single" w:sz="4" w:space="0" w:color="auto"/>
              <w:bottom w:val="single" w:sz="4" w:space="0" w:color="auto"/>
            </w:tcBorders>
          </w:tcPr>
          <w:p w:rsidR="000C5499" w:rsidRPr="000C5499" w:rsidRDefault="000C5499">
            <w:pPr>
              <w:shd w:val="clear" w:color="000000" w:fill="auto"/>
              <w:spacing w:before="60" w:line="200" w:lineRule="exact"/>
              <w:jc w:val="right"/>
              <w:rPr>
                <w:b/>
                <w:sz w:val="16"/>
                <w:szCs w:val="16"/>
              </w:rPr>
            </w:pPr>
            <w:r w:rsidRPr="000C5499">
              <w:rPr>
                <w:b/>
                <w:sz w:val="16"/>
                <w:szCs w:val="16"/>
              </w:rPr>
              <w:t>Ink.utj</w:t>
            </w:r>
          </w:p>
        </w:tc>
        <w:tc>
          <w:tcPr>
            <w:tcW w:w="840" w:type="dxa"/>
            <w:tcBorders>
              <w:top w:val="single" w:sz="4" w:space="0" w:color="auto"/>
              <w:bottom w:val="single" w:sz="4" w:space="0" w:color="auto"/>
            </w:tcBorders>
          </w:tcPr>
          <w:p w:rsidR="000C5499" w:rsidRPr="000C5499" w:rsidRDefault="000C5499">
            <w:pPr>
              <w:shd w:val="clear" w:color="000000" w:fill="auto"/>
              <w:spacing w:before="60" w:line="200" w:lineRule="exact"/>
              <w:jc w:val="right"/>
              <w:rPr>
                <w:b/>
                <w:sz w:val="16"/>
                <w:szCs w:val="16"/>
              </w:rPr>
            </w:pPr>
            <w:r w:rsidRPr="000C5499">
              <w:rPr>
                <w:b/>
                <w:sz w:val="16"/>
                <w:szCs w:val="16"/>
              </w:rPr>
              <w:t>Förskola</w:t>
            </w:r>
          </w:p>
        </w:tc>
        <w:tc>
          <w:tcPr>
            <w:tcW w:w="638" w:type="dxa"/>
            <w:tcBorders>
              <w:top w:val="single" w:sz="4" w:space="0" w:color="auto"/>
              <w:bottom w:val="single" w:sz="4" w:space="0" w:color="auto"/>
            </w:tcBorders>
          </w:tcPr>
          <w:p w:rsidR="000C5499" w:rsidRPr="000C5499" w:rsidRDefault="000C5499">
            <w:pPr>
              <w:shd w:val="clear" w:color="000000" w:fill="auto"/>
              <w:spacing w:before="60" w:line="200" w:lineRule="exact"/>
              <w:jc w:val="right"/>
              <w:rPr>
                <w:b/>
                <w:sz w:val="16"/>
                <w:szCs w:val="16"/>
              </w:rPr>
            </w:pPr>
            <w:r w:rsidRPr="000C5499">
              <w:rPr>
                <w:b/>
                <w:sz w:val="16"/>
                <w:szCs w:val="16"/>
              </w:rPr>
              <w:t>IoF</w:t>
            </w:r>
          </w:p>
        </w:tc>
        <w:tc>
          <w:tcPr>
            <w:tcW w:w="703" w:type="dxa"/>
            <w:tcBorders>
              <w:top w:val="single" w:sz="4" w:space="0" w:color="auto"/>
              <w:bottom w:val="single" w:sz="4" w:space="0" w:color="auto"/>
            </w:tcBorders>
          </w:tcPr>
          <w:p w:rsidR="000C5499" w:rsidRPr="000C5499" w:rsidRDefault="000C5499">
            <w:pPr>
              <w:shd w:val="clear" w:color="000000" w:fill="auto"/>
              <w:spacing w:before="60" w:line="200" w:lineRule="exact"/>
              <w:jc w:val="right"/>
              <w:rPr>
                <w:b/>
                <w:sz w:val="16"/>
                <w:szCs w:val="16"/>
              </w:rPr>
            </w:pPr>
            <w:r w:rsidRPr="000C5499">
              <w:rPr>
                <w:b/>
                <w:sz w:val="16"/>
                <w:szCs w:val="16"/>
              </w:rPr>
              <w:t>Löner</w:t>
            </w:r>
          </w:p>
        </w:tc>
        <w:tc>
          <w:tcPr>
            <w:tcW w:w="819" w:type="dxa"/>
            <w:tcBorders>
              <w:top w:val="single" w:sz="4" w:space="0" w:color="auto"/>
              <w:bottom w:val="single" w:sz="4" w:space="0" w:color="auto"/>
            </w:tcBorders>
          </w:tcPr>
          <w:p w:rsidR="000C5499" w:rsidRPr="000C5499" w:rsidRDefault="000C5499">
            <w:pPr>
              <w:shd w:val="clear" w:color="000000" w:fill="auto"/>
              <w:spacing w:before="60" w:line="200" w:lineRule="exact"/>
              <w:jc w:val="right"/>
              <w:rPr>
                <w:b/>
                <w:sz w:val="16"/>
                <w:szCs w:val="16"/>
              </w:rPr>
            </w:pPr>
            <w:r w:rsidRPr="000C5499">
              <w:rPr>
                <w:b/>
                <w:sz w:val="16"/>
                <w:szCs w:val="16"/>
              </w:rPr>
              <w:t>Trafik</w:t>
            </w:r>
          </w:p>
        </w:tc>
        <w:tc>
          <w:tcPr>
            <w:tcW w:w="703" w:type="dxa"/>
            <w:tcBorders>
              <w:top w:val="single" w:sz="4" w:space="0" w:color="auto"/>
              <w:bottom w:val="single" w:sz="4" w:space="0" w:color="auto"/>
            </w:tcBorders>
          </w:tcPr>
          <w:p w:rsidR="000C5499" w:rsidRPr="000C5499" w:rsidRDefault="000C5499">
            <w:pPr>
              <w:shd w:val="clear" w:color="000000" w:fill="auto"/>
              <w:spacing w:before="60" w:line="200" w:lineRule="exact"/>
              <w:jc w:val="right"/>
              <w:rPr>
                <w:b/>
                <w:sz w:val="16"/>
                <w:szCs w:val="16"/>
              </w:rPr>
            </w:pPr>
            <w:r w:rsidRPr="000C5499">
              <w:rPr>
                <w:b/>
                <w:sz w:val="16"/>
                <w:szCs w:val="16"/>
              </w:rPr>
              <w:t>Totalt</w:t>
            </w:r>
          </w:p>
        </w:tc>
        <w:tc>
          <w:tcPr>
            <w:tcW w:w="1143" w:type="dxa"/>
            <w:tcBorders>
              <w:top w:val="single" w:sz="4" w:space="0" w:color="auto"/>
              <w:bottom w:val="single" w:sz="4" w:space="0" w:color="auto"/>
            </w:tcBorders>
          </w:tcPr>
          <w:p w:rsidR="000C5499" w:rsidRPr="000C5499" w:rsidRDefault="000C5499">
            <w:pPr>
              <w:shd w:val="clear" w:color="000000" w:fill="auto"/>
              <w:spacing w:before="60" w:line="200" w:lineRule="exact"/>
              <w:jc w:val="right"/>
              <w:rPr>
                <w:b/>
                <w:sz w:val="16"/>
                <w:szCs w:val="16"/>
              </w:rPr>
            </w:pPr>
            <w:r w:rsidRPr="000C5499">
              <w:rPr>
                <w:b/>
                <w:sz w:val="16"/>
                <w:szCs w:val="16"/>
              </w:rPr>
              <w:t>Totalbelopp</w:t>
            </w:r>
          </w:p>
        </w:tc>
      </w:tr>
      <w:tr w:rsidR="00000000" w:rsidRPr="000C5499">
        <w:trPr>
          <w:cantSplit/>
        </w:trPr>
        <w:tc>
          <w:tcPr>
            <w:tcW w:w="1068" w:type="dxa"/>
            <w:tcBorders>
              <w:top w:val="single" w:sz="4" w:space="0" w:color="auto"/>
            </w:tcBorders>
          </w:tcPr>
          <w:p w:rsidR="000C5499" w:rsidRPr="000C5499" w:rsidRDefault="000C5499">
            <w:pPr>
              <w:shd w:val="clear" w:color="000000" w:fill="auto"/>
              <w:spacing w:before="60" w:line="200" w:lineRule="exact"/>
              <w:rPr>
                <w:sz w:val="16"/>
                <w:szCs w:val="16"/>
              </w:rPr>
            </w:pPr>
            <w:r w:rsidRPr="000C5499">
              <w:rPr>
                <w:sz w:val="16"/>
                <w:szCs w:val="16"/>
              </w:rPr>
              <w:t>Malmö</w:t>
            </w:r>
          </w:p>
        </w:tc>
        <w:tc>
          <w:tcPr>
            <w:tcW w:w="720" w:type="dxa"/>
            <w:tcBorders>
              <w:top w:val="single" w:sz="4" w:space="0" w:color="auto"/>
            </w:tcBorders>
          </w:tcPr>
          <w:p w:rsidR="000C5499" w:rsidRPr="000C5499" w:rsidRDefault="000C5499">
            <w:pPr>
              <w:shd w:val="clear" w:color="000000" w:fill="auto"/>
              <w:spacing w:before="60" w:line="200" w:lineRule="exact"/>
              <w:jc w:val="right"/>
              <w:rPr>
                <w:sz w:val="16"/>
                <w:szCs w:val="16"/>
              </w:rPr>
            </w:pPr>
            <w:r w:rsidRPr="000C5499">
              <w:rPr>
                <w:sz w:val="16"/>
                <w:szCs w:val="16"/>
              </w:rPr>
              <w:t>15</w:t>
            </w:r>
          </w:p>
        </w:tc>
        <w:tc>
          <w:tcPr>
            <w:tcW w:w="840" w:type="dxa"/>
            <w:tcBorders>
              <w:top w:val="single" w:sz="4" w:space="0" w:color="auto"/>
            </w:tcBorders>
          </w:tcPr>
          <w:p w:rsidR="000C5499" w:rsidRPr="000C5499" w:rsidRDefault="000C5499">
            <w:pPr>
              <w:shd w:val="clear" w:color="000000" w:fill="auto"/>
              <w:spacing w:before="60" w:line="200" w:lineRule="exact"/>
              <w:jc w:val="right"/>
              <w:rPr>
                <w:sz w:val="16"/>
                <w:szCs w:val="16"/>
              </w:rPr>
            </w:pPr>
            <w:r w:rsidRPr="000C5499">
              <w:rPr>
                <w:sz w:val="16"/>
                <w:szCs w:val="16"/>
              </w:rPr>
              <w:t>251</w:t>
            </w:r>
          </w:p>
        </w:tc>
        <w:tc>
          <w:tcPr>
            <w:tcW w:w="638" w:type="dxa"/>
            <w:tcBorders>
              <w:top w:val="single" w:sz="4" w:space="0" w:color="auto"/>
            </w:tcBorders>
          </w:tcPr>
          <w:p w:rsidR="000C5499" w:rsidRPr="000C5499" w:rsidRDefault="000C5499">
            <w:pPr>
              <w:pStyle w:val="PunktlistaTankstreck"/>
              <w:numPr>
                <w:ilvl w:val="0"/>
                <w:numId w:val="0"/>
              </w:numPr>
              <w:shd w:val="clear" w:color="000000" w:fill="auto"/>
              <w:spacing w:before="60" w:line="200" w:lineRule="exact"/>
              <w:jc w:val="right"/>
              <w:rPr>
                <w:sz w:val="16"/>
                <w:szCs w:val="16"/>
              </w:rPr>
            </w:pPr>
            <w:r w:rsidRPr="000C5499">
              <w:rPr>
                <w:sz w:val="16"/>
                <w:szCs w:val="16"/>
              </w:rPr>
              <w:t>–81</w:t>
            </w:r>
          </w:p>
        </w:tc>
        <w:tc>
          <w:tcPr>
            <w:tcW w:w="703" w:type="dxa"/>
            <w:tcBorders>
              <w:top w:val="single" w:sz="4" w:space="0" w:color="auto"/>
            </w:tcBorders>
          </w:tcPr>
          <w:p w:rsidR="000C5499" w:rsidRPr="000C5499" w:rsidRDefault="000C5499">
            <w:pPr>
              <w:shd w:val="clear" w:color="000000" w:fill="auto"/>
              <w:spacing w:before="60" w:line="200" w:lineRule="exact"/>
              <w:jc w:val="right"/>
              <w:rPr>
                <w:sz w:val="16"/>
                <w:szCs w:val="16"/>
              </w:rPr>
            </w:pPr>
            <w:r w:rsidRPr="000C5499">
              <w:rPr>
                <w:sz w:val="16"/>
                <w:szCs w:val="16"/>
              </w:rPr>
              <w:t>11</w:t>
            </w:r>
          </w:p>
        </w:tc>
        <w:tc>
          <w:tcPr>
            <w:tcW w:w="819" w:type="dxa"/>
            <w:tcBorders>
              <w:top w:val="single" w:sz="4" w:space="0" w:color="auto"/>
            </w:tcBorders>
          </w:tcPr>
          <w:p w:rsidR="000C5499" w:rsidRPr="000C5499" w:rsidRDefault="000C5499">
            <w:pPr>
              <w:shd w:val="clear" w:color="000000" w:fill="auto"/>
              <w:spacing w:before="60" w:line="200" w:lineRule="exact"/>
              <w:jc w:val="right"/>
              <w:rPr>
                <w:sz w:val="16"/>
                <w:szCs w:val="16"/>
              </w:rPr>
            </w:pPr>
            <w:r w:rsidRPr="000C5499">
              <w:rPr>
                <w:sz w:val="16"/>
                <w:szCs w:val="16"/>
              </w:rPr>
              <w:t>17</w:t>
            </w:r>
          </w:p>
        </w:tc>
        <w:tc>
          <w:tcPr>
            <w:tcW w:w="703" w:type="dxa"/>
            <w:tcBorders>
              <w:top w:val="single" w:sz="4" w:space="0" w:color="auto"/>
            </w:tcBorders>
          </w:tcPr>
          <w:p w:rsidR="000C5499" w:rsidRPr="000C5499" w:rsidRDefault="000C5499">
            <w:pPr>
              <w:shd w:val="clear" w:color="000000" w:fill="auto"/>
              <w:spacing w:before="60" w:line="200" w:lineRule="exact"/>
              <w:jc w:val="right"/>
              <w:rPr>
                <w:sz w:val="16"/>
                <w:szCs w:val="16"/>
              </w:rPr>
            </w:pPr>
            <w:r w:rsidRPr="000C5499">
              <w:rPr>
                <w:sz w:val="16"/>
                <w:szCs w:val="16"/>
              </w:rPr>
              <w:t>213</w:t>
            </w:r>
          </w:p>
        </w:tc>
        <w:tc>
          <w:tcPr>
            <w:tcW w:w="1143" w:type="dxa"/>
            <w:tcBorders>
              <w:top w:val="single" w:sz="4" w:space="0" w:color="auto"/>
            </w:tcBorders>
          </w:tcPr>
          <w:p w:rsidR="000C5499" w:rsidRPr="000C5499" w:rsidRDefault="000C5499">
            <w:pPr>
              <w:shd w:val="clear" w:color="000000" w:fill="auto"/>
              <w:spacing w:before="60" w:line="200" w:lineRule="exact"/>
              <w:jc w:val="right"/>
              <w:rPr>
                <w:sz w:val="16"/>
                <w:szCs w:val="16"/>
              </w:rPr>
            </w:pPr>
            <w:r w:rsidRPr="000C5499">
              <w:rPr>
                <w:sz w:val="16"/>
                <w:szCs w:val="16"/>
              </w:rPr>
              <w:t>63,9 miljoner</w:t>
            </w:r>
          </w:p>
        </w:tc>
      </w:tr>
      <w:tr w:rsidR="00000000" w:rsidRPr="000C5499">
        <w:trPr>
          <w:cantSplit/>
        </w:trPr>
        <w:tc>
          <w:tcPr>
            <w:tcW w:w="1068" w:type="dxa"/>
          </w:tcPr>
          <w:p w:rsidR="000C5499" w:rsidRPr="000C5499" w:rsidRDefault="000C5499">
            <w:pPr>
              <w:shd w:val="clear" w:color="000000" w:fill="auto"/>
              <w:spacing w:before="60" w:line="200" w:lineRule="exact"/>
              <w:rPr>
                <w:sz w:val="16"/>
                <w:szCs w:val="16"/>
              </w:rPr>
            </w:pPr>
            <w:r w:rsidRPr="000C5499">
              <w:rPr>
                <w:sz w:val="16"/>
                <w:szCs w:val="16"/>
              </w:rPr>
              <w:t>Vellinge</w:t>
            </w:r>
          </w:p>
        </w:tc>
        <w:tc>
          <w:tcPr>
            <w:tcW w:w="720" w:type="dxa"/>
          </w:tcPr>
          <w:p w:rsidR="000C5499" w:rsidRPr="000C5499" w:rsidRDefault="000C5499">
            <w:pPr>
              <w:shd w:val="clear" w:color="000000" w:fill="auto"/>
              <w:spacing w:before="60" w:line="200" w:lineRule="exact"/>
              <w:jc w:val="right"/>
              <w:rPr>
                <w:sz w:val="16"/>
                <w:szCs w:val="16"/>
              </w:rPr>
            </w:pPr>
            <w:r w:rsidRPr="000C5499">
              <w:rPr>
                <w:sz w:val="16"/>
                <w:szCs w:val="16"/>
              </w:rPr>
              <w:t>30</w:t>
            </w:r>
          </w:p>
        </w:tc>
        <w:tc>
          <w:tcPr>
            <w:tcW w:w="840" w:type="dxa"/>
          </w:tcPr>
          <w:p w:rsidR="000C5499" w:rsidRPr="000C5499" w:rsidRDefault="000C5499">
            <w:pPr>
              <w:shd w:val="clear" w:color="000000" w:fill="auto"/>
              <w:spacing w:before="60" w:line="200" w:lineRule="exact"/>
              <w:jc w:val="right"/>
              <w:rPr>
                <w:sz w:val="16"/>
                <w:szCs w:val="16"/>
              </w:rPr>
            </w:pPr>
            <w:r w:rsidRPr="000C5499">
              <w:rPr>
                <w:sz w:val="16"/>
                <w:szCs w:val="16"/>
              </w:rPr>
              <w:t>192</w:t>
            </w:r>
          </w:p>
        </w:tc>
        <w:tc>
          <w:tcPr>
            <w:tcW w:w="638" w:type="dxa"/>
          </w:tcPr>
          <w:p w:rsidR="000C5499" w:rsidRPr="000C5499" w:rsidRDefault="000C5499">
            <w:pPr>
              <w:pStyle w:val="PunktlistaTankstreck"/>
              <w:numPr>
                <w:ilvl w:val="0"/>
                <w:numId w:val="0"/>
              </w:numPr>
              <w:shd w:val="clear" w:color="000000" w:fill="auto"/>
              <w:spacing w:before="60" w:line="200" w:lineRule="exact"/>
              <w:jc w:val="right"/>
              <w:rPr>
                <w:sz w:val="16"/>
                <w:szCs w:val="16"/>
              </w:rPr>
            </w:pPr>
            <w:r w:rsidRPr="000C5499">
              <w:rPr>
                <w:sz w:val="16"/>
                <w:szCs w:val="16"/>
              </w:rPr>
              <w:t>–44</w:t>
            </w:r>
          </w:p>
        </w:tc>
        <w:tc>
          <w:tcPr>
            <w:tcW w:w="703" w:type="dxa"/>
          </w:tcPr>
          <w:p w:rsidR="000C5499" w:rsidRPr="000C5499" w:rsidRDefault="000C5499">
            <w:pPr>
              <w:shd w:val="clear" w:color="000000" w:fill="auto"/>
              <w:spacing w:before="60" w:line="200" w:lineRule="exact"/>
              <w:jc w:val="right"/>
              <w:rPr>
                <w:sz w:val="16"/>
                <w:szCs w:val="16"/>
              </w:rPr>
            </w:pPr>
            <w:r w:rsidRPr="000C5499">
              <w:rPr>
                <w:sz w:val="16"/>
                <w:szCs w:val="16"/>
              </w:rPr>
              <w:t>0</w:t>
            </w:r>
          </w:p>
        </w:tc>
        <w:tc>
          <w:tcPr>
            <w:tcW w:w="819" w:type="dxa"/>
          </w:tcPr>
          <w:p w:rsidR="000C5499" w:rsidRPr="000C5499" w:rsidRDefault="000C5499">
            <w:pPr>
              <w:shd w:val="clear" w:color="000000" w:fill="auto"/>
              <w:spacing w:before="60" w:line="200" w:lineRule="exact"/>
              <w:jc w:val="right"/>
              <w:rPr>
                <w:sz w:val="16"/>
                <w:szCs w:val="16"/>
              </w:rPr>
            </w:pPr>
            <w:r w:rsidRPr="000C5499">
              <w:rPr>
                <w:sz w:val="16"/>
                <w:szCs w:val="16"/>
              </w:rPr>
              <w:t>17</w:t>
            </w:r>
          </w:p>
        </w:tc>
        <w:tc>
          <w:tcPr>
            <w:tcW w:w="703" w:type="dxa"/>
          </w:tcPr>
          <w:p w:rsidR="000C5499" w:rsidRPr="000C5499" w:rsidRDefault="000C5499">
            <w:pPr>
              <w:shd w:val="clear" w:color="000000" w:fill="auto"/>
              <w:spacing w:before="60" w:line="200" w:lineRule="exact"/>
              <w:jc w:val="right"/>
              <w:rPr>
                <w:sz w:val="16"/>
                <w:szCs w:val="16"/>
              </w:rPr>
            </w:pPr>
            <w:r w:rsidRPr="000C5499">
              <w:rPr>
                <w:sz w:val="16"/>
                <w:szCs w:val="16"/>
              </w:rPr>
              <w:t>195</w:t>
            </w:r>
          </w:p>
        </w:tc>
        <w:tc>
          <w:tcPr>
            <w:tcW w:w="1143" w:type="dxa"/>
          </w:tcPr>
          <w:p w:rsidR="000C5499" w:rsidRPr="000C5499" w:rsidRDefault="000C5499">
            <w:pPr>
              <w:shd w:val="clear" w:color="000000" w:fill="auto"/>
              <w:spacing w:before="60" w:line="200" w:lineRule="exact"/>
              <w:jc w:val="right"/>
              <w:rPr>
                <w:sz w:val="16"/>
                <w:szCs w:val="16"/>
              </w:rPr>
            </w:pPr>
            <w:r w:rsidRPr="000C5499">
              <w:rPr>
                <w:sz w:val="16"/>
                <w:szCs w:val="16"/>
              </w:rPr>
              <w:t>6,4 miljoner</w:t>
            </w:r>
          </w:p>
        </w:tc>
      </w:tr>
      <w:tr w:rsidR="00000000" w:rsidRPr="000C5499">
        <w:trPr>
          <w:cantSplit/>
        </w:trPr>
        <w:tc>
          <w:tcPr>
            <w:tcW w:w="1068" w:type="dxa"/>
          </w:tcPr>
          <w:p w:rsidR="000C5499" w:rsidRPr="000C5499" w:rsidRDefault="000C5499">
            <w:pPr>
              <w:shd w:val="clear" w:color="000000" w:fill="auto"/>
              <w:spacing w:before="60" w:line="200" w:lineRule="exact"/>
              <w:rPr>
                <w:sz w:val="16"/>
                <w:szCs w:val="16"/>
              </w:rPr>
            </w:pPr>
            <w:r w:rsidRPr="000C5499">
              <w:rPr>
                <w:sz w:val="16"/>
                <w:szCs w:val="16"/>
              </w:rPr>
              <w:t>Burlöv</w:t>
            </w:r>
          </w:p>
        </w:tc>
        <w:tc>
          <w:tcPr>
            <w:tcW w:w="720" w:type="dxa"/>
          </w:tcPr>
          <w:p w:rsidR="000C5499" w:rsidRPr="000C5499" w:rsidRDefault="000C5499">
            <w:pPr>
              <w:shd w:val="clear" w:color="000000" w:fill="auto"/>
              <w:spacing w:before="60" w:line="200" w:lineRule="exact"/>
              <w:jc w:val="right"/>
              <w:rPr>
                <w:sz w:val="16"/>
                <w:szCs w:val="16"/>
              </w:rPr>
            </w:pPr>
            <w:r w:rsidRPr="000C5499">
              <w:rPr>
                <w:sz w:val="16"/>
                <w:szCs w:val="16"/>
              </w:rPr>
              <w:t>7</w:t>
            </w:r>
          </w:p>
        </w:tc>
        <w:tc>
          <w:tcPr>
            <w:tcW w:w="840" w:type="dxa"/>
          </w:tcPr>
          <w:p w:rsidR="000C5499" w:rsidRPr="000C5499" w:rsidRDefault="000C5499">
            <w:pPr>
              <w:shd w:val="clear" w:color="000000" w:fill="auto"/>
              <w:spacing w:before="60" w:line="200" w:lineRule="exact"/>
              <w:jc w:val="right"/>
              <w:rPr>
                <w:sz w:val="16"/>
                <w:szCs w:val="16"/>
              </w:rPr>
            </w:pPr>
            <w:r w:rsidRPr="000C5499">
              <w:rPr>
                <w:sz w:val="16"/>
                <w:szCs w:val="16"/>
              </w:rPr>
              <w:t>112</w:t>
            </w:r>
          </w:p>
        </w:tc>
        <w:tc>
          <w:tcPr>
            <w:tcW w:w="638" w:type="dxa"/>
          </w:tcPr>
          <w:p w:rsidR="000C5499" w:rsidRPr="000C5499" w:rsidRDefault="000C5499">
            <w:pPr>
              <w:pStyle w:val="PunktlistaTankstreck"/>
              <w:numPr>
                <w:ilvl w:val="0"/>
                <w:numId w:val="0"/>
              </w:numPr>
              <w:shd w:val="clear" w:color="000000" w:fill="auto"/>
              <w:spacing w:before="60" w:line="200" w:lineRule="exact"/>
              <w:jc w:val="right"/>
              <w:rPr>
                <w:sz w:val="16"/>
                <w:szCs w:val="16"/>
              </w:rPr>
            </w:pPr>
            <w:r w:rsidRPr="000C5499">
              <w:rPr>
                <w:sz w:val="16"/>
                <w:szCs w:val="16"/>
              </w:rPr>
              <w:t>–32</w:t>
            </w:r>
          </w:p>
        </w:tc>
        <w:tc>
          <w:tcPr>
            <w:tcW w:w="703" w:type="dxa"/>
          </w:tcPr>
          <w:p w:rsidR="000C5499" w:rsidRPr="000C5499" w:rsidRDefault="000C5499">
            <w:pPr>
              <w:shd w:val="clear" w:color="000000" w:fill="auto"/>
              <w:spacing w:before="60" w:line="200" w:lineRule="exact"/>
              <w:jc w:val="right"/>
              <w:rPr>
                <w:sz w:val="16"/>
                <w:szCs w:val="16"/>
              </w:rPr>
            </w:pPr>
            <w:r w:rsidRPr="000C5499">
              <w:rPr>
                <w:sz w:val="16"/>
                <w:szCs w:val="16"/>
              </w:rPr>
              <w:t>0</w:t>
            </w:r>
          </w:p>
        </w:tc>
        <w:tc>
          <w:tcPr>
            <w:tcW w:w="819" w:type="dxa"/>
          </w:tcPr>
          <w:p w:rsidR="000C5499" w:rsidRPr="000C5499" w:rsidRDefault="000C5499">
            <w:pPr>
              <w:shd w:val="clear" w:color="000000" w:fill="auto"/>
              <w:spacing w:before="60" w:line="200" w:lineRule="exact"/>
              <w:jc w:val="right"/>
              <w:rPr>
                <w:sz w:val="16"/>
                <w:szCs w:val="16"/>
              </w:rPr>
            </w:pPr>
            <w:r w:rsidRPr="000C5499">
              <w:rPr>
                <w:sz w:val="16"/>
                <w:szCs w:val="16"/>
              </w:rPr>
              <w:t>17</w:t>
            </w:r>
          </w:p>
        </w:tc>
        <w:tc>
          <w:tcPr>
            <w:tcW w:w="703" w:type="dxa"/>
          </w:tcPr>
          <w:p w:rsidR="000C5499" w:rsidRPr="000C5499" w:rsidRDefault="000C5499">
            <w:pPr>
              <w:shd w:val="clear" w:color="000000" w:fill="auto"/>
              <w:spacing w:before="60" w:line="200" w:lineRule="exact"/>
              <w:jc w:val="right"/>
              <w:rPr>
                <w:sz w:val="16"/>
                <w:szCs w:val="16"/>
              </w:rPr>
            </w:pPr>
            <w:r w:rsidRPr="000C5499">
              <w:rPr>
                <w:sz w:val="16"/>
                <w:szCs w:val="16"/>
              </w:rPr>
              <w:t>104</w:t>
            </w:r>
          </w:p>
        </w:tc>
        <w:tc>
          <w:tcPr>
            <w:tcW w:w="1143" w:type="dxa"/>
          </w:tcPr>
          <w:p w:rsidR="000C5499" w:rsidRPr="000C5499" w:rsidRDefault="000C5499">
            <w:pPr>
              <w:shd w:val="clear" w:color="000000" w:fill="auto"/>
              <w:spacing w:before="60" w:line="200" w:lineRule="exact"/>
              <w:jc w:val="right"/>
              <w:rPr>
                <w:sz w:val="16"/>
                <w:szCs w:val="16"/>
              </w:rPr>
            </w:pPr>
            <w:r w:rsidRPr="000C5499">
              <w:rPr>
                <w:sz w:val="16"/>
                <w:szCs w:val="16"/>
              </w:rPr>
              <w:t>1,7 miljoner</w:t>
            </w:r>
          </w:p>
        </w:tc>
      </w:tr>
      <w:tr w:rsidR="00000000" w:rsidRPr="000C5499">
        <w:trPr>
          <w:cantSplit/>
        </w:trPr>
        <w:tc>
          <w:tcPr>
            <w:tcW w:w="1068" w:type="dxa"/>
          </w:tcPr>
          <w:p w:rsidR="000C5499" w:rsidRPr="000C5499" w:rsidRDefault="000C5499">
            <w:pPr>
              <w:shd w:val="clear" w:color="000000" w:fill="auto"/>
              <w:spacing w:before="60" w:line="200" w:lineRule="exact"/>
              <w:rPr>
                <w:sz w:val="16"/>
                <w:szCs w:val="16"/>
              </w:rPr>
            </w:pPr>
            <w:r w:rsidRPr="000C5499">
              <w:rPr>
                <w:sz w:val="16"/>
                <w:szCs w:val="16"/>
              </w:rPr>
              <w:t>Skurup</w:t>
            </w:r>
          </w:p>
        </w:tc>
        <w:tc>
          <w:tcPr>
            <w:tcW w:w="720" w:type="dxa"/>
          </w:tcPr>
          <w:p w:rsidR="000C5499" w:rsidRPr="000C5499" w:rsidRDefault="000C5499">
            <w:pPr>
              <w:shd w:val="clear" w:color="000000" w:fill="auto"/>
              <w:spacing w:before="60" w:line="200" w:lineRule="exact"/>
              <w:jc w:val="right"/>
              <w:rPr>
                <w:sz w:val="16"/>
                <w:szCs w:val="16"/>
              </w:rPr>
            </w:pPr>
            <w:r w:rsidRPr="000C5499">
              <w:rPr>
                <w:sz w:val="16"/>
                <w:szCs w:val="16"/>
              </w:rPr>
              <w:t>5</w:t>
            </w:r>
          </w:p>
        </w:tc>
        <w:tc>
          <w:tcPr>
            <w:tcW w:w="840" w:type="dxa"/>
          </w:tcPr>
          <w:p w:rsidR="000C5499" w:rsidRPr="000C5499" w:rsidRDefault="000C5499">
            <w:pPr>
              <w:shd w:val="clear" w:color="000000" w:fill="auto"/>
              <w:spacing w:before="60" w:line="200" w:lineRule="exact"/>
              <w:jc w:val="right"/>
              <w:rPr>
                <w:sz w:val="16"/>
                <w:szCs w:val="16"/>
              </w:rPr>
            </w:pPr>
            <w:r w:rsidRPr="000C5499">
              <w:rPr>
                <w:sz w:val="16"/>
                <w:szCs w:val="16"/>
              </w:rPr>
              <w:t>92</w:t>
            </w:r>
          </w:p>
        </w:tc>
        <w:tc>
          <w:tcPr>
            <w:tcW w:w="638" w:type="dxa"/>
          </w:tcPr>
          <w:p w:rsidR="000C5499" w:rsidRPr="000C5499" w:rsidRDefault="000C5499">
            <w:pPr>
              <w:pStyle w:val="PunktlistaTankstreck"/>
              <w:numPr>
                <w:ilvl w:val="0"/>
                <w:numId w:val="0"/>
              </w:numPr>
              <w:shd w:val="clear" w:color="000000" w:fill="auto"/>
              <w:spacing w:before="60" w:line="200" w:lineRule="exact"/>
              <w:jc w:val="right"/>
              <w:rPr>
                <w:sz w:val="16"/>
                <w:szCs w:val="16"/>
              </w:rPr>
            </w:pPr>
            <w:r w:rsidRPr="000C5499">
              <w:rPr>
                <w:sz w:val="16"/>
                <w:szCs w:val="16"/>
              </w:rPr>
              <w:t>–34</w:t>
            </w:r>
          </w:p>
        </w:tc>
        <w:tc>
          <w:tcPr>
            <w:tcW w:w="703" w:type="dxa"/>
          </w:tcPr>
          <w:p w:rsidR="000C5499" w:rsidRPr="000C5499" w:rsidRDefault="000C5499">
            <w:pPr>
              <w:shd w:val="clear" w:color="000000" w:fill="auto"/>
              <w:spacing w:before="60" w:line="200" w:lineRule="exact"/>
              <w:jc w:val="right"/>
              <w:rPr>
                <w:sz w:val="16"/>
                <w:szCs w:val="16"/>
              </w:rPr>
            </w:pPr>
            <w:r w:rsidRPr="000C5499">
              <w:rPr>
                <w:sz w:val="16"/>
                <w:szCs w:val="16"/>
              </w:rPr>
              <w:t>0</w:t>
            </w:r>
          </w:p>
        </w:tc>
        <w:tc>
          <w:tcPr>
            <w:tcW w:w="819" w:type="dxa"/>
          </w:tcPr>
          <w:p w:rsidR="000C5499" w:rsidRPr="000C5499" w:rsidRDefault="000C5499">
            <w:pPr>
              <w:shd w:val="clear" w:color="000000" w:fill="auto"/>
              <w:spacing w:before="60" w:line="200" w:lineRule="exact"/>
              <w:jc w:val="right"/>
              <w:rPr>
                <w:sz w:val="16"/>
                <w:szCs w:val="16"/>
              </w:rPr>
            </w:pPr>
            <w:r w:rsidRPr="000C5499">
              <w:rPr>
                <w:sz w:val="16"/>
                <w:szCs w:val="16"/>
              </w:rPr>
              <w:t>17</w:t>
            </w:r>
          </w:p>
        </w:tc>
        <w:tc>
          <w:tcPr>
            <w:tcW w:w="703" w:type="dxa"/>
          </w:tcPr>
          <w:p w:rsidR="000C5499" w:rsidRPr="000C5499" w:rsidRDefault="000C5499">
            <w:pPr>
              <w:shd w:val="clear" w:color="000000" w:fill="auto"/>
              <w:spacing w:before="60" w:line="200" w:lineRule="exact"/>
              <w:jc w:val="right"/>
              <w:rPr>
                <w:sz w:val="16"/>
                <w:szCs w:val="16"/>
              </w:rPr>
            </w:pPr>
            <w:r w:rsidRPr="000C5499">
              <w:rPr>
                <w:sz w:val="16"/>
                <w:szCs w:val="16"/>
              </w:rPr>
              <w:t>80</w:t>
            </w:r>
          </w:p>
        </w:tc>
        <w:tc>
          <w:tcPr>
            <w:tcW w:w="1143" w:type="dxa"/>
          </w:tcPr>
          <w:p w:rsidR="000C5499" w:rsidRPr="000C5499" w:rsidRDefault="000C5499">
            <w:pPr>
              <w:shd w:val="clear" w:color="000000" w:fill="auto"/>
              <w:spacing w:before="60" w:line="200" w:lineRule="exact"/>
              <w:jc w:val="right"/>
              <w:rPr>
                <w:sz w:val="16"/>
                <w:szCs w:val="16"/>
              </w:rPr>
            </w:pPr>
            <w:r w:rsidRPr="000C5499">
              <w:rPr>
                <w:sz w:val="16"/>
                <w:szCs w:val="16"/>
              </w:rPr>
              <w:t>1,2 miljoner</w:t>
            </w:r>
          </w:p>
        </w:tc>
      </w:tr>
      <w:tr w:rsidR="00000000" w:rsidRPr="000C5499">
        <w:trPr>
          <w:cantSplit/>
        </w:trPr>
        <w:tc>
          <w:tcPr>
            <w:tcW w:w="1068" w:type="dxa"/>
          </w:tcPr>
          <w:p w:rsidR="000C5499" w:rsidRPr="000C5499" w:rsidRDefault="000C5499">
            <w:pPr>
              <w:shd w:val="clear" w:color="000000" w:fill="auto"/>
              <w:spacing w:before="60" w:line="200" w:lineRule="exact"/>
              <w:rPr>
                <w:sz w:val="16"/>
                <w:szCs w:val="16"/>
              </w:rPr>
            </w:pPr>
            <w:r w:rsidRPr="000C5499">
              <w:rPr>
                <w:sz w:val="16"/>
                <w:szCs w:val="16"/>
              </w:rPr>
              <w:t>Svedala</w:t>
            </w:r>
          </w:p>
        </w:tc>
        <w:tc>
          <w:tcPr>
            <w:tcW w:w="720" w:type="dxa"/>
          </w:tcPr>
          <w:p w:rsidR="000C5499" w:rsidRPr="000C5499" w:rsidRDefault="000C5499">
            <w:pPr>
              <w:shd w:val="clear" w:color="000000" w:fill="auto"/>
              <w:spacing w:before="60" w:line="200" w:lineRule="exact"/>
              <w:jc w:val="right"/>
              <w:rPr>
                <w:sz w:val="16"/>
                <w:szCs w:val="16"/>
              </w:rPr>
            </w:pPr>
            <w:r w:rsidRPr="000C5499">
              <w:rPr>
                <w:sz w:val="16"/>
                <w:szCs w:val="16"/>
              </w:rPr>
              <w:t>6</w:t>
            </w:r>
          </w:p>
        </w:tc>
        <w:tc>
          <w:tcPr>
            <w:tcW w:w="840" w:type="dxa"/>
          </w:tcPr>
          <w:p w:rsidR="000C5499" w:rsidRPr="000C5499" w:rsidRDefault="000C5499">
            <w:pPr>
              <w:shd w:val="clear" w:color="000000" w:fill="auto"/>
              <w:spacing w:before="60" w:line="200" w:lineRule="exact"/>
              <w:jc w:val="right"/>
              <w:rPr>
                <w:sz w:val="16"/>
                <w:szCs w:val="16"/>
              </w:rPr>
            </w:pPr>
            <w:r w:rsidRPr="000C5499">
              <w:rPr>
                <w:sz w:val="16"/>
                <w:szCs w:val="16"/>
              </w:rPr>
              <w:t>86</w:t>
            </w:r>
          </w:p>
        </w:tc>
        <w:tc>
          <w:tcPr>
            <w:tcW w:w="638" w:type="dxa"/>
          </w:tcPr>
          <w:p w:rsidR="000C5499" w:rsidRPr="000C5499" w:rsidRDefault="000C5499">
            <w:pPr>
              <w:pStyle w:val="PunktlistaTankstreck"/>
              <w:numPr>
                <w:ilvl w:val="0"/>
                <w:numId w:val="0"/>
              </w:numPr>
              <w:shd w:val="clear" w:color="000000" w:fill="auto"/>
              <w:spacing w:before="60" w:line="200" w:lineRule="exact"/>
              <w:jc w:val="right"/>
              <w:rPr>
                <w:sz w:val="16"/>
                <w:szCs w:val="16"/>
              </w:rPr>
            </w:pPr>
            <w:r w:rsidRPr="000C5499">
              <w:rPr>
                <w:sz w:val="16"/>
                <w:szCs w:val="16"/>
              </w:rPr>
              <w:t>–33</w:t>
            </w:r>
          </w:p>
        </w:tc>
        <w:tc>
          <w:tcPr>
            <w:tcW w:w="703" w:type="dxa"/>
          </w:tcPr>
          <w:p w:rsidR="000C5499" w:rsidRPr="000C5499" w:rsidRDefault="000C5499">
            <w:pPr>
              <w:shd w:val="clear" w:color="000000" w:fill="auto"/>
              <w:spacing w:before="60" w:line="200" w:lineRule="exact"/>
              <w:jc w:val="right"/>
              <w:rPr>
                <w:sz w:val="16"/>
                <w:szCs w:val="16"/>
              </w:rPr>
            </w:pPr>
            <w:r w:rsidRPr="000C5499">
              <w:rPr>
                <w:sz w:val="16"/>
                <w:szCs w:val="16"/>
              </w:rPr>
              <w:t>0</w:t>
            </w:r>
          </w:p>
        </w:tc>
        <w:tc>
          <w:tcPr>
            <w:tcW w:w="819" w:type="dxa"/>
          </w:tcPr>
          <w:p w:rsidR="000C5499" w:rsidRPr="000C5499" w:rsidRDefault="000C5499">
            <w:pPr>
              <w:shd w:val="clear" w:color="000000" w:fill="auto"/>
              <w:spacing w:before="60" w:line="200" w:lineRule="exact"/>
              <w:jc w:val="right"/>
              <w:rPr>
                <w:sz w:val="16"/>
                <w:szCs w:val="16"/>
              </w:rPr>
            </w:pPr>
            <w:r w:rsidRPr="000C5499">
              <w:rPr>
                <w:sz w:val="16"/>
                <w:szCs w:val="16"/>
              </w:rPr>
              <w:t>17</w:t>
            </w:r>
          </w:p>
        </w:tc>
        <w:tc>
          <w:tcPr>
            <w:tcW w:w="703" w:type="dxa"/>
          </w:tcPr>
          <w:p w:rsidR="000C5499" w:rsidRPr="000C5499" w:rsidRDefault="000C5499">
            <w:pPr>
              <w:shd w:val="clear" w:color="000000" w:fill="auto"/>
              <w:spacing w:before="60" w:line="200" w:lineRule="exact"/>
              <w:jc w:val="right"/>
              <w:rPr>
                <w:sz w:val="16"/>
                <w:szCs w:val="16"/>
              </w:rPr>
            </w:pPr>
            <w:r w:rsidRPr="000C5499">
              <w:rPr>
                <w:sz w:val="16"/>
                <w:szCs w:val="16"/>
              </w:rPr>
              <w:t>76</w:t>
            </w:r>
          </w:p>
        </w:tc>
        <w:tc>
          <w:tcPr>
            <w:tcW w:w="1143" w:type="dxa"/>
          </w:tcPr>
          <w:p w:rsidR="000C5499" w:rsidRPr="000C5499" w:rsidRDefault="000C5499">
            <w:pPr>
              <w:shd w:val="clear" w:color="000000" w:fill="auto"/>
              <w:spacing w:before="60" w:line="200" w:lineRule="exact"/>
              <w:jc w:val="right"/>
              <w:rPr>
                <w:sz w:val="16"/>
                <w:szCs w:val="16"/>
              </w:rPr>
            </w:pPr>
            <w:r w:rsidRPr="000C5499">
              <w:rPr>
                <w:sz w:val="16"/>
                <w:szCs w:val="16"/>
              </w:rPr>
              <w:t>1,5 miljoner</w:t>
            </w:r>
          </w:p>
        </w:tc>
      </w:tr>
      <w:tr w:rsidR="00000000" w:rsidRPr="000C5499">
        <w:trPr>
          <w:cantSplit/>
        </w:trPr>
        <w:tc>
          <w:tcPr>
            <w:tcW w:w="1068" w:type="dxa"/>
          </w:tcPr>
          <w:p w:rsidR="000C5499" w:rsidRPr="000C5499" w:rsidRDefault="000C5499">
            <w:pPr>
              <w:shd w:val="clear" w:color="000000" w:fill="auto"/>
              <w:spacing w:before="60" w:line="200" w:lineRule="exact"/>
              <w:rPr>
                <w:sz w:val="16"/>
                <w:szCs w:val="16"/>
              </w:rPr>
            </w:pPr>
            <w:r w:rsidRPr="000C5499">
              <w:rPr>
                <w:sz w:val="16"/>
                <w:szCs w:val="16"/>
              </w:rPr>
              <w:t>Landskrona</w:t>
            </w:r>
          </w:p>
        </w:tc>
        <w:tc>
          <w:tcPr>
            <w:tcW w:w="720" w:type="dxa"/>
          </w:tcPr>
          <w:p w:rsidR="000C5499" w:rsidRPr="000C5499" w:rsidRDefault="000C5499">
            <w:pPr>
              <w:shd w:val="clear" w:color="000000" w:fill="auto"/>
              <w:spacing w:before="60" w:line="200" w:lineRule="exact"/>
              <w:jc w:val="right"/>
              <w:rPr>
                <w:sz w:val="16"/>
                <w:szCs w:val="16"/>
              </w:rPr>
            </w:pPr>
            <w:r w:rsidRPr="000C5499">
              <w:rPr>
                <w:sz w:val="16"/>
                <w:szCs w:val="16"/>
              </w:rPr>
              <w:t>4</w:t>
            </w:r>
          </w:p>
        </w:tc>
        <w:tc>
          <w:tcPr>
            <w:tcW w:w="840" w:type="dxa"/>
          </w:tcPr>
          <w:p w:rsidR="000C5499" w:rsidRPr="000C5499" w:rsidRDefault="000C5499">
            <w:pPr>
              <w:shd w:val="clear" w:color="000000" w:fill="auto"/>
              <w:spacing w:before="60" w:line="200" w:lineRule="exact"/>
              <w:jc w:val="right"/>
              <w:rPr>
                <w:sz w:val="16"/>
                <w:szCs w:val="16"/>
              </w:rPr>
            </w:pPr>
            <w:r w:rsidRPr="000C5499">
              <w:rPr>
                <w:sz w:val="16"/>
                <w:szCs w:val="16"/>
              </w:rPr>
              <w:t>68</w:t>
            </w:r>
          </w:p>
        </w:tc>
        <w:tc>
          <w:tcPr>
            <w:tcW w:w="638" w:type="dxa"/>
          </w:tcPr>
          <w:p w:rsidR="000C5499" w:rsidRPr="000C5499" w:rsidRDefault="000C5499">
            <w:pPr>
              <w:pStyle w:val="PunktlistaTankstreck"/>
              <w:numPr>
                <w:ilvl w:val="0"/>
                <w:numId w:val="0"/>
              </w:numPr>
              <w:shd w:val="clear" w:color="000000" w:fill="auto"/>
              <w:spacing w:before="60" w:line="200" w:lineRule="exact"/>
              <w:jc w:val="right"/>
              <w:rPr>
                <w:sz w:val="16"/>
                <w:szCs w:val="16"/>
              </w:rPr>
            </w:pPr>
            <w:r w:rsidRPr="000C5499">
              <w:rPr>
                <w:sz w:val="16"/>
                <w:szCs w:val="16"/>
              </w:rPr>
              <w:t>–25</w:t>
            </w:r>
          </w:p>
        </w:tc>
        <w:tc>
          <w:tcPr>
            <w:tcW w:w="703" w:type="dxa"/>
          </w:tcPr>
          <w:p w:rsidR="000C5499" w:rsidRPr="000C5499" w:rsidRDefault="000C5499">
            <w:pPr>
              <w:shd w:val="clear" w:color="000000" w:fill="auto"/>
              <w:spacing w:before="60" w:line="200" w:lineRule="exact"/>
              <w:jc w:val="right"/>
              <w:rPr>
                <w:sz w:val="16"/>
                <w:szCs w:val="16"/>
              </w:rPr>
            </w:pPr>
            <w:r w:rsidRPr="000C5499">
              <w:rPr>
                <w:sz w:val="16"/>
                <w:szCs w:val="16"/>
              </w:rPr>
              <w:t>0</w:t>
            </w:r>
          </w:p>
        </w:tc>
        <w:tc>
          <w:tcPr>
            <w:tcW w:w="819" w:type="dxa"/>
          </w:tcPr>
          <w:p w:rsidR="000C5499" w:rsidRPr="000C5499" w:rsidRDefault="000C5499">
            <w:pPr>
              <w:shd w:val="clear" w:color="000000" w:fill="auto"/>
              <w:spacing w:before="60" w:line="200" w:lineRule="exact"/>
              <w:jc w:val="right"/>
              <w:rPr>
                <w:sz w:val="16"/>
                <w:szCs w:val="16"/>
              </w:rPr>
            </w:pPr>
            <w:r w:rsidRPr="000C5499">
              <w:rPr>
                <w:sz w:val="16"/>
                <w:szCs w:val="16"/>
              </w:rPr>
              <w:t>17</w:t>
            </w:r>
          </w:p>
        </w:tc>
        <w:tc>
          <w:tcPr>
            <w:tcW w:w="703" w:type="dxa"/>
          </w:tcPr>
          <w:p w:rsidR="000C5499" w:rsidRPr="000C5499" w:rsidRDefault="000C5499">
            <w:pPr>
              <w:shd w:val="clear" w:color="000000" w:fill="auto"/>
              <w:spacing w:before="60" w:line="200" w:lineRule="exact"/>
              <w:jc w:val="right"/>
              <w:rPr>
                <w:sz w:val="16"/>
                <w:szCs w:val="16"/>
              </w:rPr>
            </w:pPr>
            <w:r w:rsidRPr="000C5499">
              <w:rPr>
                <w:sz w:val="16"/>
                <w:szCs w:val="16"/>
              </w:rPr>
              <w:t>64</w:t>
            </w:r>
          </w:p>
        </w:tc>
        <w:tc>
          <w:tcPr>
            <w:tcW w:w="1143" w:type="dxa"/>
          </w:tcPr>
          <w:p w:rsidR="000C5499" w:rsidRPr="000C5499" w:rsidRDefault="000C5499">
            <w:pPr>
              <w:shd w:val="clear" w:color="000000" w:fill="auto"/>
              <w:spacing w:before="60" w:line="200" w:lineRule="exact"/>
              <w:jc w:val="right"/>
              <w:rPr>
                <w:sz w:val="16"/>
                <w:szCs w:val="16"/>
              </w:rPr>
            </w:pPr>
            <w:r w:rsidRPr="000C5499">
              <w:rPr>
                <w:sz w:val="16"/>
                <w:szCs w:val="16"/>
              </w:rPr>
              <w:t>2,6 miljoner</w:t>
            </w:r>
          </w:p>
        </w:tc>
      </w:tr>
      <w:tr w:rsidR="00000000" w:rsidRPr="000C5499">
        <w:trPr>
          <w:cantSplit/>
        </w:trPr>
        <w:tc>
          <w:tcPr>
            <w:tcW w:w="1068" w:type="dxa"/>
          </w:tcPr>
          <w:p w:rsidR="000C5499" w:rsidRPr="000C5499" w:rsidRDefault="000C5499">
            <w:pPr>
              <w:shd w:val="clear" w:color="000000" w:fill="auto"/>
              <w:spacing w:before="60" w:line="200" w:lineRule="exact"/>
              <w:rPr>
                <w:sz w:val="16"/>
                <w:szCs w:val="16"/>
              </w:rPr>
            </w:pPr>
            <w:r w:rsidRPr="000C5499">
              <w:rPr>
                <w:sz w:val="16"/>
                <w:szCs w:val="16"/>
              </w:rPr>
              <w:t>Trelleborg</w:t>
            </w:r>
          </w:p>
        </w:tc>
        <w:tc>
          <w:tcPr>
            <w:tcW w:w="720" w:type="dxa"/>
          </w:tcPr>
          <w:p w:rsidR="000C5499" w:rsidRPr="000C5499" w:rsidRDefault="000C5499">
            <w:pPr>
              <w:shd w:val="clear" w:color="000000" w:fill="auto"/>
              <w:spacing w:before="60" w:line="200" w:lineRule="exact"/>
              <w:jc w:val="right"/>
              <w:rPr>
                <w:sz w:val="16"/>
                <w:szCs w:val="16"/>
              </w:rPr>
            </w:pPr>
            <w:r w:rsidRPr="000C5499">
              <w:rPr>
                <w:sz w:val="16"/>
                <w:szCs w:val="16"/>
              </w:rPr>
              <w:t>5</w:t>
            </w:r>
          </w:p>
        </w:tc>
        <w:tc>
          <w:tcPr>
            <w:tcW w:w="840" w:type="dxa"/>
          </w:tcPr>
          <w:p w:rsidR="000C5499" w:rsidRPr="000C5499" w:rsidRDefault="000C5499">
            <w:pPr>
              <w:shd w:val="clear" w:color="000000" w:fill="auto"/>
              <w:spacing w:before="60" w:line="200" w:lineRule="exact"/>
              <w:jc w:val="right"/>
              <w:rPr>
                <w:sz w:val="16"/>
                <w:szCs w:val="16"/>
              </w:rPr>
            </w:pPr>
            <w:r w:rsidRPr="000C5499">
              <w:rPr>
                <w:sz w:val="16"/>
                <w:szCs w:val="16"/>
              </w:rPr>
              <w:t>62</w:t>
            </w:r>
          </w:p>
        </w:tc>
        <w:tc>
          <w:tcPr>
            <w:tcW w:w="638" w:type="dxa"/>
          </w:tcPr>
          <w:p w:rsidR="000C5499" w:rsidRPr="000C5499" w:rsidRDefault="000C5499">
            <w:pPr>
              <w:pStyle w:val="PunktlistaTankstreck"/>
              <w:numPr>
                <w:ilvl w:val="0"/>
                <w:numId w:val="0"/>
              </w:numPr>
              <w:shd w:val="clear" w:color="000000" w:fill="auto"/>
              <w:spacing w:before="60" w:line="200" w:lineRule="exact"/>
              <w:jc w:val="right"/>
              <w:rPr>
                <w:sz w:val="16"/>
                <w:szCs w:val="16"/>
              </w:rPr>
            </w:pPr>
            <w:r w:rsidRPr="000C5499">
              <w:rPr>
                <w:sz w:val="16"/>
                <w:szCs w:val="16"/>
              </w:rPr>
              <w:t>–25</w:t>
            </w:r>
          </w:p>
        </w:tc>
        <w:tc>
          <w:tcPr>
            <w:tcW w:w="703" w:type="dxa"/>
          </w:tcPr>
          <w:p w:rsidR="000C5499" w:rsidRPr="000C5499" w:rsidRDefault="000C5499">
            <w:pPr>
              <w:shd w:val="clear" w:color="000000" w:fill="auto"/>
              <w:spacing w:before="60" w:line="200" w:lineRule="exact"/>
              <w:jc w:val="right"/>
              <w:rPr>
                <w:sz w:val="16"/>
                <w:szCs w:val="16"/>
              </w:rPr>
            </w:pPr>
            <w:r w:rsidRPr="000C5499">
              <w:rPr>
                <w:sz w:val="16"/>
                <w:szCs w:val="16"/>
              </w:rPr>
              <w:t>0</w:t>
            </w:r>
          </w:p>
        </w:tc>
        <w:tc>
          <w:tcPr>
            <w:tcW w:w="819" w:type="dxa"/>
          </w:tcPr>
          <w:p w:rsidR="000C5499" w:rsidRPr="000C5499" w:rsidRDefault="000C5499">
            <w:pPr>
              <w:shd w:val="clear" w:color="000000" w:fill="auto"/>
              <w:spacing w:before="60" w:line="200" w:lineRule="exact"/>
              <w:jc w:val="right"/>
              <w:rPr>
                <w:sz w:val="16"/>
                <w:szCs w:val="16"/>
              </w:rPr>
            </w:pPr>
            <w:r w:rsidRPr="000C5499">
              <w:rPr>
                <w:sz w:val="16"/>
                <w:szCs w:val="16"/>
              </w:rPr>
              <w:t>17</w:t>
            </w:r>
          </w:p>
        </w:tc>
        <w:tc>
          <w:tcPr>
            <w:tcW w:w="703" w:type="dxa"/>
          </w:tcPr>
          <w:p w:rsidR="000C5499" w:rsidRPr="000C5499" w:rsidRDefault="000C5499">
            <w:pPr>
              <w:shd w:val="clear" w:color="000000" w:fill="auto"/>
              <w:spacing w:before="60" w:line="200" w:lineRule="exact"/>
              <w:jc w:val="right"/>
              <w:rPr>
                <w:sz w:val="16"/>
                <w:szCs w:val="16"/>
              </w:rPr>
            </w:pPr>
            <w:r w:rsidRPr="000C5499">
              <w:rPr>
                <w:sz w:val="16"/>
                <w:szCs w:val="16"/>
              </w:rPr>
              <w:t>59</w:t>
            </w:r>
          </w:p>
        </w:tc>
        <w:tc>
          <w:tcPr>
            <w:tcW w:w="1143" w:type="dxa"/>
          </w:tcPr>
          <w:p w:rsidR="000C5499" w:rsidRPr="000C5499" w:rsidRDefault="000C5499">
            <w:pPr>
              <w:shd w:val="clear" w:color="000000" w:fill="auto"/>
              <w:spacing w:before="60" w:line="200" w:lineRule="exact"/>
              <w:jc w:val="right"/>
              <w:rPr>
                <w:sz w:val="16"/>
                <w:szCs w:val="16"/>
              </w:rPr>
            </w:pPr>
            <w:r w:rsidRPr="000C5499">
              <w:rPr>
                <w:sz w:val="16"/>
                <w:szCs w:val="16"/>
              </w:rPr>
              <w:t>2,5 miljoner</w:t>
            </w:r>
          </w:p>
        </w:tc>
      </w:tr>
      <w:tr w:rsidR="00000000" w:rsidRPr="000C5499">
        <w:trPr>
          <w:cantSplit/>
        </w:trPr>
        <w:tc>
          <w:tcPr>
            <w:tcW w:w="1068" w:type="dxa"/>
          </w:tcPr>
          <w:p w:rsidR="000C5499" w:rsidRPr="000C5499" w:rsidRDefault="000C5499">
            <w:pPr>
              <w:shd w:val="clear" w:color="000000" w:fill="auto"/>
              <w:spacing w:before="60" w:line="200" w:lineRule="exact"/>
              <w:rPr>
                <w:sz w:val="16"/>
                <w:szCs w:val="16"/>
              </w:rPr>
            </w:pPr>
            <w:r w:rsidRPr="000C5499">
              <w:rPr>
                <w:sz w:val="16"/>
                <w:szCs w:val="16"/>
              </w:rPr>
              <w:t>Bjuv</w:t>
            </w:r>
          </w:p>
        </w:tc>
        <w:tc>
          <w:tcPr>
            <w:tcW w:w="720" w:type="dxa"/>
          </w:tcPr>
          <w:p w:rsidR="000C5499" w:rsidRPr="000C5499" w:rsidRDefault="000C5499">
            <w:pPr>
              <w:shd w:val="clear" w:color="000000" w:fill="auto"/>
              <w:spacing w:before="60" w:line="200" w:lineRule="exact"/>
              <w:jc w:val="right"/>
              <w:rPr>
                <w:sz w:val="16"/>
                <w:szCs w:val="16"/>
              </w:rPr>
            </w:pPr>
            <w:r w:rsidRPr="000C5499">
              <w:rPr>
                <w:sz w:val="16"/>
                <w:szCs w:val="16"/>
              </w:rPr>
              <w:t>3</w:t>
            </w:r>
          </w:p>
        </w:tc>
        <w:tc>
          <w:tcPr>
            <w:tcW w:w="840" w:type="dxa"/>
          </w:tcPr>
          <w:p w:rsidR="000C5499" w:rsidRPr="000C5499" w:rsidRDefault="000C5499">
            <w:pPr>
              <w:shd w:val="clear" w:color="000000" w:fill="auto"/>
              <w:spacing w:before="60" w:line="200" w:lineRule="exact"/>
              <w:jc w:val="right"/>
              <w:rPr>
                <w:sz w:val="16"/>
                <w:szCs w:val="16"/>
              </w:rPr>
            </w:pPr>
            <w:r w:rsidRPr="000C5499">
              <w:rPr>
                <w:sz w:val="16"/>
                <w:szCs w:val="16"/>
              </w:rPr>
              <w:t>69</w:t>
            </w:r>
          </w:p>
        </w:tc>
        <w:tc>
          <w:tcPr>
            <w:tcW w:w="638" w:type="dxa"/>
          </w:tcPr>
          <w:p w:rsidR="000C5499" w:rsidRPr="000C5499" w:rsidRDefault="000C5499">
            <w:pPr>
              <w:pStyle w:val="PunktlistaTankstreck"/>
              <w:numPr>
                <w:ilvl w:val="0"/>
                <w:numId w:val="0"/>
              </w:numPr>
              <w:shd w:val="clear" w:color="000000" w:fill="auto"/>
              <w:spacing w:before="60" w:line="200" w:lineRule="exact"/>
              <w:jc w:val="right"/>
              <w:rPr>
                <w:sz w:val="16"/>
                <w:szCs w:val="16"/>
              </w:rPr>
            </w:pPr>
            <w:r w:rsidRPr="000C5499">
              <w:rPr>
                <w:sz w:val="16"/>
                <w:szCs w:val="16"/>
              </w:rPr>
              <w:t>–32</w:t>
            </w:r>
          </w:p>
        </w:tc>
        <w:tc>
          <w:tcPr>
            <w:tcW w:w="703" w:type="dxa"/>
          </w:tcPr>
          <w:p w:rsidR="000C5499" w:rsidRPr="000C5499" w:rsidRDefault="000C5499">
            <w:pPr>
              <w:shd w:val="clear" w:color="000000" w:fill="auto"/>
              <w:spacing w:before="60" w:line="200" w:lineRule="exact"/>
              <w:jc w:val="right"/>
              <w:rPr>
                <w:sz w:val="16"/>
                <w:szCs w:val="16"/>
              </w:rPr>
            </w:pPr>
            <w:r w:rsidRPr="000C5499">
              <w:rPr>
                <w:sz w:val="16"/>
                <w:szCs w:val="16"/>
              </w:rPr>
              <w:t>0</w:t>
            </w:r>
          </w:p>
        </w:tc>
        <w:tc>
          <w:tcPr>
            <w:tcW w:w="819" w:type="dxa"/>
          </w:tcPr>
          <w:p w:rsidR="000C5499" w:rsidRPr="000C5499" w:rsidRDefault="000C5499">
            <w:pPr>
              <w:shd w:val="clear" w:color="000000" w:fill="auto"/>
              <w:spacing w:before="60" w:line="200" w:lineRule="exact"/>
              <w:jc w:val="right"/>
              <w:rPr>
                <w:sz w:val="16"/>
                <w:szCs w:val="16"/>
              </w:rPr>
            </w:pPr>
            <w:r w:rsidRPr="000C5499">
              <w:rPr>
                <w:sz w:val="16"/>
                <w:szCs w:val="16"/>
              </w:rPr>
              <w:t>17</w:t>
            </w:r>
          </w:p>
        </w:tc>
        <w:tc>
          <w:tcPr>
            <w:tcW w:w="703" w:type="dxa"/>
          </w:tcPr>
          <w:p w:rsidR="000C5499" w:rsidRPr="000C5499" w:rsidRDefault="000C5499">
            <w:pPr>
              <w:shd w:val="clear" w:color="000000" w:fill="auto"/>
              <w:spacing w:before="60" w:line="200" w:lineRule="exact"/>
              <w:jc w:val="right"/>
              <w:rPr>
                <w:sz w:val="16"/>
                <w:szCs w:val="16"/>
              </w:rPr>
            </w:pPr>
            <w:r w:rsidRPr="000C5499">
              <w:rPr>
                <w:sz w:val="16"/>
                <w:szCs w:val="16"/>
              </w:rPr>
              <w:t>57</w:t>
            </w:r>
          </w:p>
        </w:tc>
        <w:tc>
          <w:tcPr>
            <w:tcW w:w="1143" w:type="dxa"/>
          </w:tcPr>
          <w:p w:rsidR="000C5499" w:rsidRPr="000C5499" w:rsidRDefault="000C5499">
            <w:pPr>
              <w:shd w:val="clear" w:color="000000" w:fill="auto"/>
              <w:spacing w:before="60" w:line="200" w:lineRule="exact"/>
              <w:jc w:val="right"/>
              <w:rPr>
                <w:sz w:val="16"/>
                <w:szCs w:val="16"/>
              </w:rPr>
            </w:pPr>
            <w:r w:rsidRPr="000C5499">
              <w:rPr>
                <w:sz w:val="16"/>
                <w:szCs w:val="16"/>
              </w:rPr>
              <w:t>0,8 miljoner</w:t>
            </w:r>
          </w:p>
        </w:tc>
      </w:tr>
      <w:tr w:rsidR="00000000" w:rsidRPr="000C5499">
        <w:trPr>
          <w:cantSplit/>
        </w:trPr>
        <w:tc>
          <w:tcPr>
            <w:tcW w:w="1068" w:type="dxa"/>
            <w:tcBorders>
              <w:bottom w:val="single" w:sz="4" w:space="0" w:color="auto"/>
            </w:tcBorders>
          </w:tcPr>
          <w:p w:rsidR="000C5499" w:rsidRPr="000C5499" w:rsidRDefault="000C5499">
            <w:pPr>
              <w:shd w:val="clear" w:color="000000" w:fill="auto"/>
              <w:spacing w:before="60" w:line="200" w:lineRule="exact"/>
              <w:rPr>
                <w:sz w:val="16"/>
                <w:szCs w:val="16"/>
              </w:rPr>
            </w:pPr>
            <w:r w:rsidRPr="000C5499">
              <w:rPr>
                <w:sz w:val="16"/>
                <w:szCs w:val="16"/>
              </w:rPr>
              <w:t>Lomma</w:t>
            </w:r>
          </w:p>
        </w:tc>
        <w:tc>
          <w:tcPr>
            <w:tcW w:w="720" w:type="dxa"/>
            <w:tcBorders>
              <w:bottom w:val="single" w:sz="4" w:space="0" w:color="auto"/>
            </w:tcBorders>
          </w:tcPr>
          <w:p w:rsidR="000C5499" w:rsidRPr="000C5499" w:rsidRDefault="000C5499">
            <w:pPr>
              <w:shd w:val="clear" w:color="000000" w:fill="auto"/>
              <w:spacing w:before="60" w:line="200" w:lineRule="exact"/>
              <w:jc w:val="right"/>
              <w:rPr>
                <w:sz w:val="16"/>
                <w:szCs w:val="16"/>
              </w:rPr>
            </w:pPr>
            <w:r w:rsidRPr="000C5499">
              <w:rPr>
                <w:sz w:val="16"/>
                <w:szCs w:val="16"/>
              </w:rPr>
              <w:t>10</w:t>
            </w:r>
          </w:p>
        </w:tc>
        <w:tc>
          <w:tcPr>
            <w:tcW w:w="840" w:type="dxa"/>
            <w:tcBorders>
              <w:bottom w:val="single" w:sz="4" w:space="0" w:color="auto"/>
            </w:tcBorders>
          </w:tcPr>
          <w:p w:rsidR="000C5499" w:rsidRPr="000C5499" w:rsidRDefault="000C5499">
            <w:pPr>
              <w:shd w:val="clear" w:color="000000" w:fill="auto"/>
              <w:spacing w:before="60" w:line="200" w:lineRule="exact"/>
              <w:jc w:val="right"/>
              <w:rPr>
                <w:sz w:val="16"/>
                <w:szCs w:val="16"/>
              </w:rPr>
            </w:pPr>
            <w:r w:rsidRPr="000C5499">
              <w:rPr>
                <w:sz w:val="16"/>
                <w:szCs w:val="16"/>
              </w:rPr>
              <w:t>41</w:t>
            </w:r>
          </w:p>
        </w:tc>
        <w:tc>
          <w:tcPr>
            <w:tcW w:w="638" w:type="dxa"/>
            <w:tcBorders>
              <w:bottom w:val="single" w:sz="4" w:space="0" w:color="auto"/>
            </w:tcBorders>
          </w:tcPr>
          <w:p w:rsidR="000C5499" w:rsidRPr="000C5499" w:rsidRDefault="000C5499">
            <w:pPr>
              <w:pStyle w:val="PunktlistaTankstreck"/>
              <w:numPr>
                <w:ilvl w:val="0"/>
                <w:numId w:val="0"/>
              </w:numPr>
              <w:shd w:val="clear" w:color="000000" w:fill="auto"/>
              <w:spacing w:before="60" w:line="200" w:lineRule="exact"/>
              <w:jc w:val="right"/>
              <w:rPr>
                <w:sz w:val="16"/>
                <w:szCs w:val="16"/>
              </w:rPr>
            </w:pPr>
            <w:r w:rsidRPr="000C5499">
              <w:rPr>
                <w:sz w:val="16"/>
                <w:szCs w:val="16"/>
              </w:rPr>
              <w:t>–11</w:t>
            </w:r>
          </w:p>
        </w:tc>
        <w:tc>
          <w:tcPr>
            <w:tcW w:w="703" w:type="dxa"/>
            <w:tcBorders>
              <w:bottom w:val="single" w:sz="4" w:space="0" w:color="auto"/>
            </w:tcBorders>
          </w:tcPr>
          <w:p w:rsidR="000C5499" w:rsidRPr="000C5499" w:rsidRDefault="000C5499">
            <w:pPr>
              <w:shd w:val="clear" w:color="000000" w:fill="auto"/>
              <w:spacing w:before="60" w:line="200" w:lineRule="exact"/>
              <w:jc w:val="right"/>
              <w:rPr>
                <w:sz w:val="16"/>
                <w:szCs w:val="16"/>
              </w:rPr>
            </w:pPr>
            <w:r w:rsidRPr="000C5499">
              <w:rPr>
                <w:sz w:val="16"/>
                <w:szCs w:val="16"/>
              </w:rPr>
              <w:t>0</w:t>
            </w:r>
          </w:p>
        </w:tc>
        <w:tc>
          <w:tcPr>
            <w:tcW w:w="819" w:type="dxa"/>
            <w:tcBorders>
              <w:bottom w:val="single" w:sz="4" w:space="0" w:color="auto"/>
            </w:tcBorders>
          </w:tcPr>
          <w:p w:rsidR="000C5499" w:rsidRPr="000C5499" w:rsidRDefault="000C5499">
            <w:pPr>
              <w:shd w:val="clear" w:color="000000" w:fill="auto"/>
              <w:spacing w:before="60" w:line="200" w:lineRule="exact"/>
              <w:jc w:val="right"/>
              <w:rPr>
                <w:sz w:val="16"/>
                <w:szCs w:val="16"/>
              </w:rPr>
            </w:pPr>
            <w:r w:rsidRPr="000C5499">
              <w:rPr>
                <w:sz w:val="16"/>
                <w:szCs w:val="16"/>
              </w:rPr>
              <w:t>17</w:t>
            </w:r>
          </w:p>
        </w:tc>
        <w:tc>
          <w:tcPr>
            <w:tcW w:w="703" w:type="dxa"/>
            <w:tcBorders>
              <w:bottom w:val="single" w:sz="4" w:space="0" w:color="auto"/>
            </w:tcBorders>
          </w:tcPr>
          <w:p w:rsidR="000C5499" w:rsidRPr="000C5499" w:rsidRDefault="000C5499">
            <w:pPr>
              <w:shd w:val="clear" w:color="000000" w:fill="auto"/>
              <w:spacing w:before="60" w:line="200" w:lineRule="exact"/>
              <w:jc w:val="right"/>
              <w:rPr>
                <w:sz w:val="16"/>
                <w:szCs w:val="16"/>
              </w:rPr>
            </w:pPr>
            <w:r w:rsidRPr="000C5499">
              <w:rPr>
                <w:sz w:val="16"/>
                <w:szCs w:val="16"/>
              </w:rPr>
              <w:t>57</w:t>
            </w:r>
          </w:p>
        </w:tc>
        <w:tc>
          <w:tcPr>
            <w:tcW w:w="1143" w:type="dxa"/>
            <w:tcBorders>
              <w:bottom w:val="single" w:sz="4" w:space="0" w:color="auto"/>
            </w:tcBorders>
          </w:tcPr>
          <w:p w:rsidR="000C5499" w:rsidRPr="000C5499" w:rsidRDefault="000C5499">
            <w:pPr>
              <w:shd w:val="clear" w:color="000000" w:fill="auto"/>
              <w:spacing w:before="60" w:line="200" w:lineRule="exact"/>
              <w:jc w:val="right"/>
              <w:rPr>
                <w:sz w:val="16"/>
                <w:szCs w:val="16"/>
              </w:rPr>
            </w:pPr>
            <w:r w:rsidRPr="000C5499">
              <w:rPr>
                <w:sz w:val="16"/>
                <w:szCs w:val="16"/>
              </w:rPr>
              <w:t>1,2 miljoner</w:t>
            </w:r>
          </w:p>
        </w:tc>
      </w:tr>
    </w:tbl>
    <w:p w:rsidR="000C5499" w:rsidRPr="000C5499" w:rsidRDefault="000C5499">
      <w:pPr>
        <w:shd w:val="clear" w:color="000000" w:fill="auto"/>
      </w:pPr>
      <w:r w:rsidRPr="000C5499">
        <w:t>Andra kommuner i Värmland och Bohuslän skulle också påverkas kraftigt om de fick behålla skattepengarna i sin kommun.</w:t>
      </w:r>
    </w:p>
    <w:p w:rsidR="000C5499" w:rsidRPr="000C5499" w:rsidRDefault="000C5499">
      <w:pPr>
        <w:pStyle w:val="Normaltindrag"/>
        <w:shd w:val="clear" w:color="000000" w:fill="auto"/>
      </w:pPr>
      <w:r w:rsidRPr="000C5499">
        <w:t>Denna uträkning byggde på ett statistiskt tillfälle då man fick tillgång till pendlarnas inkomstuppgifter för detta år. Normalt har inte Sverige tillgång till dessa uppgifter och utan dem kan inte kostnadsutjämningen göras rättvist.</w:t>
      </w:r>
    </w:p>
    <w:p w:rsidR="000C5499" w:rsidRPr="000C5499" w:rsidRDefault="000C5499">
      <w:pPr>
        <w:pStyle w:val="Rubrik2"/>
        <w:shd w:val="clear" w:color="000000" w:fill="auto"/>
      </w:pPr>
      <w:r w:rsidRPr="000C5499">
        <w:t>Effekterna för Region Skåne</w:t>
      </w:r>
    </w:p>
    <w:p w:rsidR="000C5499" w:rsidRPr="000C5499" w:rsidRDefault="000C5499">
      <w:pPr>
        <w:shd w:val="clear" w:color="000000" w:fill="auto"/>
      </w:pPr>
      <w:r w:rsidRPr="000C5499">
        <w:t>I samma rapport från Statskontoret har en motsvarande räkneoperation gjorts för landstingssidan. Enligt den skulle Region Skåne få 26 kr/invånare, dvs. 31 miljoner mer i utjämning.</w:t>
      </w:r>
    </w:p>
    <w:p w:rsidR="000C5499" w:rsidRPr="000C5499" w:rsidRDefault="000C5499">
      <w:pPr>
        <w:pStyle w:val="Rubrik2"/>
        <w:shd w:val="clear" w:color="000000" w:fill="auto"/>
      </w:pPr>
      <w:r w:rsidRPr="000C5499">
        <w:t>Omförhandla skatteavtalet</w:t>
      </w:r>
    </w:p>
    <w:p w:rsidR="000C5499" w:rsidRPr="000C5499" w:rsidRDefault="000C5499">
      <w:pPr>
        <w:shd w:val="clear" w:color="000000" w:fill="auto"/>
      </w:pPr>
      <w:r w:rsidRPr="000C5499">
        <w:t>Det är hög tid att omförhandla skatteavtalet med Danmark. I takt med att pendlingen ökar så ökar också skatteklyftan, och det blir allt svårare att få till en rättvis ordning. Regeringens långbänk och ovilja att ta i frågan måste br</w:t>
      </w:r>
      <w:r w:rsidRPr="000C5499">
        <w:t>y</w:t>
      </w:r>
      <w:r w:rsidRPr="000C5499">
        <w:t>tas. Riksdagen måste ge ett tydligt uppdrag till regeringen att prioritera fr</w:t>
      </w:r>
      <w:r w:rsidRPr="000C5499">
        <w:t>å</w:t>
      </w:r>
      <w:r w:rsidRPr="000C5499">
        <w:t>gan.</w:t>
      </w:r>
    </w:p>
    <w:p w:rsidR="000C5499" w:rsidRPr="000C5499" w:rsidRDefault="000C5499">
      <w:pPr>
        <w:pStyle w:val="Rubrik2"/>
        <w:shd w:val="clear" w:color="000000" w:fill="auto"/>
      </w:pPr>
      <w:r w:rsidRPr="000C5499">
        <w:t>Krav på ett nytt avtal</w:t>
      </w:r>
    </w:p>
    <w:p w:rsidR="000C5499" w:rsidRPr="000C5499" w:rsidRDefault="000C5499">
      <w:pPr>
        <w:shd w:val="clear" w:color="000000" w:fill="auto"/>
      </w:pPr>
      <w:r w:rsidRPr="000C5499">
        <w:t>Utgångspunkten för ett nytt avtal måste vara att bostadskommunerna och landstingen får en rimlig täckning för de välfärdstjänster man erbjuder pen</w:t>
      </w:r>
      <w:r w:rsidRPr="000C5499">
        <w:t>d</w:t>
      </w:r>
      <w:r w:rsidRPr="000C5499">
        <w:t>larna i form av skola, sjukvård etc. Eftersom samhällsorganisationen numera är asymmetrisk i Danmark och Sverige vad avser beskattningsrätten är det rimligt att utgå ifrån en procentsats, ca 25 % av den beskattningsbara inkom</w:t>
      </w:r>
      <w:r w:rsidRPr="000C5499">
        <w:t>s</w:t>
      </w:r>
      <w:r w:rsidRPr="000C5499">
        <w:t>ten, som ska föras över till kommun och landsting. Naturligtvis måste b</w:t>
      </w:r>
      <w:r w:rsidRPr="000C5499">
        <w:t>e</w:t>
      </w:r>
      <w:r w:rsidRPr="000C5499">
        <w:t>loppsgränser och undantaget för offentliganställda osv. tas bort, men den slutliga tekniska lösningen får förhandlingarna lösa.</w:t>
      </w:r>
    </w:p>
    <w:p w:rsidR="000C5499" w:rsidRPr="000C5499" w:rsidRDefault="000C5499">
      <w:pPr>
        <w:pStyle w:val="Normaltindrag"/>
        <w:shd w:val="clear" w:color="000000" w:fill="auto"/>
      </w:pPr>
      <w:r w:rsidRPr="000C5499">
        <w:t>För att det svenska skatteutjämningssystemet ska kunna ta hand om i</w:t>
      </w:r>
      <w:r w:rsidRPr="000C5499">
        <w:t>n</w:t>
      </w:r>
      <w:r w:rsidRPr="000C5499">
        <w:t>komsterna från gränspendlarna måste också skatteavtalet innehålla en öve</w:t>
      </w:r>
      <w:r w:rsidRPr="000C5499">
        <w:t>r</w:t>
      </w:r>
      <w:r w:rsidRPr="000C5499">
        <w:t>enskommelse att byta inkomstuppgifter på individnivå så att pendlarkomm</w:t>
      </w:r>
      <w:r w:rsidRPr="000C5499">
        <w:t>u</w:t>
      </w:r>
      <w:r w:rsidRPr="000C5499">
        <w:t>nerna kan behandlas rättvist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5499">
        <w:trPr>
          <w:cantSplit/>
        </w:trPr>
        <w:tc>
          <w:tcPr>
            <w:tcW w:w="3046" w:type="dxa"/>
          </w:tcPr>
          <w:p w:rsidR="000C5499" w:rsidRPr="000C5499" w:rsidRDefault="000C5499">
            <w:pPr>
              <w:pStyle w:val="UnderskriftDatum"/>
              <w:shd w:val="clear" w:color="000000" w:fill="auto"/>
              <w:spacing w:before="240"/>
            </w:pPr>
            <w:r w:rsidRPr="000C5499">
              <w:t>Stockholm den 2 februari 2011</w:t>
            </w:r>
          </w:p>
        </w:tc>
        <w:tc>
          <w:tcPr>
            <w:tcW w:w="3047" w:type="dxa"/>
          </w:tcPr>
          <w:p w:rsidR="000C5499" w:rsidRPr="000C5499" w:rsidRDefault="000C5499">
            <w:pPr>
              <w:pStyle w:val="Underskrifter"/>
              <w:shd w:val="clear" w:color="000000" w:fill="auto"/>
              <w:spacing w:before="240"/>
            </w:pPr>
          </w:p>
        </w:tc>
      </w:tr>
      <w:tr w:rsidR="00000000" w:rsidRPr="000C5499">
        <w:trPr>
          <w:cantSplit/>
        </w:trPr>
        <w:tc>
          <w:tcPr>
            <w:tcW w:w="3046" w:type="dxa"/>
          </w:tcPr>
          <w:p w:rsidR="000C5499" w:rsidRPr="000C5499" w:rsidRDefault="000C5499">
            <w:pPr>
              <w:pStyle w:val="Underskrifter"/>
              <w:shd w:val="clear" w:color="000000" w:fill="auto"/>
            </w:pPr>
            <w:r w:rsidRPr="000C5499">
              <w:t>Leif Jakobsson (S)</w:t>
            </w:r>
          </w:p>
        </w:tc>
        <w:tc>
          <w:tcPr>
            <w:tcW w:w="3046" w:type="dxa"/>
          </w:tcPr>
          <w:p w:rsidR="000C5499" w:rsidRPr="000C5499" w:rsidRDefault="000C5499">
            <w:pPr>
              <w:pStyle w:val="Underskrifter"/>
              <w:shd w:val="clear" w:color="000000" w:fill="auto"/>
            </w:pPr>
          </w:p>
        </w:tc>
      </w:tr>
    </w:tbl>
    <w:p w:rsidR="000C5499" w:rsidRPr="000C5499" w:rsidRDefault="000C5499">
      <w:pPr>
        <w:pStyle w:val="Normaltindrag"/>
        <w:shd w:val="clear" w:color="000000" w:fill="auto"/>
      </w:pPr>
    </w:p>
    <w:sectPr w:rsidR="00000000" w:rsidRPr="000C54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5499" w:rsidRPr="000C5499" w:rsidRDefault="000C5499">
      <w:r w:rsidRPr="000C5499">
        <w:separator/>
      </w:r>
    </w:p>
  </w:endnote>
  <w:endnote w:type="continuationSeparator" w:id="0">
    <w:p w:rsidR="000C5499" w:rsidRPr="000C5499" w:rsidRDefault="000C5499">
      <w:r w:rsidRPr="000C54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499" w:rsidRPr="000C5499" w:rsidRDefault="000C5499">
    <w:pPr>
      <w:pStyle w:val="Sidfot"/>
    </w:pPr>
    <w:r w:rsidRPr="000C54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42260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499" w:rsidRDefault="000C549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5499" w:rsidRDefault="000C549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499" w:rsidRPr="000C5499" w:rsidRDefault="000C5499">
    <w:pPr>
      <w:pStyle w:val="Sidfot"/>
    </w:pPr>
    <w:r w:rsidRPr="000C54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32823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499" w:rsidRDefault="000C54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5499" w:rsidRDefault="000C54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499" w:rsidRPr="000C5499" w:rsidRDefault="000C5499">
    <w:pPr>
      <w:pStyle w:val="Sidfot"/>
    </w:pPr>
    <w:r w:rsidRPr="000C54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6078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499" w:rsidRDefault="000C54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5499" w:rsidRDefault="000C54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5499" w:rsidRPr="000C5499" w:rsidRDefault="000C5499">
      <w:r w:rsidRPr="000C5499">
        <w:separator/>
      </w:r>
    </w:p>
  </w:footnote>
  <w:footnote w:type="continuationSeparator" w:id="0">
    <w:p w:rsidR="000C5499" w:rsidRPr="000C5499" w:rsidRDefault="000C5499">
      <w:r w:rsidRPr="000C54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499" w:rsidRPr="000C5499" w:rsidRDefault="000C5499">
    <w:pPr>
      <w:pStyle w:val="Sidhuvud"/>
    </w:pPr>
    <w:r w:rsidRPr="000C54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52821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499" w:rsidRDefault="000C54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5499" w:rsidRDefault="000C54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499" w:rsidRPr="000C5499" w:rsidRDefault="000C5499">
    <w:pPr>
      <w:pStyle w:val="Sidhuvud"/>
    </w:pPr>
    <w:r w:rsidRPr="000C54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46599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499" w:rsidRDefault="000C54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5499" w:rsidRDefault="000C54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499" w:rsidRPr="000C5499" w:rsidRDefault="000C5499">
    <w:pPr>
      <w:pStyle w:val="FSHNormal"/>
      <w:tabs>
        <w:tab w:val="right" w:pos="5840"/>
      </w:tabs>
    </w:pPr>
    <w:r w:rsidRPr="000C5499">
      <w:br/>
    </w:r>
    <w:r w:rsidRPr="000C5499">
      <w:fldChar w:fldCharType="begin" w:fldLock="1"/>
    </w:r>
    <w:r w:rsidRPr="000C5499">
      <w:instrText xml:space="preserve"> DOCPROPERTY</w:instrText>
    </w:r>
    <w:r w:rsidRPr="000C5499">
      <w:rPr>
        <w:sz w:val="18"/>
      </w:rPr>
      <w:instrText xml:space="preserve"> "YearUser" *\charformat </w:instrText>
    </w:r>
    <w:r w:rsidRPr="000C5499">
      <w:fldChar w:fldCharType="separate"/>
    </w:r>
    <w:r w:rsidRPr="000C5499">
      <w:t>2010/11</w:t>
    </w:r>
    <w:r w:rsidRPr="000C5499">
      <w:fldChar w:fldCharType="end"/>
    </w:r>
    <w:r w:rsidRPr="000C5499">
      <w:t xml:space="preserve"> </w:t>
    </w:r>
    <w:r w:rsidRPr="000C5499">
      <w:tab/>
      <w:t xml:space="preserve">mnr: </w:t>
    </w:r>
    <w:r w:rsidRPr="000C5499">
      <w:fldChar w:fldCharType="begin" w:fldLock="1"/>
    </w:r>
    <w:r w:rsidRPr="000C5499">
      <w:instrText xml:space="preserve"> DOCPROPERTY</w:instrText>
    </w:r>
    <w:r w:rsidRPr="000C5499">
      <w:rPr>
        <w:sz w:val="18"/>
      </w:rPr>
      <w:instrText xml:space="preserve"> "Motionsnummer" *\charformat </w:instrText>
    </w:r>
    <w:r w:rsidRPr="000C5499">
      <w:fldChar w:fldCharType="separate"/>
    </w:r>
    <w:r w:rsidRPr="000C5499">
      <w:t>Sk2</w:t>
    </w:r>
    <w:r w:rsidRPr="000C5499">
      <w:fldChar w:fldCharType="end"/>
    </w:r>
    <w:r w:rsidRPr="000C5499">
      <w:br/>
    </w:r>
    <w:r w:rsidRPr="000C5499">
      <w:fldChar w:fldCharType="begin" w:fldLock="1"/>
    </w:r>
    <w:r w:rsidRPr="000C5499">
      <w:instrText xml:space="preserve"> DOCPROPERTY</w:instrText>
    </w:r>
    <w:r w:rsidRPr="000C5499">
      <w:rPr>
        <w:sz w:val="18"/>
      </w:rPr>
      <w:instrText xml:space="preserve"> "Samling" *\charformat </w:instrText>
    </w:r>
    <w:r w:rsidRPr="000C5499">
      <w:fldChar w:fldCharType="end"/>
    </w:r>
    <w:r w:rsidRPr="000C5499">
      <w:tab/>
      <w:t xml:space="preserve">pnr: </w:t>
    </w:r>
    <w:r w:rsidRPr="000C5499">
      <w:fldChar w:fldCharType="begin" w:fldLock="1"/>
    </w:r>
    <w:r w:rsidRPr="000C5499">
      <w:instrText xml:space="preserve"> DOCPROPERTY</w:instrText>
    </w:r>
    <w:r w:rsidRPr="000C5499">
      <w:rPr>
        <w:sz w:val="18"/>
      </w:rPr>
      <w:instrText xml:space="preserve"> "Partinummer" *\charformat </w:instrText>
    </w:r>
    <w:r w:rsidRPr="000C5499">
      <w:fldChar w:fldCharType="separate"/>
    </w:r>
    <w:r w:rsidRPr="000C5499">
      <w:t>S3061</w:t>
    </w:r>
    <w:r w:rsidRPr="000C5499">
      <w:fldChar w:fldCharType="end"/>
    </w:r>
  </w:p>
  <w:p w:rsidR="000C5499" w:rsidRPr="000C5499" w:rsidRDefault="000C5499">
    <w:pPr>
      <w:pStyle w:val="FSHRub1"/>
    </w:pPr>
    <w:r w:rsidRPr="000C5499">
      <w:t>Motion till riksdagen</w:t>
    </w:r>
    <w:r w:rsidRPr="000C5499">
      <w:br/>
    </w:r>
    <w:r w:rsidRPr="000C5499">
      <w:fldChar w:fldCharType="begin" w:fldLock="1"/>
    </w:r>
    <w:r w:rsidRPr="000C5499">
      <w:instrText xml:space="preserve"> DOCPROPERTY "YearUser" *\charformat </w:instrText>
    </w:r>
    <w:r w:rsidRPr="000C5499">
      <w:fldChar w:fldCharType="separate"/>
    </w:r>
    <w:r w:rsidRPr="000C5499">
      <w:t>2010/11</w:t>
    </w:r>
    <w:r w:rsidRPr="000C5499">
      <w:fldChar w:fldCharType="end"/>
    </w:r>
    <w:r w:rsidRPr="000C5499">
      <w:t>:</w:t>
    </w:r>
    <w:r w:rsidRPr="000C5499">
      <w:fldChar w:fldCharType="begin" w:fldLock="1"/>
    </w:r>
    <w:r w:rsidRPr="000C5499">
      <w:instrText xml:space="preserve"> DOCPROPERTY "Motionsnummer" *\charformat </w:instrText>
    </w:r>
    <w:r w:rsidRPr="000C5499">
      <w:fldChar w:fldCharType="separate"/>
    </w:r>
    <w:r w:rsidRPr="000C5499">
      <w:t>Sk2</w:t>
    </w:r>
    <w:r w:rsidRPr="000C5499">
      <w:fldChar w:fldCharType="end"/>
    </w:r>
  </w:p>
  <w:p w:rsidR="000C5499" w:rsidRPr="000C5499" w:rsidRDefault="000C5499">
    <w:pPr>
      <w:pStyle w:val="FSHNormalS5"/>
    </w:pPr>
    <w:r w:rsidRPr="000C5499">
      <w:fldChar w:fldCharType="begin" w:fldLock="1"/>
    </w:r>
    <w:r w:rsidRPr="000C5499">
      <w:instrText xml:space="preserve"> DOCPROPERTY "MotionarText" *\charformat </w:instrText>
    </w:r>
    <w:r w:rsidRPr="000C5499">
      <w:fldChar w:fldCharType="separate"/>
    </w:r>
    <w:r w:rsidRPr="000C5499">
      <w:t>av Leif Jakobsson (S)</w:t>
    </w:r>
    <w:r w:rsidRPr="000C5499">
      <w:fldChar w:fldCharType="end"/>
    </w:r>
    <w:r w:rsidRPr="000C5499">
      <w:br/>
    </w:r>
    <w:r w:rsidRPr="000C5499">
      <w:fldChar w:fldCharType="begin" w:fldLock="1"/>
    </w:r>
    <w:r w:rsidRPr="000C5499">
      <w:instrText xml:space="preserve"> DOCPROPERTY "SvarFrasKort" *\charformat </w:instrText>
    </w:r>
    <w:r w:rsidRPr="000C5499">
      <w:fldChar w:fldCharType="separate"/>
    </w:r>
    <w:r w:rsidRPr="000C5499">
      <w:t>med anledning av redog. 2010/11:RRS12</w:t>
    </w:r>
    <w:r w:rsidRPr="000C5499">
      <w:fldChar w:fldCharType="end"/>
    </w:r>
  </w:p>
  <w:p w:rsidR="000C5499" w:rsidRPr="000C5499" w:rsidRDefault="000C5499">
    <w:pPr>
      <w:pStyle w:val="FSHTitel"/>
    </w:pPr>
    <w:r w:rsidRPr="000C5499">
      <w:fldChar w:fldCharType="begin" w:fldLock="1"/>
    </w:r>
    <w:r w:rsidRPr="000C5499">
      <w:instrText xml:space="preserve"> DOCPROPERTY</w:instrText>
    </w:r>
    <w:r w:rsidRPr="000C5499">
      <w:rPr>
        <w:sz w:val="18"/>
      </w:rPr>
      <w:instrText xml:space="preserve"> "RubrikSvar" *\charformat </w:instrText>
    </w:r>
    <w:r w:rsidRPr="000C5499">
      <w:fldChar w:fldCharType="separate"/>
    </w:r>
    <w:r w:rsidRPr="000C5499">
      <w:t>Riksrevisionens styrelses redogörelse om skatteavtal med andra länder</w:t>
    </w:r>
    <w:r w:rsidRPr="000C5499">
      <w:fldChar w:fldCharType="end"/>
    </w:r>
  </w:p>
  <w:p w:rsidR="000C5499" w:rsidRPr="000C5499" w:rsidRDefault="000C5499">
    <w:pPr>
      <w:pStyle w:val="Normal00"/>
    </w:pPr>
  </w:p>
  <w:p w:rsidR="000C5499" w:rsidRPr="000C5499" w:rsidRDefault="000C54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5EE4C0C"/>
    <w:multiLevelType w:val="hybridMultilevel"/>
    <w:tmpl w:val="3EE67F0E"/>
    <w:lvl w:ilvl="0" w:tplc="AD38B2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855003">
    <w:abstractNumId w:val="3"/>
  </w:num>
  <w:num w:numId="2" w16cid:durableId="2040472844">
    <w:abstractNumId w:val="2"/>
  </w:num>
  <w:num w:numId="3" w16cid:durableId="1740900548">
    <w:abstractNumId w:val="1"/>
  </w:num>
  <w:num w:numId="4" w16cid:durableId="1730492322">
    <w:abstractNumId w:val="0"/>
  </w:num>
  <w:num w:numId="5" w16cid:durableId="2009552090">
    <w:abstractNumId w:val="7"/>
  </w:num>
  <w:num w:numId="6" w16cid:durableId="2058121143">
    <w:abstractNumId w:val="6"/>
  </w:num>
  <w:num w:numId="7" w16cid:durableId="491989320">
    <w:abstractNumId w:val="5"/>
  </w:num>
  <w:num w:numId="8" w16cid:durableId="1483622561">
    <w:abstractNumId w:val="4"/>
  </w:num>
  <w:num w:numId="9" w16cid:durableId="356930588">
    <w:abstractNumId w:val="8"/>
  </w:num>
  <w:num w:numId="10" w16cid:durableId="127360066">
    <w:abstractNumId w:val="9"/>
  </w:num>
  <w:num w:numId="11" w16cid:durableId="532546850">
    <w:abstractNumId w:val="10"/>
  </w:num>
  <w:num w:numId="12" w16cid:durableId="143931656">
    <w:abstractNumId w:val="13"/>
  </w:num>
  <w:num w:numId="13" w16cid:durableId="551045495">
    <w:abstractNumId w:val="15"/>
  </w:num>
  <w:num w:numId="14" w16cid:durableId="618493885">
    <w:abstractNumId w:val="17"/>
  </w:num>
  <w:num w:numId="15" w16cid:durableId="1636107470">
    <w:abstractNumId w:val="11"/>
  </w:num>
  <w:num w:numId="16" w16cid:durableId="36469768">
    <w:abstractNumId w:val="19"/>
  </w:num>
  <w:num w:numId="17" w16cid:durableId="307366625">
    <w:abstractNumId w:val="18"/>
  </w:num>
  <w:num w:numId="18" w16cid:durableId="88700546">
    <w:abstractNumId w:val="14"/>
  </w:num>
  <w:num w:numId="19" w16cid:durableId="570848746">
    <w:abstractNumId w:val="12"/>
  </w:num>
  <w:num w:numId="20" w16cid:durableId="18217248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08"/>
    <w:docVar w:name="PersonGUIDs" w:val="{5802EFDE-36D9-418E-9B64-EFA75B49A63E}"/>
  </w:docVars>
  <w:rsids>
    <w:rsidRoot w:val="006D4450"/>
    <w:rsid w:val="000C5499"/>
    <w:rsid w:val="006D44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D53D152-2091-4789-8378-0697D579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1240</Words>
  <Characters>6948</Characters>
  <Application>Microsoft Office Word</Application>
  <DocSecurity>4</DocSecurity>
  <Lines>210</Lines>
  <Paragraphs>138</Paragraphs>
  <ScaleCrop>false</ScaleCrop>
  <HeadingPairs>
    <vt:vector size="2" baseType="variant">
      <vt:variant>
        <vt:lpstr>Rubrik</vt:lpstr>
      </vt:variant>
      <vt:variant>
        <vt:i4>1</vt:i4>
      </vt:variant>
    </vt:vector>
  </HeadingPairs>
  <TitlesOfParts>
    <vt:vector size="1" baseType="lpstr">
      <vt:lpstr>s3061</vt:lpstr>
    </vt:vector>
  </TitlesOfParts>
  <Company>Riksdagen</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s3061</dc:title>
  <dc:subject>s3061</dc:subject>
  <dc:creator>Riksdagen</dc:creator>
  <cp:keywords>Riksdagen</cp:keywords>
  <dc:description>Versal/gemen i partibeteckning. Gemen i tryck för 0910, versal för 1011 och nyare</dc:description>
  <cp:lastModifiedBy>Lars Brink</cp:lastModifiedBy>
  <cp:revision>2</cp:revision>
  <cp:lastPrinted>2011-02-09T08:49:00Z</cp:lastPrinted>
  <dcterms:created xsi:type="dcterms:W3CDTF">2025-12-18T02:14:00Z</dcterms:created>
  <dcterms:modified xsi:type="dcterms:W3CDTF">2025-12-18T02:14:00Z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mot2000_530_2011-02-08</vt:lpwstr>
  </property>
  <property fmtid="{D5CDD505-2E9C-101B-9397-08002B2CF9AE}" pid="3" name="version">
    <vt:lpwstr>mot2000_524_2011-02-02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redog. 2010/11:RRS12 Riksrevisionens styrelses redogörelse om skatteavtal med andra länder</vt:lpwstr>
  </property>
  <property fmtid="{D5CDD505-2E9C-101B-9397-08002B2CF9AE}" pid="11" name="SvarFrasKort">
    <vt:lpwstr>med anledning av redog. 2010/11:RRS12</vt:lpwstr>
  </property>
  <property fmtid="{D5CDD505-2E9C-101B-9397-08002B2CF9AE}" pid="12" name="Svar">
    <vt:lpwstr>Redogörelse</vt:lpwstr>
  </property>
  <property fmtid="{D5CDD505-2E9C-101B-9397-08002B2CF9AE}" pid="13" name="SvarNr">
    <vt:lpwstr>2010/11:RRS12</vt:lpwstr>
  </property>
  <property fmtid="{D5CDD505-2E9C-101B-9397-08002B2CF9AE}" pid="14" name="RubrikSvar">
    <vt:lpwstr>Riksrevisionens styrelses redogörelse om skatteavtal med andra 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Jakobsson (S)</vt:lpwstr>
  </property>
  <property fmtid="{D5CDD505-2E9C-101B-9397-08002B2CF9AE}" pid="26" name="MotionarLista">
    <vt:lpwstr>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Sk2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februari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20102011000000000115000030610069</vt:lpwstr>
  </property>
  <property fmtid="{D5CDD505-2E9C-101B-9397-08002B2CF9AE}" pid="47" name="datum">
    <vt:lpwstr>110202</vt:lpwstr>
  </property>
  <property fmtid="{D5CDD505-2E9C-101B-9397-08002B2CF9AE}" pid="48" name="avsändar-e-post">
    <vt:lpwstr>lena.palmgren@riksdagen.se</vt:lpwstr>
  </property>
  <property fmtid="{D5CDD505-2E9C-101B-9397-08002B2CF9AE}" pid="49" name="id">
    <vt:lpwstr>20102011000000000115000030610069</vt:lpwstr>
  </property>
  <property fmtid="{D5CDD505-2E9C-101B-9397-08002B2CF9AE}" pid="50" name="nummer">
    <vt:lpwstr>2</vt:lpwstr>
  </property>
  <property fmtid="{D5CDD505-2E9C-101B-9397-08002B2CF9AE}" pid="51" name="utskottsbeteckning">
    <vt:lpwstr>Sk</vt:lpwstr>
  </property>
  <property fmtid="{D5CDD505-2E9C-101B-9397-08002B2CF9AE}" pid="52" name="GlobalUID">
    <vt:lpwstr>{91B1E77F-3C61-44C8-9D69-4AB10107483B}</vt:lpwstr>
  </property>
  <property fmtid="{D5CDD505-2E9C-101B-9397-08002B2CF9AE}" pid="53" name="Överföringar">
    <vt:i4>0</vt:i4>
  </property>
  <property fmtid="{D5CDD505-2E9C-101B-9397-08002B2CF9AE}" pid="54" name="Checksum">
    <vt:lpwstr>*1016802952743*</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110209 09:49:11.683</vt:lpwstr>
  </property>
  <property fmtid="{D5CDD505-2E9C-101B-9397-08002B2CF9AE}" pid="58" name="urixGuid">
    <vt:lpwstr>{88C53459-1037-45D6-B8CF-DB24D902C21C}</vt:lpwstr>
  </property>
</Properties>
</file>