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21739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C4460A" w:rsidRPr="00217399" w:rsidRDefault="00C4460A">
            <w:pPr>
              <w:pStyle w:val="HuvudRubrik"/>
            </w:pPr>
            <w:r w:rsidRPr="00217399">
              <w:t>Trafikutskottets betänkande</w:t>
            </w:r>
          </w:p>
          <w:p w:rsidR="00C4460A" w:rsidRPr="00217399" w:rsidRDefault="00C4460A">
            <w:pPr>
              <w:pStyle w:val="HuvudRubrikRad2"/>
            </w:pPr>
            <w:bookmarkStart w:id="0" w:name="BetänkandeNr"/>
            <w:bookmarkEnd w:id="0"/>
            <w:r w:rsidRPr="00217399">
              <w:t>2003/04:TU11</w:t>
            </w:r>
          </w:p>
        </w:tc>
        <w:tc>
          <w:tcPr>
            <w:tcW w:w="1418" w:type="dxa"/>
            <w:tcBorders>
              <w:bottom w:val="nil"/>
            </w:tcBorders>
          </w:tcPr>
          <w:p w:rsidR="00C4460A" w:rsidRPr="00217399" w:rsidRDefault="00217399">
            <w:pPr>
              <w:spacing w:line="230" w:lineRule="auto"/>
              <w:jc w:val="center"/>
            </w:pPr>
            <w:r w:rsidRPr="0021739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60A" w:rsidRPr="00217399" w:rsidRDefault="00C4460A">
            <w:pPr>
              <w:pStyle w:val="Normaltindrag"/>
              <w:jc w:val="center"/>
            </w:pPr>
          </w:p>
          <w:p w:rsidR="00C4460A" w:rsidRPr="00217399" w:rsidRDefault="00C4460A">
            <w:pPr>
              <w:pStyle w:val="StatusSida1"/>
            </w:pPr>
          </w:p>
          <w:p w:rsidR="00C4460A" w:rsidRPr="00217399" w:rsidRDefault="00C4460A">
            <w:pPr>
              <w:pStyle w:val="UtskriftsdatumSida1"/>
              <w:framePr w:wrap="around"/>
            </w:pPr>
          </w:p>
        </w:tc>
      </w:tr>
      <w:tr w:rsidR="00000000" w:rsidRPr="0021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C4460A" w:rsidRPr="00217399" w:rsidRDefault="00C4460A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217399">
              <w:rPr>
                <w:noProof w:val="0"/>
              </w:rPr>
              <w:t>Digitala färdskrivare vid vägtransporter</w:t>
            </w:r>
          </w:p>
        </w:tc>
        <w:tc>
          <w:tcPr>
            <w:tcW w:w="1418" w:type="dxa"/>
            <w:tcBorders>
              <w:bottom w:val="nil"/>
            </w:tcBorders>
          </w:tcPr>
          <w:p w:rsidR="00C4460A" w:rsidRPr="00217399" w:rsidRDefault="00C4460A"/>
        </w:tc>
      </w:tr>
      <w:tr w:rsidR="00000000" w:rsidRPr="0021739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C4460A" w:rsidRPr="00217399" w:rsidRDefault="00C4460A"/>
        </w:tc>
        <w:tc>
          <w:tcPr>
            <w:tcW w:w="3012" w:type="dxa"/>
          </w:tcPr>
          <w:p w:rsidR="00C4460A" w:rsidRPr="00217399" w:rsidRDefault="00C4460A"/>
        </w:tc>
        <w:tc>
          <w:tcPr>
            <w:tcW w:w="1418" w:type="dxa"/>
          </w:tcPr>
          <w:p w:rsidR="00C4460A" w:rsidRPr="00217399" w:rsidRDefault="00C4460A"/>
        </w:tc>
      </w:tr>
    </w:tbl>
    <w:p w:rsidR="00C4460A" w:rsidRPr="00217399" w:rsidRDefault="00C4460A"/>
    <w:p w:rsidR="00C4460A" w:rsidRPr="00217399" w:rsidRDefault="00C4460A">
      <w:pPr>
        <w:pStyle w:val="Rubrik1"/>
        <w:spacing w:after="180"/>
        <w:rPr>
          <w:noProof w:val="0"/>
        </w:rPr>
      </w:pPr>
      <w:bookmarkStart w:id="2" w:name="_Toc70491354"/>
      <w:r w:rsidRPr="00217399">
        <w:rPr>
          <w:noProof w:val="0"/>
        </w:rPr>
        <w:t>Sammanfattning</w:t>
      </w:r>
      <w:bookmarkEnd w:id="2"/>
    </w:p>
    <w:p w:rsidR="00C4460A" w:rsidRPr="00217399" w:rsidRDefault="00C4460A">
      <w:bookmarkStart w:id="3" w:name="TextStart"/>
      <w:bookmarkEnd w:id="3"/>
      <w:r w:rsidRPr="00217399">
        <w:t>Utskottet tillstyrker lagförslaget i proposition 2003/04:83 om digitala fär</w:t>
      </w:r>
      <w:r w:rsidRPr="00217399">
        <w:t>d</w:t>
      </w:r>
      <w:r w:rsidRPr="00217399">
        <w:t>skrivare vid vägtran</w:t>
      </w:r>
      <w:r w:rsidRPr="00217399">
        <w:t>s</w:t>
      </w:r>
      <w:r w:rsidRPr="00217399">
        <w:t xml:space="preserve">porter. </w:t>
      </w:r>
    </w:p>
    <w:p w:rsidR="00C4460A" w:rsidRPr="00217399" w:rsidRDefault="00C4460A">
      <w:pPr>
        <w:pStyle w:val="Normaltindrag"/>
      </w:pPr>
      <w:r w:rsidRPr="00217399">
        <w:t>EG:s regelverk uppställer krav på att mekaniska färdskrivare i lastbilar och bussar efterhand skall ersättas med digitala. Dessa nya färdskrivare förutsätter för sin användning särskilda färdskrivarkort med Vägverket som utfärdande myndighet. Regeringens förslag går ut på att lagen (2001:558) om vägtrafi</w:t>
      </w:r>
      <w:r w:rsidRPr="00217399">
        <w:t>k</w:t>
      </w:r>
      <w:r w:rsidRPr="00217399">
        <w:t>register ändras i fråga om ändamål och innehåll för att omfatta Vägverkets hantering av färdskrivarkorten. Inga motioner har väckts med anledning av propositionen.</w:t>
      </w:r>
    </w:p>
    <w:p w:rsidR="00C4460A" w:rsidRPr="00217399" w:rsidRDefault="00C4460A">
      <w:pPr>
        <w:pStyle w:val="Normaltindrag"/>
      </w:pPr>
      <w:r w:rsidRPr="00217399">
        <w:t>Lagändringarna föreslås träda i kraft den 1 juli 2004.</w:t>
      </w:r>
    </w:p>
    <w:p w:rsidR="00C4460A" w:rsidRPr="00217399" w:rsidRDefault="00C4460A">
      <w:pPr>
        <w:pStyle w:val="Normaltindrag"/>
        <w:sectPr w:rsidR="00000000" w:rsidRPr="002173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460A" w:rsidRPr="00217399" w:rsidRDefault="00C4460A">
      <w:pPr>
        <w:pStyle w:val="Rubrik1"/>
        <w:rPr>
          <w:noProof w:val="0"/>
        </w:rPr>
      </w:pPr>
      <w:bookmarkStart w:id="4" w:name="_Toc70491355"/>
      <w:r w:rsidRPr="00217399">
        <w:rPr>
          <w:noProof w:val="0"/>
        </w:rPr>
        <w:lastRenderedPageBreak/>
        <w:t>Innehållsförteckning</w:t>
      </w:r>
      <w:bookmarkEnd w:id="4"/>
    </w:p>
    <w:p w:rsidR="00C4460A" w:rsidRPr="00217399" w:rsidRDefault="00C4460A">
      <w:pPr>
        <w:pStyle w:val="Innehll1"/>
      </w:pPr>
      <w:r w:rsidRPr="00217399">
        <w:t>Sammanfattning</w:t>
      </w:r>
      <w:r w:rsidRPr="00217399">
        <w:tab/>
        <w:t>1</w:t>
      </w:r>
    </w:p>
    <w:p w:rsidR="00C4460A" w:rsidRPr="00217399" w:rsidRDefault="00C4460A">
      <w:pPr>
        <w:pStyle w:val="Innehll1"/>
      </w:pPr>
      <w:r w:rsidRPr="00217399">
        <w:t>Innehållsförteckning</w:t>
      </w:r>
      <w:r w:rsidRPr="00217399">
        <w:tab/>
        <w:t>2</w:t>
      </w:r>
    </w:p>
    <w:p w:rsidR="00C4460A" w:rsidRPr="00217399" w:rsidRDefault="00C4460A">
      <w:pPr>
        <w:pStyle w:val="Innehll1"/>
      </w:pPr>
      <w:r w:rsidRPr="00217399">
        <w:t>Utskottets förslag till riksdagsbeslut</w:t>
      </w:r>
      <w:r w:rsidRPr="00217399">
        <w:tab/>
        <w:t>3</w:t>
      </w:r>
    </w:p>
    <w:p w:rsidR="00C4460A" w:rsidRPr="00217399" w:rsidRDefault="00C4460A">
      <w:pPr>
        <w:pStyle w:val="Innehll1"/>
      </w:pPr>
      <w:r w:rsidRPr="00217399">
        <w:t>Utskottets överväganden</w:t>
      </w:r>
      <w:r w:rsidRPr="00217399">
        <w:tab/>
        <w:t>4</w:t>
      </w:r>
    </w:p>
    <w:p w:rsidR="00C4460A" w:rsidRPr="00217399" w:rsidRDefault="00C4460A">
      <w:pPr>
        <w:pStyle w:val="Innehll3"/>
      </w:pPr>
      <w:r w:rsidRPr="00217399">
        <w:t>Bakgrund</w:t>
      </w:r>
      <w:r w:rsidRPr="00217399">
        <w:tab/>
        <w:t>4</w:t>
      </w:r>
    </w:p>
    <w:p w:rsidR="00C4460A" w:rsidRPr="00217399" w:rsidRDefault="00C4460A">
      <w:pPr>
        <w:pStyle w:val="Innehll3"/>
      </w:pPr>
      <w:r w:rsidRPr="00217399">
        <w:t>Nya EG-bestämmelser</w:t>
      </w:r>
      <w:r w:rsidRPr="00217399">
        <w:tab/>
        <w:t>4</w:t>
      </w:r>
    </w:p>
    <w:p w:rsidR="00C4460A" w:rsidRPr="00217399" w:rsidRDefault="00C4460A">
      <w:pPr>
        <w:pStyle w:val="Innehll3"/>
      </w:pPr>
      <w:r w:rsidRPr="00217399">
        <w:t>Regeringens förslag och bedömningar</w:t>
      </w:r>
      <w:r w:rsidRPr="00217399">
        <w:tab/>
        <w:t>5</w:t>
      </w:r>
    </w:p>
    <w:p w:rsidR="00C4460A" w:rsidRPr="00217399" w:rsidRDefault="00C4460A">
      <w:pPr>
        <w:pStyle w:val="Innehll3"/>
      </w:pPr>
      <w:r w:rsidRPr="00217399">
        <w:t>Utskottets ställningstagande</w:t>
      </w:r>
      <w:r w:rsidRPr="00217399">
        <w:tab/>
        <w:t>5</w:t>
      </w:r>
    </w:p>
    <w:p w:rsidR="00C4460A" w:rsidRPr="00217399" w:rsidRDefault="00C4460A">
      <w:pPr>
        <w:pStyle w:val="Innehll1"/>
        <w:rPr>
          <w:i/>
        </w:rPr>
      </w:pPr>
      <w:r w:rsidRPr="00217399">
        <w:rPr>
          <w:i/>
        </w:rPr>
        <w:t>Bilagor</w:t>
      </w:r>
    </w:p>
    <w:p w:rsidR="00C4460A" w:rsidRPr="00217399" w:rsidRDefault="00C4460A">
      <w:pPr>
        <w:pStyle w:val="Innehll1"/>
      </w:pPr>
      <w:r w:rsidRPr="00217399">
        <w:t>Förteckning över behandlade förslag</w:t>
      </w:r>
      <w:r w:rsidRPr="00217399">
        <w:tab/>
        <w:t>7</w:t>
      </w:r>
    </w:p>
    <w:p w:rsidR="00C4460A" w:rsidRPr="00217399" w:rsidRDefault="00C4460A">
      <w:pPr>
        <w:pStyle w:val="Innehll2"/>
      </w:pPr>
      <w:r w:rsidRPr="00217399">
        <w:t>Propositionen</w:t>
      </w:r>
      <w:r w:rsidRPr="00217399">
        <w:tab/>
        <w:t>7</w:t>
      </w:r>
    </w:p>
    <w:p w:rsidR="00C4460A" w:rsidRPr="00217399" w:rsidRDefault="00C4460A">
      <w:pPr>
        <w:pStyle w:val="Innehll1"/>
      </w:pPr>
      <w:r w:rsidRPr="00217399">
        <w:t>Regeringens lagförslag</w:t>
      </w:r>
      <w:r w:rsidRPr="00217399">
        <w:tab/>
        <w:t>8</w:t>
      </w:r>
    </w:p>
    <w:p w:rsidR="00C4460A" w:rsidRPr="00217399" w:rsidRDefault="00C4460A"/>
    <w:p w:rsidR="00C4460A" w:rsidRPr="00217399" w:rsidRDefault="00C4460A">
      <w:pPr>
        <w:pStyle w:val="Normaltindrag"/>
        <w:sectPr w:rsidR="00000000" w:rsidRPr="002173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460A" w:rsidRPr="00217399" w:rsidRDefault="00C4460A">
      <w:pPr>
        <w:pStyle w:val="Rubrik1"/>
        <w:rPr>
          <w:noProof w:val="0"/>
        </w:rPr>
      </w:pPr>
      <w:bookmarkStart w:id="5" w:name="_Toc70491356"/>
      <w:r w:rsidRPr="00217399">
        <w:rPr>
          <w:noProof w:val="0"/>
        </w:rPr>
        <w:t>Utskottets förslag till riksdagsbeslut</w:t>
      </w:r>
      <w:bookmarkEnd w:id="5"/>
    </w:p>
    <w:p w:rsidR="00C4460A" w:rsidRPr="00217399" w:rsidRDefault="00C4460A">
      <w:pPr>
        <w:pStyle w:val="Frslagspunkt"/>
        <w:rPr>
          <w:noProof w:val="0"/>
        </w:rPr>
      </w:pPr>
      <w:r w:rsidRPr="00217399">
        <w:rPr>
          <w:noProof w:val="0"/>
        </w:rPr>
        <w:t>Digitala färdskrivare vid vägtransporter</w:t>
      </w:r>
    </w:p>
    <w:p w:rsidR="00C4460A" w:rsidRPr="00217399" w:rsidRDefault="00C4460A">
      <w:r w:rsidRPr="00217399">
        <w:t>Riksdagen antar regeringens förslag till lag om ändring i lagen (2001:558) om vägtrafikr</w:t>
      </w:r>
      <w:r w:rsidRPr="00217399">
        <w:t>e</w:t>
      </w:r>
      <w:r w:rsidRPr="00217399">
        <w:t>gister. Därmed bifaller riksdagen proposition 2003/04:83.</w:t>
      </w:r>
    </w:p>
    <w:p w:rsidR="00C4460A" w:rsidRPr="00217399" w:rsidRDefault="00C4460A">
      <w:pPr>
        <w:pStyle w:val="Frslagstext"/>
      </w:pPr>
      <w:bookmarkStart w:id="6" w:name="RESPARTI001"/>
      <w:bookmarkEnd w:id="6"/>
    </w:p>
    <w:p w:rsidR="00C4460A" w:rsidRPr="00217399" w:rsidRDefault="00C4460A">
      <w:pPr>
        <w:pStyle w:val="Frslagstext"/>
      </w:pPr>
      <w:bookmarkStart w:id="7" w:name="Nästa_Hpunkt"/>
      <w:bookmarkEnd w:id="7"/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Utskriftsdatum"/>
      </w:pPr>
      <w:r w:rsidRPr="00217399">
        <w:t>Stockholm den 13 april 2004</w:t>
      </w:r>
    </w:p>
    <w:p w:rsidR="00C4460A" w:rsidRPr="00217399" w:rsidRDefault="00C4460A">
      <w:r w:rsidRPr="00217399">
        <w:t>På trafikutskottets vägnar</w:t>
      </w:r>
    </w:p>
    <w:p w:rsidR="00C4460A" w:rsidRPr="00217399" w:rsidRDefault="00C4460A">
      <w:pPr>
        <w:pStyle w:val="Ordfranden"/>
        <w:rPr>
          <w:noProof w:val="0"/>
        </w:rPr>
      </w:pPr>
      <w:bookmarkStart w:id="8" w:name="Ordförande"/>
      <w:bookmarkEnd w:id="8"/>
      <w:r w:rsidRPr="00217399">
        <w:rPr>
          <w:noProof w:val="0"/>
        </w:rPr>
        <w:t xml:space="preserve">Claes Roxbergh </w:t>
      </w:r>
    </w:p>
    <w:p w:rsidR="00C4460A" w:rsidRPr="00217399" w:rsidRDefault="00C4460A">
      <w:pPr>
        <w:pStyle w:val="Deltagare"/>
        <w:rPr>
          <w:noProof w:val="0"/>
        </w:rPr>
      </w:pPr>
      <w:bookmarkStart w:id="9" w:name="Deltagare"/>
      <w:bookmarkEnd w:id="9"/>
      <w:r w:rsidRPr="00217399">
        <w:rPr>
          <w:noProof w:val="0"/>
        </w:rPr>
        <w:t>Följande ledamöter har deltagit i beslutet: Claes Roxbergh (mp), Elizabeth Nyström (m), Erling Bager (fp), Hans Stenberg (s), Krister Örnfjäder (s), Johnny Gylling (kd), Karin Svensson Smith (v), Jan-Evert Rådhström (m), Sven Bergström (c), Kerstin Engle (s), Björn Hamilton (m), Mikael Johansson (mp), Börje Vestlund (s), Christer Winbäck (fp), Berndt Sköldestig (s) och Mariam Osman Sherifay (s).</w:t>
      </w:r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  <w:sectPr w:rsidR="00000000" w:rsidRPr="0021739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460A" w:rsidRPr="00217399" w:rsidRDefault="00C4460A">
      <w:pPr>
        <w:pStyle w:val="Rubrik1"/>
        <w:rPr>
          <w:noProof w:val="0"/>
        </w:rPr>
      </w:pPr>
      <w:bookmarkStart w:id="10" w:name="_Toc70491357"/>
      <w:r w:rsidRPr="00217399">
        <w:rPr>
          <w:noProof w:val="0"/>
        </w:rPr>
        <w:t>Utskottets överväganden</w:t>
      </w:r>
      <w:bookmarkEnd w:id="10"/>
    </w:p>
    <w:p w:rsidR="00C4460A" w:rsidRPr="00217399" w:rsidRDefault="00C4460A">
      <w:pPr>
        <w:pStyle w:val="Utskottsfrslagikorthet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</w:rPr>
      </w:pPr>
      <w:r w:rsidRPr="00217399">
        <w:rPr>
          <w:b/>
        </w:rPr>
        <w:t>Utskottets förslag i korthet</w:t>
      </w:r>
    </w:p>
    <w:p w:rsidR="00C4460A" w:rsidRPr="00217399" w:rsidRDefault="00C4460A">
      <w:pPr>
        <w:pStyle w:val="Utskottsfrslagikorthet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217399">
        <w:t>Riksdagen bör bifalla regeringens förslag om ändring i lagen (2001:558) om vägtrafikregi</w:t>
      </w:r>
      <w:r w:rsidRPr="00217399">
        <w:t>s</w:t>
      </w:r>
      <w:r w:rsidRPr="00217399">
        <w:t xml:space="preserve">ter. </w:t>
      </w:r>
    </w:p>
    <w:p w:rsidR="00C4460A" w:rsidRPr="00217399" w:rsidRDefault="00C4460A">
      <w:pPr>
        <w:pStyle w:val="Rubrik3"/>
        <w:rPr>
          <w:noProof w:val="0"/>
        </w:rPr>
      </w:pPr>
      <w:bookmarkStart w:id="11" w:name="_Toc70491358"/>
      <w:r w:rsidRPr="00217399">
        <w:rPr>
          <w:noProof w:val="0"/>
        </w:rPr>
        <w:t>Bakgrund</w:t>
      </w:r>
      <w:bookmarkEnd w:id="11"/>
    </w:p>
    <w:p w:rsidR="00C4460A" w:rsidRPr="00217399" w:rsidRDefault="00C4460A">
      <w:r w:rsidRPr="00217399">
        <w:t xml:space="preserve">Bestämmelser om kör- och vilotider vid transport med tunga lastbilar och bussar finns reglerade på gemenskapsnivå (förordningen (EEG) nr 3820/85 om harmonisering av viss social lagstiftning om vägtransporter). Reglerna innebär bl.a. begränsningar av den dagliga körtiden samt krav på raster m.m. </w:t>
      </w:r>
    </w:p>
    <w:p w:rsidR="00C4460A" w:rsidRPr="00217399" w:rsidRDefault="00C4460A">
      <w:pPr>
        <w:pStyle w:val="Normaltindrag"/>
      </w:pPr>
      <w:r w:rsidRPr="00217399">
        <w:t>För att möjliggöra kontroll av efterlevnaden finns krav på att alla fordon som omfattas av den nyssnämnda förordningen också skall vara försedda med en färdskrivare (förordning (EEG) nr 3821/85 om färdskrivare vid vägtran</w:t>
      </w:r>
      <w:r w:rsidRPr="00217399">
        <w:t>s</w:t>
      </w:r>
      <w:r w:rsidRPr="00217399">
        <w:t>porter). En färdskrivare är en utrustning som är avsedd att installeras i ett vägfordon med uppgift att automatiskt eller halvautomatiskt lämna detaljerad information om fordonets förflyttningar och om förarnas arbetspass. Inform</w:t>
      </w:r>
      <w:r w:rsidRPr="00217399">
        <w:t>a</w:t>
      </w:r>
      <w:r w:rsidRPr="00217399">
        <w:t xml:space="preserve">tionen tas emot och bevaras på ett diagramblad. </w:t>
      </w:r>
    </w:p>
    <w:p w:rsidR="00C4460A" w:rsidRPr="00217399" w:rsidRDefault="00C4460A">
      <w:pPr>
        <w:pStyle w:val="Rubrik3"/>
        <w:rPr>
          <w:noProof w:val="0"/>
        </w:rPr>
      </w:pPr>
      <w:bookmarkStart w:id="12" w:name="_Toc70491359"/>
      <w:r w:rsidRPr="00217399">
        <w:rPr>
          <w:noProof w:val="0"/>
        </w:rPr>
        <w:t>Nya EG-bestämmelser</w:t>
      </w:r>
      <w:bookmarkEnd w:id="12"/>
    </w:p>
    <w:p w:rsidR="00C4460A" w:rsidRPr="00217399" w:rsidRDefault="00C4460A">
      <w:r w:rsidRPr="00217399">
        <w:t>De hittillsvarande mekaniska färdskrivarna har visat sig ge utrymme för missbruk. Rådet har därför beslutat om krav på en modern, digital utrustning (förordning (EG) nr 2135/98 om ändring av förordning (EEG) nr 3821/85 om färdskrivare vid vägtransporter och direktiv 88/599/EEG om enhetligt förf</w:t>
      </w:r>
      <w:r w:rsidRPr="00217399">
        <w:t>a</w:t>
      </w:r>
      <w:r w:rsidRPr="00217399">
        <w:t xml:space="preserve">rande vid kontroll av förordningarna (EEG) nr 3820/85 och (EEG) nr 3821/85). </w:t>
      </w:r>
    </w:p>
    <w:p w:rsidR="00C4460A" w:rsidRPr="00217399" w:rsidRDefault="00C4460A">
      <w:pPr>
        <w:pStyle w:val="Normaltindrag"/>
      </w:pPr>
      <w:r w:rsidRPr="00217399">
        <w:t>Det digitala färdskrivarsystemet består av två delar, dels en</w:t>
      </w:r>
      <w:r w:rsidRPr="00217399">
        <w:rPr>
          <w:i/>
        </w:rPr>
        <w:t xml:space="preserve"> fordonsenhet, </w:t>
      </w:r>
      <w:r w:rsidRPr="00217399">
        <w:t xml:space="preserve">(den egentliga färdskrivaren), dels ett </w:t>
      </w:r>
      <w:r w:rsidRPr="00217399">
        <w:rPr>
          <w:i/>
        </w:rPr>
        <w:t xml:space="preserve">färdskrivarkort </w:t>
      </w:r>
      <w:r w:rsidRPr="00217399">
        <w:t>(i form av s.k. smarta kort). Den nya färdskrivaren skall lagra informationen digitalt i stället för på diagramblad. Färdskrivarkort är</w:t>
      </w:r>
      <w:r w:rsidRPr="00217399">
        <w:rPr>
          <w:i/>
        </w:rPr>
        <w:t xml:space="preserve"> </w:t>
      </w:r>
      <w:r w:rsidRPr="00217399">
        <w:t xml:space="preserve">i sin tur den samlande benämningen för fyra kort med olika funktioner, nämligen </w:t>
      </w:r>
    </w:p>
    <w:p w:rsidR="00C4460A" w:rsidRPr="00217399" w:rsidRDefault="00C4460A">
      <w:r w:rsidRPr="00217399">
        <w:t xml:space="preserve">– förarkort, som utfärdas för en viss förare, </w:t>
      </w:r>
    </w:p>
    <w:p w:rsidR="00C4460A" w:rsidRPr="00217399" w:rsidRDefault="00C4460A">
      <w:pPr>
        <w:tabs>
          <w:tab w:val="left" w:pos="142"/>
        </w:tabs>
      </w:pPr>
      <w:r w:rsidRPr="00217399">
        <w:t xml:space="preserve">– företagskort, som utfärdas för en ägare eller en nyttjanderättshavare av </w:t>
      </w:r>
      <w:r w:rsidRPr="00217399">
        <w:tab/>
        <w:t xml:space="preserve">fordon som utrustats med en färdskrivare, </w:t>
      </w:r>
    </w:p>
    <w:p w:rsidR="00C4460A" w:rsidRPr="00217399" w:rsidRDefault="00C4460A">
      <w:pPr>
        <w:tabs>
          <w:tab w:val="left" w:pos="142"/>
        </w:tabs>
      </w:pPr>
      <w:r w:rsidRPr="00217399">
        <w:t>– verkstadskort, som utfärdas för en tillverkare av färdskrivare, en fordons</w:t>
      </w:r>
      <w:r w:rsidRPr="00217399">
        <w:tab/>
        <w:t>tillverkare eller en verkstad som godkänts i särskild ordning och</w:t>
      </w:r>
    </w:p>
    <w:p w:rsidR="00C4460A" w:rsidRPr="00217399" w:rsidRDefault="00C4460A">
      <w:pPr>
        <w:tabs>
          <w:tab w:val="left" w:pos="142"/>
        </w:tabs>
      </w:pPr>
      <w:r w:rsidRPr="00217399">
        <w:t>– kontrol</w:t>
      </w:r>
      <w:r w:rsidRPr="00217399">
        <w:t>l</w:t>
      </w:r>
      <w:r w:rsidRPr="00217399">
        <w:t xml:space="preserve">kort, som utfärdas för en behörig kontrollmyndighet. </w:t>
      </w:r>
    </w:p>
    <w:p w:rsidR="00C4460A" w:rsidRPr="00217399" w:rsidRDefault="00C4460A">
      <w:r w:rsidRPr="00217399">
        <w:t xml:space="preserve">Enligt förordningen (EG) nr 2135/98 skall de nya kraven vara förenade med övergångsbestämmelser enligt följande. Samtliga fordon som omfattas av kör- och vilotidsbestämmelserna och som tas i bruk för första gången </w:t>
      </w:r>
      <w:r w:rsidRPr="00217399">
        <w:br/>
        <w:t xml:space="preserve">den 5 augusti 2004 eller senare skall vara utrustade med den nya digitala färdskrivaren. Vidare skall medlemsstaterna vidta nödvändiga åtgärder för att kunna utfärda förarkort senast den 5 maj 2004. </w:t>
      </w:r>
    </w:p>
    <w:p w:rsidR="00C4460A" w:rsidRPr="00217399" w:rsidRDefault="00C4460A">
      <w:pPr>
        <w:pStyle w:val="Rubrik3"/>
        <w:rPr>
          <w:noProof w:val="0"/>
        </w:rPr>
      </w:pPr>
      <w:bookmarkStart w:id="13" w:name="_Toc70491360"/>
      <w:r w:rsidRPr="00217399">
        <w:rPr>
          <w:noProof w:val="0"/>
        </w:rPr>
        <w:t>Regeringens förslag och bedömningar</w:t>
      </w:r>
      <w:bookmarkEnd w:id="13"/>
    </w:p>
    <w:p w:rsidR="00C4460A" w:rsidRPr="00217399" w:rsidRDefault="00C4460A">
      <w:r w:rsidRPr="00217399">
        <w:t>Vägverket presenterade i en framställan till regeringen den 7 april 2003 fö</w:t>
      </w:r>
      <w:r w:rsidRPr="00217399">
        <w:t>r</w:t>
      </w:r>
      <w:r w:rsidRPr="00217399">
        <w:t>slag till komplettering i den svenska lagstiftningen av EG:s regelverk. Efter remissbehandling av Vägverkets förslag har regeringen lagt fram en propos</w:t>
      </w:r>
      <w:r w:rsidRPr="00217399">
        <w:t>i</w:t>
      </w:r>
      <w:r w:rsidRPr="00217399">
        <w:t xml:space="preserve">tion enligt följande. </w:t>
      </w:r>
    </w:p>
    <w:p w:rsidR="00C4460A" w:rsidRPr="00217399" w:rsidRDefault="00C4460A">
      <w:pPr>
        <w:pStyle w:val="Normaltindrag"/>
      </w:pPr>
      <w:r w:rsidRPr="00217399">
        <w:t>Inledningsvis redovisar regeringen sin bedömning att endast en begränsad del av de bestämmelser som behövs i anslutning till EG-förordningarna om kör- och vilotider samt färdskrivare behöver lagform. Övriga nationella b</w:t>
      </w:r>
      <w:r w:rsidRPr="00217399">
        <w:t>e</w:t>
      </w:r>
      <w:r w:rsidRPr="00217399">
        <w:t xml:space="preserve">stämmelser förutsätts ges förordnings- och föreskriftsform. </w:t>
      </w:r>
    </w:p>
    <w:p w:rsidR="00C4460A" w:rsidRPr="00217399" w:rsidRDefault="00C4460A">
      <w:pPr>
        <w:pStyle w:val="Normaltindrag"/>
      </w:pPr>
      <w:r w:rsidRPr="00217399">
        <w:t>Regeringen förordar att lagreglerna genomförs genom en ändring i lagen (2001:558) om vägtrafikregi</w:t>
      </w:r>
      <w:r w:rsidRPr="00217399">
        <w:t>s</w:t>
      </w:r>
      <w:r w:rsidRPr="00217399">
        <w:t xml:space="preserve">ter. </w:t>
      </w:r>
    </w:p>
    <w:p w:rsidR="00C4460A" w:rsidRPr="00217399" w:rsidRDefault="00C4460A">
      <w:pPr>
        <w:pStyle w:val="Normaltindrag"/>
      </w:pPr>
      <w:r w:rsidRPr="00217399">
        <w:t xml:space="preserve">I 5 § föreslås ett tillägg till första punkten, varigenom vägtrafikregistrets </w:t>
      </w:r>
      <w:r w:rsidRPr="00217399">
        <w:rPr>
          <w:i/>
        </w:rPr>
        <w:t>ändamål</w:t>
      </w:r>
      <w:r w:rsidRPr="00217399">
        <w:t xml:space="preserve"> utökas till att omfatta den administrativa hanteringen av fär</w:t>
      </w:r>
      <w:r w:rsidRPr="00217399">
        <w:t>d</w:t>
      </w:r>
      <w:r w:rsidRPr="00217399">
        <w:t>skrivarkorten. Vad som menas med färdskrivare framgår av rådets förordning (EEG) nr 3821/85 om färdskrivare vid vägtran</w:t>
      </w:r>
      <w:r w:rsidRPr="00217399">
        <w:t>s</w:t>
      </w:r>
      <w:r w:rsidRPr="00217399">
        <w:t xml:space="preserve">porter. </w:t>
      </w:r>
    </w:p>
    <w:p w:rsidR="00C4460A" w:rsidRPr="00217399" w:rsidRDefault="00C4460A">
      <w:pPr>
        <w:pStyle w:val="Normaltindrag"/>
      </w:pPr>
      <w:r w:rsidRPr="00217399">
        <w:t xml:space="preserve">I 6 § klargörs – genom tillägg i första stycket – att vägtrafikregistrets </w:t>
      </w:r>
      <w:r w:rsidRPr="00217399">
        <w:rPr>
          <w:i/>
        </w:rPr>
        <w:t>inn</w:t>
      </w:r>
      <w:r w:rsidRPr="00217399">
        <w:rPr>
          <w:i/>
        </w:rPr>
        <w:t>e</w:t>
      </w:r>
      <w:r w:rsidRPr="00217399">
        <w:rPr>
          <w:i/>
        </w:rPr>
        <w:t xml:space="preserve">håll </w:t>
      </w:r>
      <w:r w:rsidRPr="00217399">
        <w:t>skall omfatta uppgifter om färdskrivarkorten, nämligen dels själva inn</w:t>
      </w:r>
      <w:r w:rsidRPr="00217399">
        <w:t>e</w:t>
      </w:r>
      <w:r w:rsidRPr="00217399">
        <w:t xml:space="preserve">havet, dels en uppräkning av uppgifter som behövs för Vägverkets hantering av färdskrivarkorten. </w:t>
      </w:r>
    </w:p>
    <w:p w:rsidR="00C4460A" w:rsidRPr="00217399" w:rsidRDefault="00C4460A">
      <w:pPr>
        <w:pStyle w:val="Normaltindrag"/>
      </w:pPr>
      <w:r w:rsidRPr="00217399">
        <w:t>Vägverkets verksamhet med vägtrafikregistret är avgiftsfinansierad. Den nu föreslagna utökningen av registerverksamheten avses bli finansierad g</w:t>
      </w:r>
      <w:r w:rsidRPr="00217399">
        <w:t>e</w:t>
      </w:r>
      <w:r w:rsidRPr="00217399">
        <w:t xml:space="preserve">nom avgifter för ansökan om och utfärdande av färdskrivarkort. </w:t>
      </w:r>
    </w:p>
    <w:p w:rsidR="00C4460A" w:rsidRPr="00217399" w:rsidRDefault="00C4460A">
      <w:pPr>
        <w:pStyle w:val="Normaltindrag"/>
      </w:pPr>
      <w:r w:rsidRPr="00217399">
        <w:t>Beträffande frågan om sekretess i samband med utfärdande av fär</w:t>
      </w:r>
      <w:r w:rsidRPr="00217399">
        <w:t>d</w:t>
      </w:r>
      <w:r w:rsidRPr="00217399">
        <w:t>skrivarkort bedömer regeringen att nuvarande bestämmelser i sekretesslagen (1980:100) är tillräckliga för skydd av sådana uppgifter som avser fär</w:t>
      </w:r>
      <w:r w:rsidRPr="00217399">
        <w:t>d</w:t>
      </w:r>
      <w:r w:rsidRPr="00217399">
        <w:t xml:space="preserve">skrivarkortens säkerhet. </w:t>
      </w:r>
    </w:p>
    <w:p w:rsidR="00C4460A" w:rsidRPr="00217399" w:rsidRDefault="00C4460A">
      <w:pPr>
        <w:pStyle w:val="Normaltindrag"/>
      </w:pPr>
      <w:r w:rsidRPr="00217399">
        <w:t>Regeringen föreslår att lagändringarna skall träda i kraft den 1 juli 2004.</w:t>
      </w:r>
    </w:p>
    <w:p w:rsidR="00C4460A" w:rsidRPr="00217399" w:rsidRDefault="00C4460A">
      <w:pPr>
        <w:pStyle w:val="Rubrik3"/>
        <w:rPr>
          <w:noProof w:val="0"/>
        </w:rPr>
      </w:pPr>
      <w:bookmarkStart w:id="14" w:name="_Toc70491361"/>
      <w:r w:rsidRPr="00217399">
        <w:rPr>
          <w:noProof w:val="0"/>
        </w:rPr>
        <w:t>Utskottets ställningstagande</w:t>
      </w:r>
      <w:bookmarkEnd w:id="14"/>
    </w:p>
    <w:p w:rsidR="00C4460A" w:rsidRPr="00217399" w:rsidRDefault="00C4460A">
      <w:pPr>
        <w:rPr>
          <w:snapToGrid w:val="0"/>
          <w:color w:val="000000"/>
          <w:lang w:eastAsia="sv-SE"/>
        </w:rPr>
      </w:pPr>
      <w:r w:rsidRPr="00217399">
        <w:t>Utskottet vill inledningsvis understryka vikten av att regler om kör- och vil</w:t>
      </w:r>
      <w:r w:rsidRPr="00217399">
        <w:t>o</w:t>
      </w:r>
      <w:r w:rsidRPr="00217399">
        <w:t>tider upprätthålls.</w:t>
      </w:r>
      <w:r w:rsidRPr="00217399">
        <w:rPr>
          <w:snapToGrid w:val="0"/>
          <w:color w:val="000000"/>
          <w:lang w:eastAsia="sv-SE"/>
        </w:rPr>
        <w:t xml:space="preserve"> Överträdelser av reglerna och missbruk av färdskrivars</w:t>
      </w:r>
      <w:r w:rsidRPr="00217399">
        <w:rPr>
          <w:snapToGrid w:val="0"/>
          <w:color w:val="000000"/>
          <w:lang w:eastAsia="sv-SE"/>
        </w:rPr>
        <w:t>y</w:t>
      </w:r>
      <w:r w:rsidRPr="00217399">
        <w:rPr>
          <w:snapToGrid w:val="0"/>
          <w:color w:val="000000"/>
          <w:lang w:eastAsia="sv-SE"/>
        </w:rPr>
        <w:t xml:space="preserve">stemet är ett allvarligt hot mot trafiksäkerheten och är oacceptabelt även av konkurrensskäl. </w:t>
      </w:r>
    </w:p>
    <w:p w:rsidR="00C4460A" w:rsidRPr="00217399" w:rsidRDefault="00C4460A">
      <w:pPr>
        <w:pStyle w:val="Normaltindrag"/>
      </w:pPr>
      <w:r w:rsidRPr="00217399">
        <w:t>Förordningen (EG) nr 2135/98 gäller som nationell rätt. Den avser en än</w:t>
      </w:r>
      <w:r w:rsidRPr="00217399">
        <w:t>d</w:t>
      </w:r>
      <w:r w:rsidRPr="00217399">
        <w:t xml:space="preserve">ring av förordning (EEG) nr 3821/85 om färdskrivare vid vägtransporter och direktiv 88/599/EEG om enhetligt förfarande vid kontroll av förordningarna (EEG) nr 3820/85 och (EEG) nr 3821/85. </w:t>
      </w:r>
    </w:p>
    <w:p w:rsidR="00C4460A" w:rsidRPr="00217399" w:rsidRDefault="00C4460A">
      <w:pPr>
        <w:pStyle w:val="Normaltindrag"/>
      </w:pPr>
      <w:r w:rsidRPr="00217399">
        <w:t>För att förordningen skall kunna tillämpas i Sverige när det gäller hante</w:t>
      </w:r>
      <w:r w:rsidRPr="00217399">
        <w:t>r</w:t>
      </w:r>
      <w:r w:rsidRPr="00217399">
        <w:t>ingen av färdskrivarkort behövs kompletterande bestämmelser i svensk lag. Regeringen föreslår därför en ändring av lagen (2001:558) om vägtrafikr</w:t>
      </w:r>
      <w:r w:rsidRPr="00217399">
        <w:t>e</w:t>
      </w:r>
      <w:r w:rsidRPr="00217399">
        <w:t>gister i fråga om registrets ändamål och inn</w:t>
      </w:r>
      <w:r w:rsidRPr="00217399">
        <w:t>e</w:t>
      </w:r>
      <w:r w:rsidRPr="00217399">
        <w:t xml:space="preserve">håll. </w:t>
      </w:r>
    </w:p>
    <w:p w:rsidR="00C4460A" w:rsidRPr="00217399" w:rsidRDefault="00C4460A">
      <w:pPr>
        <w:pStyle w:val="Normaltindrag"/>
      </w:pPr>
      <w:r w:rsidRPr="00217399">
        <w:t>Avsikten har varit att systemet med digitala färdskrivare skulle träda i kraft den 5 augusti 2004. Såsom nämns i propositionen är emellertid införandet av systemet försenat, eftersom att det ännu inte finns någon typgodkänd fär</w:t>
      </w:r>
      <w:r w:rsidRPr="00217399">
        <w:t>d</w:t>
      </w:r>
      <w:r w:rsidRPr="00217399">
        <w:t>skrivare på marknaden. Utskottet har erfarit att den första digitala färdskriv</w:t>
      </w:r>
      <w:r w:rsidRPr="00217399">
        <w:t>a</w:t>
      </w:r>
      <w:r w:rsidRPr="00217399">
        <w:t>ren kan förväntas bli EG-typgodkänd tidigast i slutet av maj 2004; detta är tio månader senare än beräknat. Vidare har inhämtats att kommissionen uttalat sin avsikt att i ett brev till medlemsstaterna lämna ett förslag i frågan. Det är enligt utskottets mening angeläget att Vägverket fortlöpande håller berörda intressenter inform</w:t>
      </w:r>
      <w:r w:rsidRPr="00217399">
        <w:t>e</w:t>
      </w:r>
      <w:r w:rsidRPr="00217399">
        <w:t xml:space="preserve">rade i denna fråga. </w:t>
      </w:r>
    </w:p>
    <w:p w:rsidR="00C4460A" w:rsidRPr="00217399" w:rsidRDefault="00C4460A">
      <w:pPr>
        <w:pStyle w:val="Normaltindrag"/>
      </w:pPr>
      <w:r w:rsidRPr="00217399">
        <w:t>Utskottet ser positivt på att tillämpningen i Sverige av EG:s regelsystem avsee</w:t>
      </w:r>
      <w:r w:rsidRPr="00217399">
        <w:t>nde digitala färdskrivare nu möjliggörs genom en komplettering av lagen om vägtrafikregister. Samtidigt förutsätter utskottet att det nationella regelsystemet i övrigt utformas på ett ändamålsenligt sätt, inte minst för att säkerställa att missbruk av färdskrivarsystemet kan motve</w:t>
      </w:r>
      <w:r w:rsidRPr="00217399">
        <w:t>r</w:t>
      </w:r>
      <w:r w:rsidRPr="00217399">
        <w:t xml:space="preserve">kas effektivt. </w:t>
      </w:r>
    </w:p>
    <w:p w:rsidR="00C4460A" w:rsidRPr="00217399" w:rsidRDefault="00C4460A">
      <w:pPr>
        <w:pStyle w:val="Normaltindrag"/>
      </w:pPr>
      <w:r w:rsidRPr="00217399">
        <w:t xml:space="preserve">Med det sagda tillstyrks propositionen. </w:t>
      </w:r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  <w:sectPr w:rsidR="00000000" w:rsidRPr="0021739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460A" w:rsidRPr="00217399" w:rsidRDefault="00C4460A">
      <w:pPr>
        <w:pStyle w:val="Bilaga"/>
      </w:pPr>
      <w:r w:rsidRPr="00217399">
        <w:t>Bilaga 1</w:t>
      </w:r>
    </w:p>
    <w:p w:rsidR="00C4460A" w:rsidRPr="00217399" w:rsidRDefault="00C4460A">
      <w:pPr>
        <w:pStyle w:val="Rubrik1"/>
        <w:rPr>
          <w:noProof w:val="0"/>
        </w:rPr>
      </w:pPr>
      <w:bookmarkStart w:id="15" w:name="_Toc70491362"/>
      <w:r w:rsidRPr="00217399">
        <w:rPr>
          <w:noProof w:val="0"/>
        </w:rPr>
        <w:t>Förteckning över behandlade förslag</w:t>
      </w:r>
      <w:bookmarkEnd w:id="15"/>
    </w:p>
    <w:p w:rsidR="00C4460A" w:rsidRPr="00217399" w:rsidRDefault="00C4460A">
      <w:pPr>
        <w:pStyle w:val="Rubrik2"/>
      </w:pPr>
      <w:bookmarkStart w:id="16" w:name="_Toc70491363"/>
      <w:r w:rsidRPr="00217399">
        <w:t>Propositionen</w:t>
      </w:r>
      <w:bookmarkEnd w:id="16"/>
    </w:p>
    <w:p w:rsidR="00C4460A" w:rsidRPr="00217399" w:rsidRDefault="00C4460A">
      <w:pPr>
        <w:pStyle w:val="Motioner"/>
      </w:pPr>
      <w:bookmarkStart w:id="17" w:name="RangeStart"/>
      <w:bookmarkStart w:id="18" w:name="RangeEnd"/>
      <w:bookmarkEnd w:id="17"/>
      <w:r w:rsidRPr="00217399">
        <w:t>2003/04:83:Digitala färdskrivare vid vägtransporter</w:t>
      </w:r>
    </w:p>
    <w:p w:rsidR="00C4460A" w:rsidRPr="00217399" w:rsidRDefault="00C4460A">
      <w:r w:rsidRPr="00217399">
        <w:t xml:space="preserve">Riksdagen antar regeringens förslag till </w:t>
      </w:r>
    </w:p>
    <w:p w:rsidR="00C4460A" w:rsidRPr="00217399" w:rsidRDefault="00C4460A">
      <w:pPr>
        <w:pStyle w:val="Yrkanden"/>
        <w:spacing w:line="240" w:lineRule="auto"/>
      </w:pPr>
      <w:r w:rsidRPr="00217399">
        <w:t xml:space="preserve">lag om ändring i lagen (2001:558) om vägtrafikregister.  </w:t>
      </w:r>
    </w:p>
    <w:bookmarkEnd w:id="18"/>
    <w:p w:rsidR="00C4460A" w:rsidRPr="00217399" w:rsidRDefault="00C4460A">
      <w:pPr>
        <w:pStyle w:val="Normaltindrag"/>
      </w:pPr>
    </w:p>
    <w:p w:rsidR="00C4460A" w:rsidRPr="00217399" w:rsidRDefault="00C4460A">
      <w:pPr>
        <w:pStyle w:val="Rubrik1"/>
        <w:rPr>
          <w:noProof w:val="0"/>
        </w:rPr>
      </w:pPr>
    </w:p>
    <w:p w:rsidR="00C4460A" w:rsidRPr="00217399" w:rsidRDefault="00C4460A"/>
    <w:p w:rsidR="00C4460A" w:rsidRPr="00217399" w:rsidRDefault="00C4460A"/>
    <w:p w:rsidR="00C4460A" w:rsidRPr="00217399" w:rsidRDefault="00C4460A">
      <w:pPr>
        <w:pStyle w:val="Normaltindrag"/>
        <w:sectPr w:rsidR="00000000" w:rsidRPr="0021739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7" w:left="1304" w:header="340" w:footer="227" w:gutter="0"/>
          <w:cols w:space="720"/>
          <w:titlePg/>
        </w:sectPr>
      </w:pPr>
    </w:p>
    <w:p w:rsidR="00C4460A" w:rsidRPr="00217399" w:rsidRDefault="00C4460A">
      <w:pPr>
        <w:pStyle w:val="Bilaga"/>
      </w:pPr>
      <w:r w:rsidRPr="00217399">
        <w:t>Bilaga 2</w:t>
      </w:r>
    </w:p>
    <w:p w:rsidR="00C4460A" w:rsidRPr="00217399" w:rsidRDefault="00217399">
      <w:pPr>
        <w:pStyle w:val="Rubrik1"/>
        <w:rPr>
          <w:noProof w:val="0"/>
        </w:rPr>
      </w:pPr>
      <w:bookmarkStart w:id="19" w:name="_Toc70491364"/>
      <w:r w:rsidRPr="00217399"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283845</wp:posOffset>
            </wp:positionV>
            <wp:extent cx="3629660" cy="7172960"/>
            <wp:effectExtent l="0" t="0" r="0" b="0"/>
            <wp:wrapNone/>
            <wp:docPr id="96827944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717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60A" w:rsidRPr="00217399">
        <w:rPr>
          <w:noProof w:val="0"/>
        </w:rPr>
        <w:t>Regeringens lagförslag</w:t>
      </w:r>
      <w:bookmarkEnd w:id="19"/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</w:pPr>
    </w:p>
    <w:p w:rsidR="00C4460A" w:rsidRPr="00217399" w:rsidRDefault="00C4460A">
      <w:pPr>
        <w:pStyle w:val="Normaltindrag"/>
        <w:sectPr w:rsidR="00000000" w:rsidRPr="00217399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460A" w:rsidRPr="00217399" w:rsidRDefault="00217399">
      <w:pPr>
        <w:pStyle w:val="Rubrik1"/>
        <w:rPr>
          <w:noProof w:val="0"/>
        </w:rPr>
      </w:pPr>
      <w:r w:rsidRPr="00217399">
        <w:drawing>
          <wp:inline distT="0" distB="0" distL="0" distR="0">
            <wp:extent cx="3771900" cy="598741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9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60A" w:rsidRPr="00217399" w:rsidRDefault="00C4460A">
      <w:pPr>
        <w:pStyle w:val="Tryckort"/>
        <w:framePr w:wrap="around"/>
      </w:pPr>
      <w:r w:rsidRPr="00217399">
        <w:t>Elanders Gotab, Stockholm  2004</w:t>
      </w:r>
    </w:p>
    <w:p w:rsidR="00C4460A" w:rsidRPr="00217399" w:rsidRDefault="00C4460A">
      <w:pPr>
        <w:pStyle w:val="Normaltindrag"/>
      </w:pPr>
    </w:p>
    <w:sectPr w:rsidR="00C4460A" w:rsidRPr="00217399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60A" w:rsidRPr="00217399" w:rsidRDefault="00C4460A">
      <w:pPr>
        <w:spacing w:before="0" w:line="240" w:lineRule="auto"/>
      </w:pPr>
      <w:r w:rsidRPr="00217399">
        <w:separator/>
      </w:r>
    </w:p>
  </w:endnote>
  <w:endnote w:type="continuationSeparator" w:id="0">
    <w:p w:rsidR="00C4460A" w:rsidRPr="00217399" w:rsidRDefault="00C4460A">
      <w:pPr>
        <w:spacing w:before="0" w:line="240" w:lineRule="auto"/>
      </w:pPr>
      <w:r w:rsidRPr="00217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2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6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5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4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2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4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2</w:instrText>
    </w:r>
    <w:r w:rsidRPr="00217399">
      <w:fldChar w:fldCharType="end"/>
    </w:r>
    <w:r w:rsidRPr="00217399">
      <w:fldChar w:fldCharType="separate"/>
    </w:r>
    <w:r w:rsidRPr="00217399">
      <w:instrText>0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4</w:instrText>
    </w:r>
    <w:r w:rsidRPr="00217399">
      <w:fldChar w:fldCharType="end"/>
    </w:r>
  </w:p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5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4</w: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end"/>
    </w:r>
  </w:p>
  <w:p w:rsidR="00C4460A" w:rsidRPr="00217399" w:rsidRDefault="00C4460A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957" w:h="283" w:hRule="exact" w:hSpace="0" w:vSpace="0" w:wrap="around" w:xAlign="inside" w:y="13040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8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957" w:h="283" w:hRule="exact" w:hSpace="0" w:vSpace="0" w:wrap="around" w:xAlign="inside" w:y="13040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9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957" w:h="283" w:hRule="exact" w:hSpace="0" w:vSpace="0" w:wrap="around" w:xAlign="inside" w:y="13040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7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3,5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7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3</w:instrText>
    </w:r>
    <w:r w:rsidRPr="00217399">
      <w:fldChar w:fldCharType="end"/>
    </w:r>
    <w:r w:rsidRPr="00217399">
      <w:fldChar w:fldCharType="separate"/>
    </w:r>
    <w:r w:rsidRPr="00217399">
      <w:instrText>0,5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8</w:instrText>
    </w:r>
    <w:r w:rsidRPr="00217399">
      <w:fldChar w:fldCharType="end"/>
    </w:r>
  </w:p>
  <w:p w:rsidR="00C4460A" w:rsidRPr="00217399" w:rsidRDefault="00C4460A">
    <w:pPr>
      <w:pStyle w:val="SidfotH"/>
      <w:framePr w:w="8957" w:h="283" w:hRule="exact" w:hSpace="0" w:vSpace="0" w:wrap="around" w:xAlign="inside" w:y="13040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7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t>7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10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9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8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4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8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4</w:instrText>
    </w:r>
    <w:r w:rsidRPr="00217399">
      <w:fldChar w:fldCharType="end"/>
    </w:r>
    <w:r w:rsidRPr="00217399">
      <w:fldChar w:fldCharType="separate"/>
    </w:r>
    <w:r w:rsidRPr="00217399">
      <w:instrText>0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8</w:instrText>
    </w:r>
    <w:r w:rsidRPr="00217399">
      <w:fldChar w:fldCharType="end"/>
    </w:r>
  </w:p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9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8</w: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end"/>
    </w:r>
  </w:p>
  <w:p w:rsidR="00C4460A" w:rsidRPr="00217399" w:rsidRDefault="00C4460A">
    <w:pPr>
      <w:pStyle w:val="Sidfo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2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3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3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9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4,5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9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4</w:instrText>
    </w:r>
    <w:r w:rsidRPr="00217399">
      <w:fldChar w:fldCharType="end"/>
    </w:r>
    <w:r w:rsidRPr="00217399">
      <w:fldChar w:fldCharType="separate"/>
    </w:r>
    <w:r w:rsidRPr="00217399">
      <w:instrText>0,5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10</w:instrTex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9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t>9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="00217399">
      <w:rPr>
        <w:noProof/>
      </w:rPr>
      <w:instrText>1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="00217399">
      <w:rPr>
        <w:noProof/>
      </w:rPr>
      <w:instrText>0,5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="00217399">
      <w:rPr>
        <w:noProof/>
      </w:rPr>
      <w:instrText>1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="00217399">
      <w:rPr>
        <w:noProof/>
      </w:rPr>
      <w:instrText>0</w:instrText>
    </w:r>
    <w:r w:rsidRPr="00217399">
      <w:fldChar w:fldCharType="end"/>
    </w:r>
    <w:r w:rsidRPr="00217399">
      <w:fldChar w:fldCharType="separate"/>
    </w:r>
    <w:r w:rsidR="00217399">
      <w:rPr>
        <w:noProof/>
      </w:rPr>
      <w:instrText>0,5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2</w:instrTex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="00217399">
      <w:rPr>
        <w:noProof/>
      </w:rPr>
      <w:instrText>1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="00217399">
      <w:rPr>
        <w:noProof/>
      </w:rPr>
      <w:t>1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4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3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2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1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2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1</w:instrText>
    </w:r>
    <w:r w:rsidRPr="00217399">
      <w:fldChar w:fldCharType="end"/>
    </w:r>
    <w:r w:rsidRPr="00217399">
      <w:fldChar w:fldCharType="separate"/>
    </w:r>
    <w:r w:rsidRPr="00217399">
      <w:instrText>0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2</w:instrText>
    </w:r>
    <w:r w:rsidRPr="00217399">
      <w:fldChar w:fldCharType="end"/>
    </w:r>
  </w:p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3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2</w: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end"/>
    </w:r>
  </w:p>
  <w:p w:rsidR="00C4460A" w:rsidRPr="00217399" w:rsidRDefault="00C4460A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2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t>3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fotV"/>
      <w:framePr w:w="8732" w:h="284" w:hRule="exact" w:hSpace="0" w:vSpace="0" w:wrap="around" w:xAlign="inside" w:y="13042" w:anchorLock="0"/>
    </w:pPr>
    <w:r w:rsidRPr="00217399">
      <w:fldChar w:fldCharType="begin" w:fldLock="1"/>
    </w:r>
    <w:r w:rsidRPr="00217399">
      <w:instrText xml:space="preserve"> if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= 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3</w:instrText>
    </w:r>
    <w:r w:rsidRPr="00217399">
      <w:fldChar w:fldCharType="end"/>
    </w:r>
    <w:r w:rsidRPr="00217399">
      <w:instrText xml:space="preserve">/2 </w:instrText>
    </w:r>
    <w:r w:rsidRPr="00217399">
      <w:fldChar w:fldCharType="separate"/>
    </w:r>
    <w:r w:rsidRPr="00217399">
      <w:instrText>1,5</w:instrText>
    </w:r>
    <w:r w:rsidRPr="00217399">
      <w:fldChar w:fldCharType="end"/>
    </w:r>
    <w:r w:rsidRPr="00217399">
      <w:instrText xml:space="preserve"> - </w:instrText>
    </w:r>
    <w:r w:rsidRPr="00217399">
      <w:fldChar w:fldCharType="begin" w:fldLock="1"/>
    </w:r>
    <w:r w:rsidRPr="00217399">
      <w:instrText xml:space="preserve"> = int(</w:instrText>
    </w:r>
    <w:r w:rsidRPr="00217399">
      <w:fldChar w:fldCharType="begin" w:fldLock="1"/>
    </w:r>
    <w:r w:rsidRPr="00217399">
      <w:instrText xml:space="preserve"> page</w:instrText>
    </w:r>
    <w:r w:rsidRPr="00217399">
      <w:fldChar w:fldCharType="separate"/>
    </w:r>
    <w:r w:rsidRPr="00217399">
      <w:instrText>3</w:instrText>
    </w:r>
    <w:r w:rsidRPr="00217399">
      <w:fldChar w:fldCharType="end"/>
    </w:r>
    <w:r w:rsidRPr="00217399">
      <w:instrText xml:space="preserve">/2) </w:instrText>
    </w:r>
    <w:r w:rsidRPr="00217399">
      <w:fldChar w:fldCharType="separate"/>
    </w:r>
    <w:r w:rsidRPr="00217399">
      <w:instrText>1</w:instrText>
    </w:r>
    <w:r w:rsidRPr="00217399">
      <w:fldChar w:fldCharType="end"/>
    </w:r>
    <w:r w:rsidRPr="00217399">
      <w:fldChar w:fldCharType="separate"/>
    </w:r>
    <w:r w:rsidRPr="00217399">
      <w:instrText>0,5</w:instrText>
    </w:r>
    <w:r w:rsidRPr="00217399">
      <w:fldChar w:fldCharType="end"/>
    </w:r>
    <w:r w:rsidRPr="00217399">
      <w:instrText xml:space="preserve"> = 0 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4</w:instrText>
    </w:r>
    <w:r w:rsidRPr="00217399">
      <w:fldChar w:fldCharType="end"/>
    </w:r>
  </w:p>
  <w:p w:rsidR="00C4460A" w:rsidRPr="00217399" w:rsidRDefault="00C4460A">
    <w:pPr>
      <w:pStyle w:val="SidfotH"/>
      <w:framePr w:w="8732" w:h="284" w:hRule="exact" w:hSpace="0" w:vSpace="0" w:wrap="around" w:xAlign="inside" w:y="13042" w:anchorLock="0"/>
    </w:pPr>
    <w:r w:rsidRPr="00217399">
      <w:instrText>""</w:instrText>
    </w:r>
    <w:r w:rsidRPr="00217399">
      <w:fldChar w:fldCharType="begin" w:fldLock="1"/>
    </w:r>
    <w:r w:rsidRPr="00217399">
      <w:instrText xml:space="preserve"> P</w:instrText>
    </w:r>
    <w:r w:rsidRPr="00217399">
      <w:instrText>A</w:instrText>
    </w:r>
    <w:r w:rsidRPr="00217399">
      <w:instrText xml:space="preserve">GE </w:instrText>
    </w:r>
    <w:r w:rsidRPr="00217399">
      <w:fldChar w:fldCharType="separate"/>
    </w:r>
    <w:r w:rsidRPr="00217399">
      <w:instrText>3</w:instrText>
    </w:r>
    <w:r w:rsidRPr="00217399">
      <w:fldChar w:fldCharType="end"/>
    </w:r>
    <w:r w:rsidRPr="00217399">
      <w:instrText>"</w:instrText>
    </w:r>
    <w:r w:rsidRPr="00217399">
      <w:fldChar w:fldCharType="separate"/>
    </w:r>
    <w:r w:rsidRPr="00217399">
      <w:t>3</w:t>
    </w:r>
    <w:r w:rsidRPr="00217399">
      <w:fldChar w:fldCharType="end"/>
    </w:r>
  </w:p>
  <w:p w:rsidR="00C4460A" w:rsidRPr="00217399" w:rsidRDefault="00C446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60A" w:rsidRPr="00217399" w:rsidRDefault="00C4460A">
      <w:pPr>
        <w:pStyle w:val="Sidfot"/>
      </w:pPr>
    </w:p>
  </w:footnote>
  <w:footnote w:type="continuationSeparator" w:id="0">
    <w:p w:rsidR="00C4460A" w:rsidRPr="00217399" w:rsidRDefault="00C4460A">
      <w:pPr>
        <w:spacing w:before="0" w:line="240" w:lineRule="auto"/>
      </w:pPr>
      <w:r w:rsidRPr="00217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t>2003/04:TU11</w:t>
    </w:r>
    <w:r w:rsidRPr="00217399">
      <w:t xml:space="preserve">     </w:t>
    </w:r>
    <w:r w:rsidRPr="00217399">
      <w:rPr>
        <w:rStyle w:val="SidhuvudBilaga"/>
      </w:rPr>
      <w:t xml:space="preserve"> </w:t>
    </w:r>
    <w:r w:rsidRPr="00217399">
      <w:rPr>
        <w:rStyle w:val="SidhuvudRubrikReferens"/>
      </w:rPr>
      <w:t>Utskottets överväganden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</w:p>
  <w:p w:rsidR="00C4460A" w:rsidRPr="00217399" w:rsidRDefault="00C4460A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t>Utskottets överväganden</w:t>
    </w:r>
    <w:r w:rsidRPr="00217399">
      <w:rPr>
        <w:rStyle w:val="SidhuvudBilaga"/>
      </w:rPr>
      <w:t xml:space="preserve"> </w:t>
    </w:r>
    <w:r w:rsidRPr="00217399">
      <w:t xml:space="preserve">     </w:t>
    </w:r>
    <w:r w:rsidRPr="00217399">
      <w:rPr>
        <w:rStyle w:val="SidhuvudUtskott"/>
      </w:rPr>
      <w:t>2003/04:TU11</w:t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</w:p>
  <w:p w:rsidR="00C4460A" w:rsidRPr="00217399" w:rsidRDefault="00C4460A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t>2003/04:TU11</w:t>
    </w:r>
    <w:r w:rsidRPr="00217399">
      <w:t xml:space="preserve">    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  <w:smallCaps w:val="0"/>
        <w:spacing w:val="0"/>
        <w:sz w:val="19"/>
      </w:rPr>
      <w:t xml:space="preserve"> </w:t>
    </w:r>
  </w:p>
  <w:p w:rsidR="00C4460A" w:rsidRPr="00217399" w:rsidRDefault="00C4460A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1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    </w:t>
    </w:r>
    <w:r w:rsidRPr="00217399">
      <w:rPr>
        <w:rStyle w:val="SidhuvudBilaga"/>
      </w:rPr>
      <w:t xml:space="preserve"> Bilaga 1   </w:t>
    </w: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Utskottets överväganden</w:t>
    </w:r>
    <w:r w:rsidRPr="00217399">
      <w:rPr>
        <w:rStyle w:val="SidhuvudRubrikReferens"/>
      </w:rPr>
      <w:fldChar w:fldCharType="end"/>
    </w:r>
  </w:p>
  <w:p w:rsidR="00C4460A" w:rsidRPr="00217399" w:rsidRDefault="00C4460A">
    <w:pPr>
      <w:pStyle w:val="SidhuvudKantJmn"/>
      <w:framePr w:w="8731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1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Utskottets överväganden</w: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  Bilaga 1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</w:instrText>
    </w:r>
    <w:r w:rsidRPr="00217399">
      <w:rPr>
        <w:rStyle w:val="SidhuvudUtskott"/>
      </w:rPr>
      <w:instrText>C</w:instrText>
    </w:r>
    <w:r w:rsidRPr="00217399">
      <w:rPr>
        <w:rStyle w:val="SidhuvudUtskott"/>
      </w:rPr>
      <w:instrText>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1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1" w:h="567" w:hRule="exact" w:vSpace="0" w:wrap="around" w:vAnchor="page" w:y="341" w:anchorLock="0"/>
    </w:pPr>
    <w:r w:rsidRPr="00217399">
      <w:t xml:space="preserve">  </w:t>
    </w:r>
    <w:r w:rsidRPr="00217399">
      <w:rPr>
        <w:rStyle w:val="SidhuvudUtskott"/>
      </w:rPr>
      <w:t>2003/04:TU11</w:t>
    </w:r>
  </w:p>
  <w:p w:rsidR="00C4460A" w:rsidRPr="00217399" w:rsidRDefault="00C4460A">
    <w:pPr>
      <w:pStyle w:val="SidhuvudKantUdda"/>
      <w:framePr w:w="8731" w:h="567" w:hRule="exact" w:vSpace="0" w:wrap="around" w:vAnchor="page" w:y="341" w:anchorLock="0"/>
    </w:pPr>
  </w:p>
  <w:p w:rsidR="00C4460A" w:rsidRPr="00217399" w:rsidRDefault="00C4460A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    </w:t>
    </w:r>
    <w:r w:rsidRPr="00217399">
      <w:rPr>
        <w:rStyle w:val="SidhuvudBilaga"/>
      </w:rPr>
      <w:t xml:space="preserve"> Bilaga 2   </w:t>
    </w: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end"/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  Bilaga 2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</w:instrText>
    </w:r>
    <w:r w:rsidRPr="00217399">
      <w:rPr>
        <w:rStyle w:val="SidhuvudUtskott"/>
      </w:rPr>
      <w:instrText>C</w:instrText>
    </w:r>
    <w:r w:rsidRPr="00217399">
      <w:rPr>
        <w:rStyle w:val="SidhuvudUtskott"/>
      </w:rPr>
      <w:instrText>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t>2003/04:TU11</w:t>
    </w:r>
    <w:r w:rsidRPr="00217399">
      <w:t xml:space="preserve">    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  <w:smallCaps w:val="0"/>
        <w:spacing w:val="0"/>
        <w:sz w:val="19"/>
      </w:rPr>
      <w:t xml:space="preserve"> </w:t>
    </w:r>
  </w:p>
  <w:p w:rsidR="00C4460A" w:rsidRPr="00217399" w:rsidRDefault="00C4460A">
    <w:pPr>
      <w:pStyle w:val="Sidhuvud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    </w:t>
    </w:r>
    <w:r w:rsidRPr="00217399">
      <w:rPr>
        <w:rStyle w:val="SidhuvudBilaga"/>
      </w:rPr>
      <w:t xml:space="preserve"> </w:t>
    </w: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Regeringens lagförslag</w:t>
    </w:r>
    <w:r w:rsidRPr="00217399">
      <w:rPr>
        <w:rStyle w:val="SidhuvudRubrikReferens"/>
      </w:rPr>
      <w:fldChar w:fldCharType="end"/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Sammanfattning</w: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Regeringens lagförslag</w: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t xml:space="preserve">  </w:t>
    </w:r>
    <w:r w:rsidRPr="00217399">
      <w:rPr>
        <w:rStyle w:val="SidhuvudUtskott"/>
      </w:rPr>
      <w:t>2003/04:TU11</w:t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</w:p>
  <w:p w:rsidR="00C4460A" w:rsidRPr="00217399" w:rsidRDefault="00C4460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t xml:space="preserve"> </w:t>
    </w:r>
  </w:p>
  <w:p w:rsidR="00C4460A" w:rsidRPr="00217399" w:rsidRDefault="00C4460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Innehållsförteckning</w: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t>2003/04:TU11</w:t>
    </w:r>
    <w:r w:rsidRPr="00217399">
      <w:t xml:space="preserve">    </w:t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  <w:smallCaps w:val="0"/>
        <w:spacing w:val="0"/>
        <w:sz w:val="19"/>
      </w:rPr>
      <w:t xml:space="preserve"> </w:t>
    </w:r>
  </w:p>
  <w:p w:rsidR="00C4460A" w:rsidRPr="00217399" w:rsidRDefault="00C4460A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  <w:r w:rsidRPr="00217399">
      <w:t xml:space="preserve">     </w:t>
    </w:r>
    <w:r w:rsidRPr="00217399">
      <w:rPr>
        <w:rStyle w:val="SidhuvudBilaga"/>
      </w:rPr>
      <w:t xml:space="preserve"> </w:t>
    </w: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Innehållsförteckning</w:t>
    </w:r>
    <w:r w:rsidRPr="00217399">
      <w:rPr>
        <w:rStyle w:val="SidhuvudRubrikReferens"/>
      </w:rPr>
      <w:fldChar w:fldCharType="end"/>
    </w:r>
  </w:p>
  <w:p w:rsidR="00C4460A" w:rsidRPr="00217399" w:rsidRDefault="00C4460A">
    <w:pPr>
      <w:pStyle w:val="SidhuvudKantJmn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Status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   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RubrikReferens"/>
      </w:rPr>
      <w:fldChar w:fldCharType="begin" w:fldLock="1"/>
    </w:r>
    <w:r w:rsidRPr="00217399">
      <w:rPr>
        <w:rStyle w:val="SidhuvudRubrikReferens"/>
      </w:rPr>
      <w:instrText xml:space="preserve"> StyleREF "Rubrik 1" </w:instrText>
    </w:r>
    <w:r w:rsidRPr="00217399">
      <w:rPr>
        <w:rStyle w:val="SidhuvudRubrikReferens"/>
      </w:rPr>
      <w:fldChar w:fldCharType="separate"/>
    </w:r>
    <w:r w:rsidRPr="00217399">
      <w:rPr>
        <w:rStyle w:val="SidhuvudRubrikReferens"/>
      </w:rPr>
      <w:t>Innehållsförteckning</w:t>
    </w:r>
    <w:r w:rsidRPr="00217399">
      <w:rPr>
        <w:rStyle w:val="SidhuvudRubrikReferens"/>
      </w:rPr>
      <w:fldChar w:fldCharType="end"/>
    </w:r>
    <w:r w:rsidRPr="00217399">
      <w:rPr>
        <w:rStyle w:val="SidhuvudBilaga"/>
      </w:rPr>
      <w:t xml:space="preserve"> </w:t>
    </w:r>
    <w:r w:rsidRPr="00217399">
      <w:t xml:space="preserve">     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BetänkandeÅr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2003/04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t>:</w: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</w:instrText>
    </w:r>
    <w:r w:rsidRPr="00217399">
      <w:instrText xml:space="preserve"> </w:instrText>
    </w:r>
    <w:r w:rsidRPr="00217399">
      <w:rPr>
        <w:rStyle w:val="SidhuvudUtskott"/>
      </w:rPr>
      <w:instrText>Utskott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TU</w: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Betä</w:instrText>
    </w:r>
    <w:r w:rsidRPr="00217399">
      <w:rPr>
        <w:rStyle w:val="SidhuvudUtskott"/>
      </w:rPr>
      <w:instrText>n</w:instrText>
    </w:r>
    <w:r w:rsidRPr="00217399">
      <w:rPr>
        <w:rStyle w:val="SidhuvudUtskott"/>
      </w:rPr>
      <w:instrText>kandeNr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t>11</w: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if 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DOCPROPERTY "UtkastDatum"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Nej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 = "Ja" "</w:instrText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PRINTDATE \@ "yyyy-MM-dd HH.mm    " </w:instrText>
    </w:r>
    <w:r w:rsidRPr="00217399">
      <w:rPr>
        <w:rStyle w:val="SidhuvudUtskott"/>
      </w:rPr>
      <w:fldChar w:fldCharType="separate"/>
    </w:r>
    <w:r w:rsidRPr="00217399">
      <w:rPr>
        <w:rStyle w:val="SidhuvudUtskott"/>
      </w:rPr>
      <w:instrText>2000-08-11 16.42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instrText xml:space="preserve">" </w:instrText>
    </w:r>
    <w:r w:rsidRPr="00217399">
      <w:rPr>
        <w:rStyle w:val="SidhuvudUtskott"/>
      </w:rPr>
      <w:fldChar w:fldCharType="end"/>
    </w:r>
    <w:r w:rsidRPr="00217399">
      <w:rPr>
        <w:rStyle w:val="SidhuvudUtskott"/>
      </w:rPr>
      <w:fldChar w:fldCharType="begin" w:fldLock="1"/>
    </w:r>
    <w:r w:rsidRPr="00217399">
      <w:rPr>
        <w:rStyle w:val="SidhuvudUtskott"/>
      </w:rPr>
      <w:instrText xml:space="preserve"> DOCPR</w:instrText>
    </w:r>
    <w:r w:rsidRPr="00217399">
      <w:rPr>
        <w:rStyle w:val="SidhuvudUtskott"/>
      </w:rPr>
      <w:instrText>O</w:instrText>
    </w:r>
    <w:r w:rsidRPr="00217399">
      <w:rPr>
        <w:rStyle w:val="SidhuvudUtskott"/>
      </w:rPr>
      <w:instrText>PERTY Status</w:instrText>
    </w:r>
    <w:r w:rsidRPr="00217399">
      <w:rPr>
        <w:rStyle w:val="SidhuvudUtskott"/>
      </w:rPr>
      <w:fldChar w:fldCharType="end"/>
    </w:r>
  </w:p>
  <w:p w:rsidR="00C4460A" w:rsidRPr="00217399" w:rsidRDefault="00C4460A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60A" w:rsidRPr="00217399" w:rsidRDefault="00C4460A">
    <w:pPr>
      <w:pStyle w:val="SidhuvudKantUdda"/>
      <w:framePr w:w="8732" w:h="567" w:hRule="exact" w:vSpace="0" w:wrap="around" w:vAnchor="page" w:y="341" w:anchorLock="0"/>
    </w:pPr>
    <w:r w:rsidRPr="00217399">
      <w:t xml:space="preserve">  </w:t>
    </w:r>
    <w:r w:rsidRPr="00217399">
      <w:rPr>
        <w:rStyle w:val="SidhuvudUtskott"/>
      </w:rPr>
      <w:t>2003/04:TU11</w:t>
    </w:r>
  </w:p>
  <w:p w:rsidR="00C4460A" w:rsidRPr="00217399" w:rsidRDefault="00C4460A">
    <w:pPr>
      <w:pStyle w:val="SidhuvudKantUdda"/>
      <w:framePr w:w="8732" w:h="567" w:hRule="exact" w:vSpace="0" w:wrap="around" w:vAnchor="page" w:y="341" w:anchorLock="0"/>
    </w:pPr>
  </w:p>
  <w:p w:rsidR="00C4460A" w:rsidRPr="00217399" w:rsidRDefault="00C4460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499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1" w15:restartNumberingAfterBreak="0">
    <w:nsid w:val="154A7F5E"/>
    <w:multiLevelType w:val="multilevel"/>
    <w:tmpl w:val="B28C54BA"/>
    <w:lvl w:ilvl="0">
      <w:start w:val="1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E17AB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4" w15:restartNumberingAfterBreak="0">
    <w:nsid w:val="31F01254"/>
    <w:multiLevelType w:val="singleLevel"/>
    <w:tmpl w:val="C03C6A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 w15:restartNumberingAfterBreak="0">
    <w:nsid w:val="4949423F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6" w15:restartNumberingAfterBreak="0">
    <w:nsid w:val="50493C5B"/>
    <w:multiLevelType w:val="singleLevel"/>
    <w:tmpl w:val="C03C6A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7" w15:restartNumberingAfterBreak="0">
    <w:nsid w:val="78A46E21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398288721">
    <w:abstractNumId w:val="12"/>
  </w:num>
  <w:num w:numId="2" w16cid:durableId="1780904336">
    <w:abstractNumId w:val="8"/>
  </w:num>
  <w:num w:numId="3" w16cid:durableId="1638728170">
    <w:abstractNumId w:val="3"/>
  </w:num>
  <w:num w:numId="4" w16cid:durableId="416290279">
    <w:abstractNumId w:val="2"/>
  </w:num>
  <w:num w:numId="5" w16cid:durableId="6098518">
    <w:abstractNumId w:val="1"/>
  </w:num>
  <w:num w:numId="6" w16cid:durableId="596211941">
    <w:abstractNumId w:val="0"/>
  </w:num>
  <w:num w:numId="7" w16cid:durableId="1317763741">
    <w:abstractNumId w:val="9"/>
  </w:num>
  <w:num w:numId="8" w16cid:durableId="568465639">
    <w:abstractNumId w:val="7"/>
  </w:num>
  <w:num w:numId="9" w16cid:durableId="459496649">
    <w:abstractNumId w:val="6"/>
  </w:num>
  <w:num w:numId="10" w16cid:durableId="1192306893">
    <w:abstractNumId w:val="5"/>
  </w:num>
  <w:num w:numId="11" w16cid:durableId="1889418457">
    <w:abstractNumId w:val="4"/>
  </w:num>
  <w:num w:numId="12" w16cid:durableId="168182536">
    <w:abstractNumId w:val="11"/>
  </w:num>
  <w:num w:numId="13" w16cid:durableId="1039744048">
    <w:abstractNumId w:val="10"/>
  </w:num>
  <w:num w:numId="14" w16cid:durableId="767116574">
    <w:abstractNumId w:val="15"/>
  </w:num>
  <w:num w:numId="15" w16cid:durableId="1221749719">
    <w:abstractNumId w:val="14"/>
  </w:num>
  <w:num w:numId="16" w16cid:durableId="1642348925">
    <w:abstractNumId w:val="16"/>
  </w:num>
  <w:num w:numId="17" w16cid:durableId="679967181">
    <w:abstractNumId w:val="13"/>
  </w:num>
  <w:num w:numId="18" w16cid:durableId="1921257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trafikutskottets"/>
    <w:docVar w:name="Skapår" w:val="0304"/>
  </w:docVars>
  <w:rsids>
    <w:rsidRoot w:val="00205B23"/>
    <w:rsid w:val="00205B23"/>
    <w:rsid w:val="00217399"/>
    <w:rsid w:val="00C4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FEFB-7C5C-423E-9CF0-4C7A9421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sz w:val="25"/>
    </w:rPr>
  </w:style>
  <w:style w:type="paragraph" w:customStyle="1" w:styleId="Propmedindrag">
    <w:name w:val="Prop. med indrag"/>
    <w:basedOn w:val="Proputanindrag"/>
    <w:pPr>
      <w:ind w:firstLine="227"/>
    </w:p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6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image" Target="media/image3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oter" Target="footer1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8.xml"/><Relationship Id="rId48" Type="http://schemas.openxmlformats.org/officeDocument/2006/relationships/footer" Target="footer19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image" Target="media/image2.png"/><Relationship Id="rId46" Type="http://schemas.openxmlformats.org/officeDocument/2006/relationships/header" Target="header19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7063</Characters>
  <Application>Microsoft Office Word</Application>
  <DocSecurity>4</DocSecurity>
  <Lines>176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13</vt:i4>
      </vt:variant>
    </vt:vector>
  </HeadingPairs>
  <TitlesOfParts>
    <vt:vector size="14" baseType="lpstr">
      <vt:lpstr>Trafikutskottets betänkande</vt:lpstr>
      <vt:lpstr>Sammanfattning</vt:lpstr>
      <vt:lpstr>Innehållsförteckning</vt:lpstr>
      <vt:lpstr>Utskottets förslag till riksdagsbeslut</vt:lpstr>
      <vt:lpstr>Utskottets överväganden</vt:lpstr>
      <vt:lpstr>        Bakgrund</vt:lpstr>
      <vt:lpstr>        Nya EG-bestämmelser</vt:lpstr>
      <vt:lpstr>        Regeringens förslag och bedömningar</vt:lpstr>
      <vt:lpstr>        Utskottets ställningstagande</vt:lpstr>
      <vt:lpstr>Förteckning över behandlade förslag</vt:lpstr>
      <vt:lpstr>    Propositionen</vt:lpstr>
      <vt:lpstr/>
      <vt:lpstr>Regeringens lagförslag</vt:lpstr>
      <vt:lpstr/>
    </vt:vector>
  </TitlesOfParts>
  <Company>Riksdagen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Trafikutskottets betänkande</dc:title>
  <dc:subject>Trafikutskottets betänkande</dc:subject>
  <dc:creator>Riksdagen</dc:creator>
  <cp:keywords>Riksdagen</cp:keywords>
  <cp:lastModifiedBy>Lars Brink</cp:lastModifiedBy>
  <cp:revision>2</cp:revision>
  <cp:lastPrinted>2004-04-27T09:04:00Z</cp:lastPrinted>
  <dcterms:created xsi:type="dcterms:W3CDTF">2025-12-16T17:50:00Z</dcterms:created>
  <dcterms:modified xsi:type="dcterms:W3CDTF">2025-12-16T17:50:00Z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11</vt:lpwstr>
  </property>
  <property fmtid="{D5CDD505-2E9C-101B-9397-08002B2CF9AE}" pid="3" name="Utskott">
    <vt:lpwstr>TU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