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E82DEE" w:rsidRPr="00FD16B9" w:rsidRDefault="00FD16B9">
      <w:pPr>
        <w:pStyle w:val="RKrubrik"/>
        <w:pBdr>
          <w:bottom w:val="single" w:sz="4" w:space="1" w:color="000000"/>
        </w:pBdr>
      </w:pPr>
      <w:r w:rsidRPr="00FD16B9">
        <w:rPr>
          <w:noProof/>
        </w:rPr>
        <mc:AlternateContent>
          <mc:Choice Requires="wps">
            <w:drawing>
              <wp:anchor distT="0" distB="0" distL="71755" distR="71755" simplePos="0" relativeHeight="251657728" behindDoc="0" locked="0" layoutInCell="1" allowOverlap="1">
                <wp:simplePos x="0" y="0"/>
                <wp:positionH relativeFrom="page">
                  <wp:posOffset>886460</wp:posOffset>
                </wp:positionH>
                <wp:positionV relativeFrom="page">
                  <wp:posOffset>213360</wp:posOffset>
                </wp:positionV>
                <wp:extent cx="3117850" cy="2393950"/>
                <wp:effectExtent l="635" t="3810" r="5715" b="2540"/>
                <wp:wrapTopAndBottom/>
                <wp:docPr id="1150623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2393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6047" w:rsidRPr="00FD16B9" w:rsidRDefault="00316047"/>
                          <w:p w:rsidR="00316047" w:rsidRPr="00FD16B9" w:rsidRDefault="00FD16B9">
                            <w:r w:rsidRPr="00FD16B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solidFill>
                                            <a:srgbClr val="FFFFFF">
                                              <a:alpha val="0"/>
                                            </a:srgbClr>
                                          </a:solidFill>
                                          <a:ln>
                                            <a:noFill/>
                                          </a:ln>
                                        </pic:spPr>
                                      </pic:pic>
                                    </a:graphicData>
                                  </a:graphic>
                                </wp:inline>
                              </w:drawing>
                            </w:r>
                          </w:p>
                          <w:p w:rsidR="00316047" w:rsidRPr="00FD16B9" w:rsidRDefault="00316047"/>
                          <w:tbl>
                            <w:tblPr>
                              <w:tblW w:w="0" w:type="auto"/>
                              <w:tblInd w:w="108" w:type="dxa"/>
                              <w:tblLayout w:type="fixed"/>
                              <w:tblLook w:val="0000" w:firstRow="0" w:lastRow="0" w:firstColumn="0" w:lastColumn="0" w:noHBand="0" w:noVBand="0"/>
                            </w:tblPr>
                            <w:tblGrid>
                              <w:gridCol w:w="4911"/>
                            </w:tblGrid>
                            <w:tr w:rsidR="0041003F" w:rsidRPr="00FD16B9">
                              <w:trPr>
                                <w:trHeight w:val="284"/>
                              </w:trPr>
                              <w:tc>
                                <w:tcPr>
                                  <w:tcW w:w="4911" w:type="dxa"/>
                                </w:tcPr>
                                <w:p w:rsidR="0041003F" w:rsidRPr="00FD16B9" w:rsidRDefault="0041003F">
                                  <w:pPr>
                                    <w:pStyle w:val="Avsndare"/>
                                    <w:snapToGrid w:val="0"/>
                                    <w:rPr>
                                      <w:b/>
                                      <w:i w:val="0"/>
                                      <w:sz w:val="22"/>
                                    </w:rPr>
                                  </w:pPr>
                                  <w:r w:rsidRPr="00FD16B9">
                                    <w:rPr>
                                      <w:b/>
                                      <w:i w:val="0"/>
                                      <w:sz w:val="22"/>
                                    </w:rPr>
                                    <w:t>Statsrådsberedningen</w:t>
                                  </w:r>
                                </w:p>
                              </w:tc>
                            </w:tr>
                            <w:tr w:rsidR="0041003F" w:rsidRPr="00FD16B9">
                              <w:trPr>
                                <w:trHeight w:val="284"/>
                              </w:trPr>
                              <w:tc>
                                <w:tcPr>
                                  <w:tcW w:w="4911" w:type="dxa"/>
                                </w:tcPr>
                                <w:p w:rsidR="0041003F" w:rsidRPr="00FD16B9" w:rsidRDefault="0041003F">
                                  <w:pPr>
                                    <w:pStyle w:val="Avsndare"/>
                                    <w:snapToGrid w:val="0"/>
                                    <w:rPr>
                                      <w:b/>
                                      <w:bCs/>
                                      <w:iCs/>
                                      <w:sz w:val="22"/>
                                    </w:rPr>
                                  </w:pPr>
                                </w:p>
                              </w:tc>
                            </w:tr>
                            <w:tr w:rsidR="0041003F" w:rsidRPr="00FD16B9">
                              <w:trPr>
                                <w:trHeight w:val="284"/>
                              </w:trPr>
                              <w:tc>
                                <w:tcPr>
                                  <w:tcW w:w="4911" w:type="dxa"/>
                                </w:tcPr>
                                <w:p w:rsidR="0041003F" w:rsidRPr="00FD16B9" w:rsidRDefault="0041003F">
                                  <w:pPr>
                                    <w:pStyle w:val="Avsndare"/>
                                    <w:snapToGrid w:val="0"/>
                                    <w:rPr>
                                      <w:bCs/>
                                      <w:iCs/>
                                    </w:rPr>
                                  </w:pPr>
                                  <w:r w:rsidRPr="00FD16B9">
                                    <w:rPr>
                                      <w:bCs/>
                                      <w:iCs/>
                                    </w:rPr>
                                    <w:t>EU-kansliet</w:t>
                                  </w:r>
                                </w:p>
                              </w:tc>
                            </w:tr>
                            <w:tr w:rsidR="0041003F" w:rsidRPr="00FD16B9">
                              <w:trPr>
                                <w:trHeight w:val="284"/>
                              </w:trPr>
                              <w:tc>
                                <w:tcPr>
                                  <w:tcW w:w="4911" w:type="dxa"/>
                                </w:tcPr>
                                <w:p w:rsidR="0041003F" w:rsidRPr="00FD16B9" w:rsidRDefault="0041003F">
                                  <w:pPr>
                                    <w:pStyle w:val="Avsndare"/>
                                    <w:snapToGrid w:val="0"/>
                                    <w:rPr>
                                      <w:b/>
                                      <w:bCs/>
                                      <w:iCs/>
                                      <w:sz w:val="22"/>
                                    </w:rPr>
                                  </w:pPr>
                                </w:p>
                              </w:tc>
                            </w:tr>
                          </w:tbl>
                          <w:p w:rsidR="0041003F" w:rsidRPr="00FD16B9" w:rsidRDefault="0041003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9.8pt;margin-top:16.8pt;width:245.5pt;height:188.5pt;z-index:251657728;visibility:visible;mso-wrap-style:square;mso-width-percent:0;mso-height-percent:0;mso-wrap-distance-left:5.65pt;mso-wrap-distance-top:0;mso-wrap-distance-right:5.6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" stroked="f">
                <v:fill opacity="0"/>
                <v:textbox inset="0,0,0,0">
                  <w:txbxContent>
                    <w:p w:rsidR="00316047" w:rsidRPr="00FD16B9" w:rsidRDefault="00316047"/>
                    <w:p w:rsidR="00316047" w:rsidRPr="00FD16B9" w:rsidRDefault="00FD16B9">
                      <w:r w:rsidRPr="00FD16B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solidFill>
                                      <a:srgbClr val="FFFFFF">
                                        <a:alpha val="0"/>
                                      </a:srgbClr>
                                    </a:solidFill>
                                    <a:ln>
                                      <a:noFill/>
                                    </a:ln>
                                  </pic:spPr>
                                </pic:pic>
                              </a:graphicData>
                            </a:graphic>
                          </wp:inline>
                        </w:drawing>
                      </w:r>
                    </w:p>
                    <w:p w:rsidR="00316047" w:rsidRPr="00FD16B9" w:rsidRDefault="00316047"/>
                    <w:tbl>
                      <w:tblPr>
                        <w:tblW w:w="0" w:type="auto"/>
                        <w:tblInd w:w="108" w:type="dxa"/>
                        <w:tblLayout w:type="fixed"/>
                        <w:tblLook w:val="0000" w:firstRow="0" w:lastRow="0" w:firstColumn="0" w:lastColumn="0" w:noHBand="0" w:noVBand="0"/>
                      </w:tblPr>
                      <w:tblGrid>
                        <w:gridCol w:w="4911"/>
                      </w:tblGrid>
                      <w:tr w:rsidR="0041003F" w:rsidRPr="00FD16B9">
                        <w:trPr>
                          <w:trHeight w:val="284"/>
                        </w:trPr>
                        <w:tc>
                          <w:tcPr>
                            <w:tcW w:w="4911" w:type="dxa"/>
                          </w:tcPr>
                          <w:p w:rsidR="0041003F" w:rsidRPr="00FD16B9" w:rsidRDefault="0041003F">
                            <w:pPr>
                              <w:pStyle w:val="Avsndare"/>
                              <w:snapToGrid w:val="0"/>
                              <w:rPr>
                                <w:b/>
                                <w:i w:val="0"/>
                                <w:sz w:val="22"/>
                              </w:rPr>
                            </w:pPr>
                            <w:r w:rsidRPr="00FD16B9">
                              <w:rPr>
                                <w:b/>
                                <w:i w:val="0"/>
                                <w:sz w:val="22"/>
                              </w:rPr>
                              <w:t>Statsrådsberedningen</w:t>
                            </w:r>
                          </w:p>
                        </w:tc>
                      </w:tr>
                      <w:tr w:rsidR="0041003F" w:rsidRPr="00FD16B9">
                        <w:trPr>
                          <w:trHeight w:val="284"/>
                        </w:trPr>
                        <w:tc>
                          <w:tcPr>
                            <w:tcW w:w="4911" w:type="dxa"/>
                          </w:tcPr>
                          <w:p w:rsidR="0041003F" w:rsidRPr="00FD16B9" w:rsidRDefault="0041003F">
                            <w:pPr>
                              <w:pStyle w:val="Avsndare"/>
                              <w:snapToGrid w:val="0"/>
                              <w:rPr>
                                <w:b/>
                                <w:bCs/>
                                <w:iCs/>
                                <w:sz w:val="22"/>
                              </w:rPr>
                            </w:pPr>
                          </w:p>
                        </w:tc>
                      </w:tr>
                      <w:tr w:rsidR="0041003F" w:rsidRPr="00FD16B9">
                        <w:trPr>
                          <w:trHeight w:val="284"/>
                        </w:trPr>
                        <w:tc>
                          <w:tcPr>
                            <w:tcW w:w="4911" w:type="dxa"/>
                          </w:tcPr>
                          <w:p w:rsidR="0041003F" w:rsidRPr="00FD16B9" w:rsidRDefault="0041003F">
                            <w:pPr>
                              <w:pStyle w:val="Avsndare"/>
                              <w:snapToGrid w:val="0"/>
                              <w:rPr>
                                <w:bCs/>
                                <w:iCs/>
                              </w:rPr>
                            </w:pPr>
                            <w:r w:rsidRPr="00FD16B9">
                              <w:rPr>
                                <w:bCs/>
                                <w:iCs/>
                              </w:rPr>
                              <w:t>EU-kansliet</w:t>
                            </w:r>
                          </w:p>
                        </w:tc>
                      </w:tr>
                      <w:tr w:rsidR="0041003F" w:rsidRPr="00FD16B9">
                        <w:trPr>
                          <w:trHeight w:val="284"/>
                        </w:trPr>
                        <w:tc>
                          <w:tcPr>
                            <w:tcW w:w="4911" w:type="dxa"/>
                          </w:tcPr>
                          <w:p w:rsidR="0041003F" w:rsidRPr="00FD16B9" w:rsidRDefault="0041003F">
                            <w:pPr>
                              <w:pStyle w:val="Avsndare"/>
                              <w:snapToGrid w:val="0"/>
                              <w:rPr>
                                <w:b/>
                                <w:bCs/>
                                <w:iCs/>
                                <w:sz w:val="22"/>
                              </w:rPr>
                            </w:pPr>
                          </w:p>
                        </w:tc>
                      </w:tr>
                    </w:tbl>
                    <w:p w:rsidR="0041003F" w:rsidRPr="00FD16B9" w:rsidRDefault="0041003F"/>
                  </w:txbxContent>
                </v:textbox>
                <w10:wrap type="topAndBottom" anchorx="page" anchory="page"/>
              </v:shape>
            </w:pict>
          </mc:Fallback>
        </mc:AlternateContent>
      </w:r>
      <w:r w:rsidRPr="00FD16B9">
        <w:rPr>
          <w:noProof/>
        </w:rPr>
        <mc:AlternateContent>
          <mc:Choice Requires="wps">
            <w:drawing>
              <wp:anchor distT="0" distB="0" distL="0" distR="0" simplePos="0" relativeHeight="251656704" behindDoc="0" locked="0" layoutInCell="1" allowOverlap="1">
                <wp:simplePos x="0" y="0"/>
                <wp:positionH relativeFrom="page">
                  <wp:posOffset>4105910</wp:posOffset>
                </wp:positionH>
                <wp:positionV relativeFrom="page">
                  <wp:posOffset>457835</wp:posOffset>
                </wp:positionV>
                <wp:extent cx="3343910" cy="1015365"/>
                <wp:effectExtent l="635" t="635" r="8255" b="3175"/>
                <wp:wrapTopAndBottom/>
                <wp:docPr id="907441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910" cy="1015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7" w:type="dxa"/>
                              <w:tblLayout w:type="fixed"/>
                              <w:tblCellMar>
                                <w:left w:w="107" w:type="dxa"/>
                                <w:right w:w="107" w:type="dxa"/>
                              </w:tblCellMar>
                              <w:tblLook w:val="0000" w:firstRow="0" w:lastRow="0" w:firstColumn="0" w:lastColumn="0" w:noHBand="0" w:noVBand="0"/>
                            </w:tblPr>
                            <w:tblGrid>
                              <w:gridCol w:w="2268"/>
                              <w:gridCol w:w="1134"/>
                              <w:gridCol w:w="1865"/>
                            </w:tblGrid>
                            <w:tr w:rsidR="0041003F" w:rsidRPr="00FD16B9">
                              <w:tc>
                                <w:tcPr>
                                  <w:tcW w:w="2268" w:type="dxa"/>
                                </w:tcPr>
                                <w:p w:rsidR="0041003F" w:rsidRPr="00FD16B9" w:rsidRDefault="0041003F">
                                  <w:pPr>
                                    <w:snapToGrid w:val="0"/>
                                    <w:rPr>
                                      <w:rFonts w:ascii="TradeGothic" w:hAnsi="TradeGothic"/>
                                      <w:i/>
                                      <w:sz w:val="18"/>
                                    </w:rPr>
                                  </w:pPr>
                                </w:p>
                              </w:tc>
                              <w:tc>
                                <w:tcPr>
                                  <w:tcW w:w="2999" w:type="dxa"/>
                                  <w:gridSpan w:val="2"/>
                                </w:tcPr>
                                <w:p w:rsidR="0041003F" w:rsidRPr="00FD16B9" w:rsidRDefault="0041003F">
                                  <w:pPr>
                                    <w:snapToGrid w:val="0"/>
                                    <w:rPr>
                                      <w:rFonts w:ascii="TradeGothic" w:hAnsi="TradeGothic"/>
                                      <w:i/>
                                      <w:sz w:val="18"/>
                                    </w:rPr>
                                  </w:pPr>
                                </w:p>
                              </w:tc>
                            </w:tr>
                            <w:tr w:rsidR="0041003F" w:rsidRPr="00FD16B9">
                              <w:tc>
                                <w:tcPr>
                                  <w:tcW w:w="5267" w:type="dxa"/>
                                  <w:gridSpan w:val="3"/>
                                </w:tcPr>
                                <w:p w:rsidR="0041003F" w:rsidRPr="00FD16B9" w:rsidRDefault="0041003F">
                                  <w:pPr>
                                    <w:snapToGrid w:val="0"/>
                                    <w:rPr>
                                      <w:rFonts w:ascii="TradeGothic" w:hAnsi="TradeGothic"/>
                                      <w:b/>
                                      <w:sz w:val="22"/>
                                    </w:rPr>
                                  </w:pPr>
                                  <w:r w:rsidRPr="00FD16B9">
                                    <w:rPr>
                                      <w:rFonts w:ascii="TradeGothic" w:hAnsi="TradeGothic"/>
                                      <w:b/>
                                      <w:sz w:val="22"/>
                                    </w:rPr>
                                    <w:t>Kommenterad dagordning</w:t>
                                  </w:r>
                                </w:p>
                              </w:tc>
                            </w:tr>
                            <w:tr w:rsidR="0041003F" w:rsidRPr="00FD16B9">
                              <w:tc>
                                <w:tcPr>
                                  <w:tcW w:w="3402" w:type="dxa"/>
                                  <w:gridSpan w:val="2"/>
                                </w:tcPr>
                                <w:p w:rsidR="0041003F" w:rsidRPr="00FD16B9" w:rsidRDefault="0041003F">
                                  <w:pPr>
                                    <w:snapToGrid w:val="0"/>
                                    <w:rPr>
                                      <w:rFonts w:ascii="TradeGothic" w:hAnsi="TradeGothic"/>
                                      <w:b/>
                                      <w:sz w:val="22"/>
                                    </w:rPr>
                                  </w:pPr>
                                  <w:r w:rsidRPr="00FD16B9">
                                    <w:rPr>
                                      <w:rFonts w:ascii="TradeGothic" w:hAnsi="TradeGothic"/>
                                      <w:b/>
                                      <w:sz w:val="22"/>
                                    </w:rPr>
                                    <w:t>rådet</w:t>
                                  </w:r>
                                </w:p>
                              </w:tc>
                              <w:tc>
                                <w:tcPr>
                                  <w:tcW w:w="1865" w:type="dxa"/>
                                </w:tcPr>
                                <w:p w:rsidR="0041003F" w:rsidRPr="00FD16B9" w:rsidRDefault="0041003F">
                                  <w:pPr>
                                    <w:snapToGrid w:val="0"/>
                                  </w:pPr>
                                </w:p>
                              </w:tc>
                            </w:tr>
                            <w:tr w:rsidR="0041003F" w:rsidRPr="00FD16B9">
                              <w:tc>
                                <w:tcPr>
                                  <w:tcW w:w="2268" w:type="dxa"/>
                                </w:tcPr>
                                <w:p w:rsidR="0041003F" w:rsidRPr="00FD16B9" w:rsidRDefault="00FE75AA">
                                  <w:pPr>
                                    <w:snapToGrid w:val="0"/>
                                  </w:pPr>
                                  <w:r w:rsidRPr="00FD16B9">
                                    <w:t>2011-07-08</w:t>
                                  </w:r>
                                </w:p>
                              </w:tc>
                              <w:tc>
                                <w:tcPr>
                                  <w:tcW w:w="2999" w:type="dxa"/>
                                  <w:gridSpan w:val="2"/>
                                </w:tcPr>
                                <w:p w:rsidR="0041003F" w:rsidRPr="00FD16B9" w:rsidRDefault="0041003F">
                                  <w:pPr>
                                    <w:snapToGrid w:val="0"/>
                                  </w:pPr>
                                </w:p>
                              </w:tc>
                            </w:tr>
                            <w:tr w:rsidR="0041003F" w:rsidRPr="00FD16B9">
                              <w:tc>
                                <w:tcPr>
                                  <w:tcW w:w="2268" w:type="dxa"/>
                                </w:tcPr>
                                <w:p w:rsidR="0041003F" w:rsidRPr="00FD16B9" w:rsidRDefault="0041003F">
                                  <w:pPr>
                                    <w:snapToGrid w:val="0"/>
                                  </w:pPr>
                                </w:p>
                              </w:tc>
                              <w:tc>
                                <w:tcPr>
                                  <w:tcW w:w="2999" w:type="dxa"/>
                                  <w:gridSpan w:val="2"/>
                                </w:tcPr>
                                <w:p w:rsidR="0041003F" w:rsidRPr="00FD16B9" w:rsidRDefault="0041003F">
                                  <w:pPr>
                                    <w:snapToGrid w:val="0"/>
                                  </w:pPr>
                                </w:p>
                              </w:tc>
                            </w:tr>
                          </w:tbl>
                          <w:p w:rsidR="0041003F" w:rsidRPr="00FD16B9" w:rsidRDefault="0041003F">
                            <w:r w:rsidRPr="00FD16B9">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3.3pt;margin-top:36.05pt;width:263.3pt;height:79.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" stroked="f">
                <v:fill opacity="0"/>
                <v:textbox inset="0,0,0,0">
                  <w:txbxContent>
                    <w:tbl>
                      <w:tblPr>
                        <w:tblW w:w="0" w:type="auto"/>
                        <w:tblInd w:w="107" w:type="dxa"/>
                        <w:tblLayout w:type="fixed"/>
                        <w:tblCellMar>
                          <w:left w:w="107" w:type="dxa"/>
                          <w:right w:w="107" w:type="dxa"/>
                        </w:tblCellMar>
                        <w:tblLook w:val="0000" w:firstRow="0" w:lastRow="0" w:firstColumn="0" w:lastColumn="0" w:noHBand="0" w:noVBand="0"/>
                      </w:tblPr>
                      <w:tblGrid>
                        <w:gridCol w:w="2268"/>
                        <w:gridCol w:w="1134"/>
                        <w:gridCol w:w="1865"/>
                      </w:tblGrid>
                      <w:tr w:rsidR="0041003F" w:rsidRPr="00FD16B9">
                        <w:tc>
                          <w:tcPr>
                            <w:tcW w:w="2268" w:type="dxa"/>
                          </w:tcPr>
                          <w:p w:rsidR="0041003F" w:rsidRPr="00FD16B9" w:rsidRDefault="0041003F">
                            <w:pPr>
                              <w:snapToGrid w:val="0"/>
                              <w:rPr>
                                <w:rFonts w:ascii="TradeGothic" w:hAnsi="TradeGothic"/>
                                <w:i/>
                                <w:sz w:val="18"/>
                              </w:rPr>
                            </w:pPr>
                          </w:p>
                        </w:tc>
                        <w:tc>
                          <w:tcPr>
                            <w:tcW w:w="2999" w:type="dxa"/>
                            <w:gridSpan w:val="2"/>
                          </w:tcPr>
                          <w:p w:rsidR="0041003F" w:rsidRPr="00FD16B9" w:rsidRDefault="0041003F">
                            <w:pPr>
                              <w:snapToGrid w:val="0"/>
                              <w:rPr>
                                <w:rFonts w:ascii="TradeGothic" w:hAnsi="TradeGothic"/>
                                <w:i/>
                                <w:sz w:val="18"/>
                              </w:rPr>
                            </w:pPr>
                          </w:p>
                        </w:tc>
                      </w:tr>
                      <w:tr w:rsidR="0041003F" w:rsidRPr="00FD16B9">
                        <w:tc>
                          <w:tcPr>
                            <w:tcW w:w="5267" w:type="dxa"/>
                            <w:gridSpan w:val="3"/>
                          </w:tcPr>
                          <w:p w:rsidR="0041003F" w:rsidRPr="00FD16B9" w:rsidRDefault="0041003F">
                            <w:pPr>
                              <w:snapToGrid w:val="0"/>
                              <w:rPr>
                                <w:rFonts w:ascii="TradeGothic" w:hAnsi="TradeGothic"/>
                                <w:b/>
                                <w:sz w:val="22"/>
                              </w:rPr>
                            </w:pPr>
                            <w:r w:rsidRPr="00FD16B9">
                              <w:rPr>
                                <w:rFonts w:ascii="TradeGothic" w:hAnsi="TradeGothic"/>
                                <w:b/>
                                <w:sz w:val="22"/>
                              </w:rPr>
                              <w:t>Kommenterad dagordning</w:t>
                            </w:r>
                          </w:p>
                        </w:tc>
                      </w:tr>
                      <w:tr w:rsidR="0041003F" w:rsidRPr="00FD16B9">
                        <w:tc>
                          <w:tcPr>
                            <w:tcW w:w="3402" w:type="dxa"/>
                            <w:gridSpan w:val="2"/>
                          </w:tcPr>
                          <w:p w:rsidR="0041003F" w:rsidRPr="00FD16B9" w:rsidRDefault="0041003F">
                            <w:pPr>
                              <w:snapToGrid w:val="0"/>
                              <w:rPr>
                                <w:rFonts w:ascii="TradeGothic" w:hAnsi="TradeGothic"/>
                                <w:b/>
                                <w:sz w:val="22"/>
                              </w:rPr>
                            </w:pPr>
                            <w:r w:rsidRPr="00FD16B9">
                              <w:rPr>
                                <w:rFonts w:ascii="TradeGothic" w:hAnsi="TradeGothic"/>
                                <w:b/>
                                <w:sz w:val="22"/>
                              </w:rPr>
                              <w:t>rådet</w:t>
                            </w:r>
                          </w:p>
                        </w:tc>
                        <w:tc>
                          <w:tcPr>
                            <w:tcW w:w="1865" w:type="dxa"/>
                          </w:tcPr>
                          <w:p w:rsidR="0041003F" w:rsidRPr="00FD16B9" w:rsidRDefault="0041003F">
                            <w:pPr>
                              <w:snapToGrid w:val="0"/>
                            </w:pPr>
                          </w:p>
                        </w:tc>
                      </w:tr>
                      <w:tr w:rsidR="0041003F" w:rsidRPr="00FD16B9">
                        <w:tc>
                          <w:tcPr>
                            <w:tcW w:w="2268" w:type="dxa"/>
                          </w:tcPr>
                          <w:p w:rsidR="0041003F" w:rsidRPr="00FD16B9" w:rsidRDefault="00FE75AA">
                            <w:pPr>
                              <w:snapToGrid w:val="0"/>
                            </w:pPr>
                            <w:r w:rsidRPr="00FD16B9">
                              <w:t>2011-07-08</w:t>
                            </w:r>
                          </w:p>
                        </w:tc>
                        <w:tc>
                          <w:tcPr>
                            <w:tcW w:w="2999" w:type="dxa"/>
                            <w:gridSpan w:val="2"/>
                          </w:tcPr>
                          <w:p w:rsidR="0041003F" w:rsidRPr="00FD16B9" w:rsidRDefault="0041003F">
                            <w:pPr>
                              <w:snapToGrid w:val="0"/>
                            </w:pPr>
                          </w:p>
                        </w:tc>
                      </w:tr>
                      <w:tr w:rsidR="0041003F" w:rsidRPr="00FD16B9">
                        <w:tc>
                          <w:tcPr>
                            <w:tcW w:w="2268" w:type="dxa"/>
                          </w:tcPr>
                          <w:p w:rsidR="0041003F" w:rsidRPr="00FD16B9" w:rsidRDefault="0041003F">
                            <w:pPr>
                              <w:snapToGrid w:val="0"/>
                            </w:pPr>
                          </w:p>
                        </w:tc>
                        <w:tc>
                          <w:tcPr>
                            <w:tcW w:w="2999" w:type="dxa"/>
                            <w:gridSpan w:val="2"/>
                          </w:tcPr>
                          <w:p w:rsidR="0041003F" w:rsidRPr="00FD16B9" w:rsidRDefault="0041003F">
                            <w:pPr>
                              <w:snapToGrid w:val="0"/>
                            </w:pPr>
                          </w:p>
                        </w:tc>
                      </w:tr>
                    </w:tbl>
                    <w:p w:rsidR="0041003F" w:rsidRPr="00FD16B9" w:rsidRDefault="0041003F">
                      <w:r w:rsidRPr="00FD16B9">
                        <w:t xml:space="preserve"> </w:t>
                      </w:r>
                    </w:p>
                  </w:txbxContent>
                </v:textbox>
                <w10:wrap type="topAndBottom" anchorx="page" anchory="page"/>
              </v:shape>
            </w:pict>
          </mc:Fallback>
        </mc:AlternateContent>
      </w:r>
      <w:r w:rsidRPr="00FD16B9">
        <w:rPr>
          <w:noProof/>
        </w:rPr>
        <mc:AlternateContent>
          <mc:Choice Requires="wps">
            <w:drawing>
              <wp:anchor distT="0" distB="0" distL="0" distR="0" simplePos="0" relativeHeight="251658752" behindDoc="0" locked="0" layoutInCell="1" allowOverlap="1">
                <wp:simplePos x="0" y="0"/>
                <wp:positionH relativeFrom="page">
                  <wp:posOffset>4097655</wp:posOffset>
                </wp:positionH>
                <wp:positionV relativeFrom="page">
                  <wp:posOffset>1552575</wp:posOffset>
                </wp:positionV>
                <wp:extent cx="2793365" cy="1601470"/>
                <wp:effectExtent l="1905" t="0" r="5080" b="8255"/>
                <wp:wrapTopAndBottom/>
                <wp:docPr id="1020755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16014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03F" w:rsidRPr="00FD16B9" w:rsidRDefault="0041003F">
                            <w:pPr>
                              <w:ind w:left="142"/>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22.65pt;margin-top:122.25pt;width:219.95pt;height:126.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" stroked="f">
                <v:fill opacity="0"/>
                <v:textbox inset="0,0,0,0">
                  <w:txbxContent>
                    <w:p w:rsidR="0041003F" w:rsidRPr="00FD16B9" w:rsidRDefault="0041003F">
                      <w:pPr>
                        <w:ind w:left="142"/>
                        <w:rPr>
                          <w:b/>
                        </w:rPr>
                      </w:pPr>
                    </w:p>
                  </w:txbxContent>
                </v:textbox>
                <w10:wrap type="topAndBottom" anchorx="page" anchory="page"/>
              </v:shape>
            </w:pict>
          </mc:Fallback>
        </mc:AlternateContent>
      </w:r>
      <w:bookmarkStart w:id="0" w:name="bRubrik"/>
      <w:bookmarkEnd w:id="0"/>
      <w:r w:rsidR="00E82DEE" w:rsidRPr="00FD16B9">
        <w:t>Allmänna rådets möte den 18 juli 2011</w:t>
      </w:r>
    </w:p>
    <w:p w:rsidR="00E82DEE" w:rsidRPr="00FD16B9" w:rsidRDefault="00E82DEE">
      <w:pPr>
        <w:pStyle w:val="RKrubrik"/>
      </w:pPr>
      <w:r w:rsidRPr="00FD16B9">
        <w:t>Kommenterad dagordning</w:t>
      </w:r>
    </w:p>
    <w:p w:rsidR="00E82DEE" w:rsidRPr="00FD16B9" w:rsidRDefault="00E82DEE">
      <w:pPr>
        <w:pStyle w:val="RKrubrik"/>
      </w:pPr>
      <w:r w:rsidRPr="00FD16B9">
        <w:t>1.</w:t>
      </w:r>
      <w:r w:rsidRPr="00FD16B9">
        <w:tab/>
        <w:t>Godkännande av dagordningen</w:t>
      </w:r>
    </w:p>
    <w:p w:rsidR="00E82DEE" w:rsidRPr="00FD16B9" w:rsidRDefault="00E82DEE">
      <w:pPr>
        <w:pStyle w:val="RKnormal"/>
      </w:pPr>
    </w:p>
    <w:p w:rsidR="00E82DEE" w:rsidRPr="00FD16B9" w:rsidRDefault="00E82DEE">
      <w:pPr>
        <w:pStyle w:val="RKrubrik"/>
      </w:pPr>
      <w:r w:rsidRPr="00FD16B9">
        <w:t>2.</w:t>
      </w:r>
      <w:r w:rsidRPr="00FD16B9">
        <w:tab/>
        <w:t>A-punkter</w:t>
      </w:r>
    </w:p>
    <w:p w:rsidR="00E82DEE" w:rsidRPr="00FD16B9" w:rsidRDefault="00E82DEE">
      <w:pPr>
        <w:pStyle w:val="RKnormal"/>
      </w:pPr>
    </w:p>
    <w:p w:rsidR="00E82DEE" w:rsidRPr="00FD16B9" w:rsidRDefault="00E82DEE">
      <w:pPr>
        <w:pStyle w:val="RKrubrik"/>
      </w:pPr>
      <w:r w:rsidRPr="00FD16B9">
        <w:t>3.</w:t>
      </w:r>
      <w:r w:rsidRPr="00FD16B9">
        <w:tab/>
        <w:t xml:space="preserve">Resolutioner, synpunkter och beslut antagna av </w:t>
      </w:r>
      <w:r w:rsidRPr="00FD16B9">
        <w:tab/>
        <w:t>Europaparlamentet</w:t>
      </w:r>
    </w:p>
    <w:p w:rsidR="00E82DEE" w:rsidRPr="00FD16B9" w:rsidRDefault="00E82DEE">
      <w:pPr>
        <w:pStyle w:val="RKnormal"/>
      </w:pPr>
    </w:p>
    <w:p w:rsidR="00E82DEE" w:rsidRPr="00FD16B9" w:rsidRDefault="00E82DEE">
      <w:pPr>
        <w:pStyle w:val="RKnormal"/>
        <w:rPr>
          <w:i/>
        </w:rPr>
      </w:pPr>
      <w:r w:rsidRPr="00FD16B9">
        <w:rPr>
          <w:i/>
        </w:rPr>
        <w:t>Informationspunkt</w:t>
      </w:r>
    </w:p>
    <w:p w:rsidR="00E82DEE" w:rsidRPr="00FD16B9" w:rsidRDefault="00E82DEE">
      <w:pPr>
        <w:pStyle w:val="RKnormal"/>
      </w:pPr>
    </w:p>
    <w:p w:rsidR="00E82DEE" w:rsidRPr="00FD16B9" w:rsidRDefault="00E82DEE">
      <w:pPr>
        <w:pStyle w:val="RKnormal"/>
      </w:pPr>
      <w:r w:rsidRPr="00FD16B9">
        <w:t xml:space="preserve">Allmänna rådet avser att notera de resolutioner, yttranden och beslut antagna av Europaparlamentet under sammanträdesperioderna 23-24 juni i Bryssel samt 4-7 i Strasbourg. Information om de antagna resolutionerna har skickats till nämnden separat. Detta är en standardpunkt på dagordningen. </w:t>
      </w:r>
    </w:p>
    <w:p w:rsidR="00E82DEE" w:rsidRPr="00FD16B9" w:rsidRDefault="00E82DEE">
      <w:pPr>
        <w:pStyle w:val="RKnormal"/>
      </w:pPr>
    </w:p>
    <w:p w:rsidR="00B21540" w:rsidRPr="00FD16B9" w:rsidRDefault="00B21540">
      <w:pPr>
        <w:pStyle w:val="RKnormal"/>
      </w:pPr>
    </w:p>
    <w:p w:rsidR="00E82DEE" w:rsidRPr="00FD16B9" w:rsidRDefault="00E82DEE">
      <w:pPr>
        <w:pStyle w:val="RKrubrik"/>
      </w:pPr>
      <w:r w:rsidRPr="00FD16B9">
        <w:t>4.</w:t>
      </w:r>
      <w:r w:rsidRPr="00FD16B9">
        <w:tab/>
        <w:t xml:space="preserve">Presentation av KOM:s förslag till EU:s fleråriga </w:t>
      </w:r>
      <w:r w:rsidRPr="00FD16B9">
        <w:tab/>
        <w:t xml:space="preserve">budgetram för 2014-2020 </w:t>
      </w:r>
    </w:p>
    <w:p w:rsidR="00E82DEE" w:rsidRPr="00FD16B9" w:rsidRDefault="00E82DEE">
      <w:pPr>
        <w:pStyle w:val="RKnormal"/>
      </w:pPr>
    </w:p>
    <w:p w:rsidR="00E82DEE" w:rsidRPr="00FD16B9" w:rsidRDefault="00E82DEE">
      <w:pPr>
        <w:pStyle w:val="RKnormal"/>
        <w:rPr>
          <w:i/>
        </w:rPr>
      </w:pPr>
      <w:r w:rsidRPr="00FD16B9">
        <w:rPr>
          <w:i/>
        </w:rPr>
        <w:t>Informationspunkt</w:t>
      </w:r>
    </w:p>
    <w:p w:rsidR="00E82DEE" w:rsidRPr="00FD16B9" w:rsidRDefault="00E82DEE"/>
    <w:p w:rsidR="00E82DEE" w:rsidRPr="00FD16B9" w:rsidRDefault="00E82DEE">
      <w:r w:rsidRPr="00FD16B9">
        <w:t xml:space="preserve">Den 29 juni 2011 presenterade kommissionen sitt förslag till EU:s flerårig budgetram för åren 2014-2020. KOM:s budgetpaket består av ett förslag till förordning för en flerårig budgetram för 2014-2020, </w:t>
      </w:r>
      <w:r w:rsidRPr="00FD16B9">
        <w:lastRenderedPageBreak/>
        <w:t xml:space="preserve">utkast till Interinstitutionellt avtal mellan Europaparlamentet, rådet och kommissionen samt ett meddelande om EU:s budgetram – En budget för Europa 2020. Samtidigt med förslaget om en ny budgetram presenterade Kommissionen ett förslag till beslut och förordning om systemet för egna medel – budgetens inkomstsida. </w:t>
      </w:r>
    </w:p>
    <w:p w:rsidR="00444A88" w:rsidRPr="00FD16B9" w:rsidRDefault="00444A88"/>
    <w:p w:rsidR="00E82DEE" w:rsidRPr="00FD16B9" w:rsidRDefault="0093644C">
      <w:r w:rsidRPr="00FD16B9">
        <w:t xml:space="preserve">Kommissionens förslag kommer att presenteras vid mötet. </w:t>
      </w:r>
      <w:r w:rsidR="00E82DEE" w:rsidRPr="00FD16B9">
        <w:t>Någon diskussion förväntas inte.</w:t>
      </w:r>
    </w:p>
    <w:p w:rsidR="00E82DEE" w:rsidRPr="00FD16B9" w:rsidRDefault="00E82DEE">
      <w:pPr>
        <w:pStyle w:val="RKnormal"/>
      </w:pPr>
    </w:p>
    <w:p w:rsidR="00B21540" w:rsidRPr="00FD16B9" w:rsidRDefault="00B21540">
      <w:pPr>
        <w:pStyle w:val="RKnormal"/>
      </w:pPr>
    </w:p>
    <w:p w:rsidR="00E82DEE" w:rsidRPr="00FD16B9" w:rsidRDefault="00E82DEE">
      <w:pPr>
        <w:pStyle w:val="RKrubrik"/>
      </w:pPr>
      <w:r w:rsidRPr="00FD16B9">
        <w:t xml:space="preserve">5. </w:t>
      </w:r>
      <w:r w:rsidRPr="00FD16B9">
        <w:tab/>
        <w:t>Reformering av Europeiska unionens domstols stadga</w:t>
      </w:r>
    </w:p>
    <w:p w:rsidR="00E82DEE" w:rsidRPr="00FD16B9" w:rsidRDefault="00E82DEE">
      <w:pPr>
        <w:pStyle w:val="RKnormal"/>
        <w:rPr>
          <w:i/>
          <w:szCs w:val="24"/>
        </w:rPr>
      </w:pPr>
    </w:p>
    <w:p w:rsidR="00E82DEE" w:rsidRPr="00FD16B9" w:rsidRDefault="00E82DEE">
      <w:pPr>
        <w:pStyle w:val="RKnormal"/>
        <w:rPr>
          <w:b/>
          <w:bCs/>
          <w:i/>
          <w:iCs/>
          <w:szCs w:val="24"/>
        </w:rPr>
      </w:pPr>
      <w:r w:rsidRPr="00FD16B9">
        <w:rPr>
          <w:b/>
          <w:bCs/>
          <w:i/>
          <w:iCs/>
          <w:szCs w:val="24"/>
        </w:rPr>
        <w:t>Diskussionspunkt</w:t>
      </w:r>
    </w:p>
    <w:p w:rsidR="00E82DEE" w:rsidRPr="00FD16B9" w:rsidRDefault="00E82DEE">
      <w:pPr>
        <w:pStyle w:val="RKnormal"/>
        <w:rPr>
          <w:bCs/>
          <w:szCs w:val="24"/>
        </w:rPr>
      </w:pPr>
      <w:r w:rsidRPr="00FD16B9">
        <w:rPr>
          <w:b/>
          <w:bCs/>
          <w:szCs w:val="24"/>
        </w:rPr>
        <w:br/>
      </w:r>
      <w:r w:rsidRPr="00FD16B9">
        <w:rPr>
          <w:bCs/>
          <w:szCs w:val="24"/>
        </w:rPr>
        <w:t xml:space="preserve">Det pågår för närvarande ett arbete med att modernisera och förenkla rättegångsreglerna för EU:s domstolar. Arbetet </w:t>
      </w:r>
      <w:r w:rsidR="0093644C" w:rsidRPr="00FD16B9">
        <w:rPr>
          <w:bCs/>
          <w:szCs w:val="24"/>
        </w:rPr>
        <w:t>syftar</w:t>
      </w:r>
      <w:r w:rsidRPr="00FD16B9">
        <w:rPr>
          <w:bCs/>
          <w:szCs w:val="24"/>
        </w:rPr>
        <w:t xml:space="preserve"> till att ytterligare effektivisera domstolarnas arbete och minska handläggningstiderna. </w:t>
      </w:r>
    </w:p>
    <w:p w:rsidR="00E82DEE" w:rsidRPr="00FD16B9" w:rsidRDefault="00E82DEE">
      <w:pPr>
        <w:pStyle w:val="RKnormal"/>
        <w:rPr>
          <w:bCs/>
          <w:szCs w:val="24"/>
        </w:rPr>
      </w:pPr>
    </w:p>
    <w:p w:rsidR="0093644C" w:rsidRPr="00FD16B9" w:rsidRDefault="00E82DEE">
      <w:pPr>
        <w:pStyle w:val="RKnormal"/>
        <w:rPr>
          <w:bCs/>
          <w:szCs w:val="24"/>
        </w:rPr>
      </w:pPr>
      <w:r w:rsidRPr="00FD16B9">
        <w:rPr>
          <w:bCs/>
          <w:szCs w:val="24"/>
        </w:rPr>
        <w:t>Som ett led i detta reformeringsarbete lade EU-domstolen i april 2011 inför rådet fram förslag till ändringar i stadgan för Europeiska unionens domstol samt förslag till Europaparlamentets och rådets förordning om tillförordnade domare i Europeiska unionens personaldomstol. De föreslagna stadgeändringarna innebär</w:t>
      </w:r>
      <w:r w:rsidR="00444A88" w:rsidRPr="00FD16B9">
        <w:rPr>
          <w:bCs/>
          <w:szCs w:val="24"/>
        </w:rPr>
        <w:t xml:space="preserve"> att</w:t>
      </w:r>
      <w:r w:rsidR="0093644C" w:rsidRPr="00FD16B9">
        <w:rPr>
          <w:bCs/>
          <w:szCs w:val="24"/>
        </w:rPr>
        <w:t>:</w:t>
      </w:r>
    </w:p>
    <w:p w:rsidR="00444A88" w:rsidRPr="00FD16B9" w:rsidRDefault="00444A88">
      <w:pPr>
        <w:pStyle w:val="RKnormal"/>
        <w:rPr>
          <w:bCs/>
          <w:szCs w:val="24"/>
        </w:rPr>
      </w:pPr>
    </w:p>
    <w:p w:rsidR="0093644C" w:rsidRPr="00FD16B9" w:rsidRDefault="00E82DEE" w:rsidP="0093644C">
      <w:pPr>
        <w:pStyle w:val="RKnormal"/>
        <w:numPr>
          <w:ilvl w:val="0"/>
          <w:numId w:val="3"/>
        </w:numPr>
        <w:rPr>
          <w:bCs/>
          <w:szCs w:val="24"/>
        </w:rPr>
      </w:pPr>
      <w:r w:rsidRPr="00FD16B9">
        <w:rPr>
          <w:bCs/>
          <w:szCs w:val="24"/>
        </w:rPr>
        <w:t xml:space="preserve">sammansättningen av EU-domstolens stora avdelning förändras, att det inrättas en vice ordförande vid EU-domstolen, </w:t>
      </w:r>
    </w:p>
    <w:p w:rsidR="0093644C" w:rsidRPr="00FD16B9" w:rsidRDefault="00E82DEE" w:rsidP="0093644C">
      <w:pPr>
        <w:pStyle w:val="RKnormal"/>
        <w:numPr>
          <w:ilvl w:val="0"/>
          <w:numId w:val="3"/>
        </w:numPr>
        <w:rPr>
          <w:bCs/>
          <w:szCs w:val="24"/>
        </w:rPr>
      </w:pPr>
      <w:r w:rsidRPr="00FD16B9">
        <w:rPr>
          <w:bCs/>
          <w:szCs w:val="24"/>
        </w:rPr>
        <w:t xml:space="preserve">bestämmelserna i stadgan om uppläsning av referentens rapport och om s.k. avståndsfrist upphävs, att antalet domare i tribunalen utökas från dagens 27 till 39, dvs. med 12 nya domartjänster, och </w:t>
      </w:r>
    </w:p>
    <w:p w:rsidR="00E82DEE" w:rsidRPr="00FD16B9" w:rsidRDefault="00E82DEE" w:rsidP="0093644C">
      <w:pPr>
        <w:pStyle w:val="RKnormal"/>
        <w:numPr>
          <w:ilvl w:val="0"/>
          <w:numId w:val="3"/>
        </w:numPr>
        <w:rPr>
          <w:bCs/>
          <w:szCs w:val="24"/>
        </w:rPr>
      </w:pPr>
      <w:r w:rsidRPr="00FD16B9">
        <w:rPr>
          <w:bCs/>
          <w:szCs w:val="24"/>
        </w:rPr>
        <w:t xml:space="preserve">det införs en  möjlighet för personaldomstolen att ta in tillförordnade domare och närmare regler för förfarandet kring detta.  </w:t>
      </w:r>
    </w:p>
    <w:p w:rsidR="00E82DEE" w:rsidRPr="00FD16B9" w:rsidRDefault="00E82DEE">
      <w:pPr>
        <w:pStyle w:val="RKnormal"/>
        <w:rPr>
          <w:bCs/>
          <w:szCs w:val="24"/>
        </w:rPr>
      </w:pPr>
    </w:p>
    <w:p w:rsidR="0093644C" w:rsidRPr="00FD16B9" w:rsidRDefault="00E82DEE">
      <w:pPr>
        <w:pStyle w:val="RKnormal"/>
        <w:rPr>
          <w:bCs/>
          <w:szCs w:val="24"/>
        </w:rPr>
      </w:pPr>
      <w:r w:rsidRPr="00FD16B9">
        <w:rPr>
          <w:bCs/>
          <w:szCs w:val="24"/>
        </w:rPr>
        <w:t xml:space="preserve">I anslutning till dessa ändringsförslag lade EU-domstolen i juni 2011 även fram ett utkast till rättegångsregler för domstolen (sammanlagt 212 artiklar). Utkastet innebär en omarbetning och uppdatering av de nuvarande rättegångsreglerna. Syftet med utkastet är </w:t>
      </w:r>
      <w:r w:rsidR="00444A88" w:rsidRPr="00FD16B9">
        <w:rPr>
          <w:bCs/>
          <w:szCs w:val="24"/>
        </w:rPr>
        <w:t>att:</w:t>
      </w:r>
    </w:p>
    <w:p w:rsidR="00444A88" w:rsidRPr="00FD16B9" w:rsidRDefault="00444A88">
      <w:pPr>
        <w:pStyle w:val="RKnormal"/>
        <w:rPr>
          <w:bCs/>
          <w:szCs w:val="24"/>
        </w:rPr>
      </w:pPr>
    </w:p>
    <w:p w:rsidR="0093644C" w:rsidRPr="00FD16B9" w:rsidRDefault="00E82DEE" w:rsidP="0093644C">
      <w:pPr>
        <w:pStyle w:val="RKnormal"/>
        <w:numPr>
          <w:ilvl w:val="0"/>
          <w:numId w:val="4"/>
        </w:numPr>
        <w:rPr>
          <w:bCs/>
          <w:szCs w:val="24"/>
        </w:rPr>
      </w:pPr>
      <w:r w:rsidRPr="00FD16B9">
        <w:rPr>
          <w:bCs/>
          <w:szCs w:val="24"/>
        </w:rPr>
        <w:t xml:space="preserve">anpassa innehållet och strukturen i rättegångsreglerna till utvecklingen av de mål som domstolen har att pröva. Framför allt ges målen om förhandsavgörande en mera framskjuten plats eftersom denna måltyp fått en allt större betydelse.  </w:t>
      </w:r>
    </w:p>
    <w:p w:rsidR="0093644C" w:rsidRPr="00FD16B9" w:rsidRDefault="00E82DEE" w:rsidP="0093644C">
      <w:pPr>
        <w:pStyle w:val="RKnormal"/>
        <w:numPr>
          <w:ilvl w:val="0"/>
          <w:numId w:val="4"/>
        </w:numPr>
        <w:rPr>
          <w:bCs/>
          <w:szCs w:val="24"/>
        </w:rPr>
      </w:pPr>
      <w:r w:rsidRPr="00FD16B9">
        <w:rPr>
          <w:bCs/>
          <w:szCs w:val="24"/>
        </w:rPr>
        <w:t xml:space="preserve">fortsätta det arbete som sedan tidigare pågår med att effektivisera domstolarnas arbete och förkorta handläggningstiderna. </w:t>
      </w:r>
    </w:p>
    <w:p w:rsidR="00E82DEE" w:rsidRPr="00FD16B9" w:rsidRDefault="00E82DEE" w:rsidP="0093644C">
      <w:pPr>
        <w:pStyle w:val="RKnormal"/>
        <w:numPr>
          <w:ilvl w:val="0"/>
          <w:numId w:val="4"/>
        </w:numPr>
        <w:rPr>
          <w:bCs/>
          <w:szCs w:val="24"/>
        </w:rPr>
      </w:pPr>
      <w:r w:rsidRPr="00FD16B9">
        <w:rPr>
          <w:bCs/>
          <w:szCs w:val="24"/>
        </w:rPr>
        <w:t xml:space="preserve">förtydliga och modernisera rättegångsreglerna. </w:t>
      </w:r>
    </w:p>
    <w:p w:rsidR="00E82DEE" w:rsidRPr="00FD16B9" w:rsidRDefault="00E82DEE">
      <w:pPr>
        <w:pStyle w:val="RKnormal"/>
        <w:rPr>
          <w:bCs/>
          <w:szCs w:val="24"/>
        </w:rPr>
      </w:pPr>
    </w:p>
    <w:p w:rsidR="00E82DEE" w:rsidRPr="00FD16B9" w:rsidRDefault="00E82DEE">
      <w:pPr>
        <w:pStyle w:val="RKnormal"/>
        <w:rPr>
          <w:bCs/>
          <w:szCs w:val="24"/>
        </w:rPr>
      </w:pPr>
      <w:r w:rsidRPr="00FD16B9">
        <w:rPr>
          <w:bCs/>
          <w:szCs w:val="24"/>
        </w:rPr>
        <w:t xml:space="preserve">Ändringsförslagen har presenterats av EU-domstolen för medlemsstaterna vid möten i rådsarbetsgruppen för domstolen den 13 maj och den 17 juni 2011. Då gavs medlemsstaterna möjlighet att lämna preliminära övergripande synpunkter på förslagen. </w:t>
      </w:r>
      <w:r w:rsidR="0093644C" w:rsidRPr="00FD16B9">
        <w:rPr>
          <w:bCs/>
          <w:szCs w:val="24"/>
        </w:rPr>
        <w:t>N</w:t>
      </w:r>
      <w:r w:rsidRPr="00FD16B9">
        <w:rPr>
          <w:bCs/>
          <w:szCs w:val="24"/>
        </w:rPr>
        <w:t xml:space="preserve">ärmare diskussioner om förslagen har ännu inte inletts.  </w:t>
      </w:r>
    </w:p>
    <w:p w:rsidR="00E82DEE" w:rsidRPr="00FD16B9" w:rsidRDefault="00E82DEE">
      <w:pPr>
        <w:pStyle w:val="RKnormal"/>
        <w:rPr>
          <w:bCs/>
          <w:szCs w:val="24"/>
        </w:rPr>
      </w:pPr>
    </w:p>
    <w:p w:rsidR="00E82DEE" w:rsidRPr="00FD16B9" w:rsidRDefault="00E82DEE">
      <w:pPr>
        <w:pStyle w:val="RKnormal"/>
        <w:rPr>
          <w:szCs w:val="24"/>
        </w:rPr>
      </w:pPr>
      <w:r w:rsidRPr="00FD16B9">
        <w:rPr>
          <w:bCs/>
          <w:szCs w:val="24"/>
        </w:rPr>
        <w:t>Regeringen anser att det är positivt med åtgärder för att effektivisera förfarandena i EU:s domstolar. Det är av stor vikt för EU:s legitimitet att EU:s domstolar fungerar väl. På detta tidiga stadium är det emellertid svårt att lämna annat än preliminära kommentarer av övergripande karaktär. Med hänsyn till omfattningen av förslagen krävs det att rådsarbetsgruppen för domstolen ges tillräckligt med tid för att grundligt överväga samtliga förslag.</w:t>
      </w:r>
      <w:r w:rsidRPr="00FD16B9">
        <w:rPr>
          <w:szCs w:val="24"/>
        </w:rPr>
        <w:br/>
      </w:r>
    </w:p>
    <w:p w:rsidR="00B21540" w:rsidRPr="00FD16B9" w:rsidRDefault="00B21540">
      <w:pPr>
        <w:pStyle w:val="RKnormal"/>
        <w:rPr>
          <w:szCs w:val="24"/>
        </w:rPr>
      </w:pPr>
    </w:p>
    <w:p w:rsidR="00E82DEE" w:rsidRPr="00FD16B9" w:rsidRDefault="00E82DEE">
      <w:pPr>
        <w:pStyle w:val="RKrubrik"/>
      </w:pPr>
      <w:r w:rsidRPr="00FD16B9">
        <w:t xml:space="preserve">6. </w:t>
      </w:r>
      <w:r w:rsidRPr="00FD16B9">
        <w:tab/>
        <w:t>Presentation av ordförandeskapets program</w:t>
      </w:r>
    </w:p>
    <w:p w:rsidR="00E82DEE" w:rsidRPr="00FD16B9" w:rsidRDefault="00E82DEE">
      <w:pPr>
        <w:pStyle w:val="RKnormal"/>
      </w:pPr>
    </w:p>
    <w:p w:rsidR="00E82DEE" w:rsidRPr="00FD16B9" w:rsidRDefault="00E82DEE">
      <w:pPr>
        <w:pStyle w:val="RKnormal"/>
        <w:rPr>
          <w:i/>
        </w:rPr>
      </w:pPr>
      <w:r w:rsidRPr="00FD16B9">
        <w:rPr>
          <w:i/>
        </w:rPr>
        <w:t>Informationspunkt</w:t>
      </w:r>
    </w:p>
    <w:p w:rsidR="00E82DEE" w:rsidRPr="00FD16B9" w:rsidRDefault="00E82DEE">
      <w:pPr>
        <w:pStyle w:val="RKnormal"/>
      </w:pPr>
      <w:r w:rsidRPr="00FD16B9">
        <w:t xml:space="preserve"> </w:t>
      </w:r>
    </w:p>
    <w:p w:rsidR="00E82DEE" w:rsidRPr="00FD16B9" w:rsidRDefault="00E82DEE">
      <w:pPr>
        <w:pStyle w:val="RKnormal"/>
      </w:pPr>
      <w:r w:rsidRPr="00FD16B9">
        <w:t>Det polska ordförandeskapet väntas presentera sitt ordförandeskaps</w:t>
      </w:r>
      <w:r w:rsidR="00444A88" w:rsidRPr="00FD16B9">
        <w:t>p</w:t>
      </w:r>
      <w:r w:rsidRPr="00FD16B9">
        <w:t>rogram</w:t>
      </w:r>
      <w:r w:rsidR="0093644C" w:rsidRPr="00FD16B9">
        <w:t xml:space="preserve"> för perio</w:t>
      </w:r>
      <w:r w:rsidR="00444A88" w:rsidRPr="00FD16B9">
        <w:t>den den 1 juli-31 december 2011</w:t>
      </w:r>
      <w:r w:rsidRPr="00FD16B9">
        <w:t>.</w:t>
      </w:r>
    </w:p>
    <w:p w:rsidR="0093644C" w:rsidRPr="00FD16B9" w:rsidRDefault="0093644C" w:rsidP="0093644C">
      <w:pPr>
        <w:pStyle w:val="RKnormal"/>
      </w:pPr>
    </w:p>
    <w:p w:rsidR="00E82DEE" w:rsidRPr="00FD16B9" w:rsidRDefault="0093644C" w:rsidP="0093644C">
      <w:pPr>
        <w:pStyle w:val="RKnormal"/>
      </w:pPr>
      <w:r w:rsidRPr="00FD16B9">
        <w:t>Polen har lyft fram tre huvudprioriteringar som man avser ge fokus under ordförandeskapet. Dessa är "Integration som tillväxt" (innefattar bl.a. budgetramen, inre marknaden, den digitala agendan, SMEs och EU-patentet), "Ett säkert Europa" (innefattar bl.a. livsmedelsäkerhet, energi, försvar, reglering och övervakning av finansmarknaderna, Frontex och EU/Nato-samarbete) samt "Europa drar fördelar av öppenhet" (innefattar bl.a. samarbete med EU:s grannländer, östra partnerskapet och utvidgningen).</w:t>
      </w:r>
    </w:p>
    <w:p w:rsidR="00E82DEE" w:rsidRPr="00FD16B9" w:rsidRDefault="00E82DEE">
      <w:pPr>
        <w:pStyle w:val="RKnormal"/>
      </w:pPr>
    </w:p>
    <w:p w:rsidR="00E82DEE" w:rsidRPr="00FD16B9" w:rsidRDefault="00E82DEE">
      <w:pPr>
        <w:pStyle w:val="RKnormal"/>
      </w:pPr>
      <w:r w:rsidRPr="00FD16B9">
        <w:t>Ingen diskussion förutses.</w:t>
      </w:r>
    </w:p>
    <w:p w:rsidR="00E82DEE" w:rsidRPr="00FD16B9" w:rsidRDefault="00E82DEE">
      <w:pPr>
        <w:pStyle w:val="RKnormal"/>
      </w:pPr>
      <w:r w:rsidRPr="00FD16B9">
        <w:t xml:space="preserve"> </w:t>
      </w:r>
    </w:p>
    <w:p w:rsidR="00B21540" w:rsidRPr="00FD16B9" w:rsidRDefault="00B21540">
      <w:pPr>
        <w:pStyle w:val="RKnormal"/>
      </w:pPr>
    </w:p>
    <w:p w:rsidR="00E82DEE" w:rsidRPr="00FD16B9" w:rsidRDefault="00E82DEE">
      <w:pPr>
        <w:pStyle w:val="RKrubrik"/>
      </w:pPr>
      <w:r w:rsidRPr="00FD16B9">
        <w:t xml:space="preserve">7. </w:t>
      </w:r>
      <w:r w:rsidRPr="00FD16B9">
        <w:tab/>
        <w:t xml:space="preserve">Uppföljning av Europeiska rådet den 23–24 juni </w:t>
      </w:r>
      <w:r w:rsidRPr="00FD16B9">
        <w:tab/>
        <w:t>2011</w:t>
      </w:r>
    </w:p>
    <w:p w:rsidR="00E82DEE" w:rsidRPr="00FD16B9" w:rsidRDefault="00E82DEE">
      <w:pPr>
        <w:pStyle w:val="RKnormal"/>
        <w:rPr>
          <w:i/>
          <w:iCs/>
        </w:rPr>
      </w:pPr>
    </w:p>
    <w:p w:rsidR="00E82DEE" w:rsidRPr="00FD16B9" w:rsidRDefault="00E82DEE">
      <w:pPr>
        <w:pStyle w:val="RKnormal"/>
        <w:rPr>
          <w:i/>
          <w:iCs/>
        </w:rPr>
      </w:pPr>
      <w:r w:rsidRPr="00FD16B9">
        <w:rPr>
          <w:i/>
          <w:iCs/>
        </w:rPr>
        <w:t xml:space="preserve">Diskussionspunkt </w:t>
      </w:r>
    </w:p>
    <w:p w:rsidR="00E82DEE" w:rsidRPr="00FD16B9" w:rsidRDefault="00E82DEE">
      <w:pPr>
        <w:pStyle w:val="RKnormal"/>
        <w:rPr>
          <w:i/>
          <w:iCs/>
        </w:rPr>
      </w:pPr>
    </w:p>
    <w:p w:rsidR="00E82DEE" w:rsidRPr="00FD16B9" w:rsidRDefault="00E82DEE">
      <w:pPr>
        <w:pStyle w:val="RKnormal"/>
      </w:pPr>
      <w:r w:rsidRPr="00FD16B9">
        <w:t>Det polska ordförandeskapet förväntas följa upp Europeiska rådets möte den 24 juni 2011.</w:t>
      </w:r>
    </w:p>
    <w:p w:rsidR="00E82DEE" w:rsidRPr="00FD16B9" w:rsidRDefault="00E82DEE">
      <w:pPr>
        <w:pStyle w:val="RKnormal"/>
      </w:pPr>
    </w:p>
    <w:p w:rsidR="00E82DEE" w:rsidRPr="00FD16B9" w:rsidRDefault="00B21540">
      <w:pPr>
        <w:pStyle w:val="RKrubrik"/>
      </w:pPr>
      <w:r w:rsidRPr="00FD16B9">
        <w:br w:type="page"/>
      </w:r>
      <w:r w:rsidR="00E82DEE" w:rsidRPr="00FD16B9">
        <w:t xml:space="preserve">8. </w:t>
      </w:r>
      <w:r w:rsidR="00E82DEE" w:rsidRPr="00FD16B9">
        <w:tab/>
        <w:t>Kroatien (ev.)</w:t>
      </w:r>
    </w:p>
    <w:p w:rsidR="0093644C" w:rsidRPr="00FD16B9" w:rsidRDefault="0093644C">
      <w:pPr>
        <w:pStyle w:val="RKnormal"/>
      </w:pPr>
    </w:p>
    <w:p w:rsidR="00444A88" w:rsidRPr="00FD16B9" w:rsidRDefault="00444A88">
      <w:pPr>
        <w:pStyle w:val="RKnormal"/>
        <w:rPr>
          <w:i/>
        </w:rPr>
      </w:pPr>
      <w:r w:rsidRPr="00FD16B9">
        <w:rPr>
          <w:i/>
        </w:rPr>
        <w:t>Informationspunkt</w:t>
      </w:r>
    </w:p>
    <w:p w:rsidR="00444A88" w:rsidRPr="00FD16B9" w:rsidRDefault="00444A88">
      <w:pPr>
        <w:pStyle w:val="RKnormal"/>
      </w:pPr>
    </w:p>
    <w:p w:rsidR="00E82DEE" w:rsidRPr="00FD16B9" w:rsidRDefault="00E82DEE">
      <w:pPr>
        <w:pStyle w:val="RKnormal"/>
      </w:pPr>
      <w:r w:rsidRPr="00FD16B9">
        <w:t xml:space="preserve">Vid en anslutningskonferens mellan EU och Kroatien den 30 juni stängdes de fyra återstående kapitlen i Kroatiens EU-förhandlingar, vilket innebär </w:t>
      </w:r>
      <w:r w:rsidR="00444A88" w:rsidRPr="00FD16B9">
        <w:t>att de tekniska förhandlingarna</w:t>
      </w:r>
      <w:r w:rsidRPr="00FD16B9">
        <w:t xml:space="preserve"> är avslutade för att under hösten omsättas i ett anslutningsfördrag med tillhörande rättsliga akter följt av ratificering.</w:t>
      </w:r>
    </w:p>
    <w:p w:rsidR="00E82DEE" w:rsidRPr="00FD16B9" w:rsidRDefault="00E82DEE">
      <w:pPr>
        <w:pStyle w:val="RKnormal"/>
      </w:pPr>
    </w:p>
    <w:p w:rsidR="00E82DEE" w:rsidRPr="00FD16B9" w:rsidRDefault="00E82DEE">
      <w:pPr>
        <w:pStyle w:val="RKnormal"/>
      </w:pPr>
      <w:r w:rsidRPr="00FD16B9">
        <w:t>Det polska ordförandeskapets avsikt är att anslutningsfördraget ska undertecknas av EU:s 27 medlemsstater och Kroatien i december 2011, varpå ratificer</w:t>
      </w:r>
      <w:r w:rsidR="00C57E55" w:rsidRPr="00FD16B9">
        <w:t>ingsprocessen tar vid.  Vid Allmänna rådets möte</w:t>
      </w:r>
      <w:r w:rsidRPr="00FD16B9">
        <w:t xml:space="preserve"> kommer ordförandeskapet sannolikt att ge en uppdatering om hur det går med utarbetandet av anslutningsfördraget och informera om processen fram till december. </w:t>
      </w:r>
    </w:p>
    <w:p w:rsidR="00E82DEE" w:rsidRPr="00FD16B9" w:rsidRDefault="00E82DEE">
      <w:pPr>
        <w:pStyle w:val="RKnormal"/>
      </w:pPr>
    </w:p>
    <w:p w:rsidR="00E82DEE" w:rsidRPr="00FD16B9" w:rsidRDefault="00E82DEE">
      <w:pPr>
        <w:pStyle w:val="RKnormal"/>
      </w:pPr>
    </w:p>
    <w:p w:rsidR="00E82DEE" w:rsidRPr="00FD16B9" w:rsidRDefault="00E82DEE">
      <w:pPr>
        <w:pStyle w:val="RKnormal"/>
      </w:pPr>
    </w:p>
    <w:p w:rsidR="00E82DEE" w:rsidRPr="00FD16B9" w:rsidRDefault="00E82DEE">
      <w:pPr>
        <w:pStyle w:val="RKnormal"/>
      </w:pPr>
    </w:p>
    <w:p w:rsidR="00E82DEE" w:rsidRPr="00FD16B9" w:rsidRDefault="00E82DEE">
      <w:pPr>
        <w:pStyle w:val="RKnormal"/>
      </w:pPr>
    </w:p>
    <w:sectPr w:rsidR="00E82DEE" w:rsidRPr="00FD16B9">
      <w:headerReference w:type="default" r:id="rId8"/>
      <w:pgSz w:w="11906" w:h="16838"/>
      <w:pgMar w:top="765" w:right="1701" w:bottom="1454" w:left="2835" w:header="709"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480" w:rsidRPr="00FD16B9" w:rsidRDefault="000E5480">
      <w:r w:rsidRPr="00FD16B9">
        <w:separator/>
      </w:r>
    </w:p>
  </w:endnote>
  <w:endnote w:type="continuationSeparator" w:id="0">
    <w:p w:rsidR="000E5480" w:rsidRPr="00FD16B9" w:rsidRDefault="000E5480">
      <w:r w:rsidRPr="00FD16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480" w:rsidRPr="00FD16B9" w:rsidRDefault="000E5480">
      <w:r w:rsidRPr="00FD16B9">
        <w:separator/>
      </w:r>
    </w:p>
  </w:footnote>
  <w:footnote w:type="continuationSeparator" w:id="0">
    <w:p w:rsidR="000E5480" w:rsidRPr="00FD16B9" w:rsidRDefault="000E5480">
      <w:r w:rsidRPr="00FD16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3F" w:rsidRPr="00FD16B9" w:rsidRDefault="0041003F" w:rsidP="00316047">
    <w:pPr>
      <w:pStyle w:val="RKrubrik"/>
      <w:keepNext w:val="0"/>
      <w:tabs>
        <w:tab w:val="clear" w:pos="1134"/>
        <w:tab w:val="clear" w:pos="2835"/>
      </w:tabs>
      <w:spacing w:before="0" w:after="0" w:line="320" w:lineRule="atLeas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EntLogo"/>
      <w:lvlText w:val=""/>
      <w:lvlJc w:val="left"/>
      <w:pPr>
        <w:tabs>
          <w:tab w:val="num" w:pos="567"/>
        </w:tabs>
        <w:ind w:left="567" w:hanging="567"/>
      </w:pPr>
      <w:rPr>
        <w:rFonts w:ascii="Symbol" w:hAnsi="Symbol"/>
      </w:rPr>
    </w:lvl>
  </w:abstractNum>
  <w:abstractNum w:abstractNumId="2" w15:restartNumberingAfterBreak="0">
    <w:nsid w:val="235F2BEF"/>
    <w:multiLevelType w:val="hybridMultilevel"/>
    <w:tmpl w:val="757ED82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DCE1837"/>
    <w:multiLevelType w:val="hybridMultilevel"/>
    <w:tmpl w:val="58B0CEE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807703492">
    <w:abstractNumId w:val="0"/>
  </w:num>
  <w:num w:numId="2" w16cid:durableId="1891266786">
    <w:abstractNumId w:val="1"/>
  </w:num>
  <w:num w:numId="3" w16cid:durableId="1745911736">
    <w:abstractNumId w:val="2"/>
  </w:num>
  <w:num w:numId="4" w16cid:durableId="490678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0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4C"/>
    <w:rsid w:val="000E5480"/>
    <w:rsid w:val="001C5A72"/>
    <w:rsid w:val="00316047"/>
    <w:rsid w:val="003F6D16"/>
    <w:rsid w:val="0041003F"/>
    <w:rsid w:val="00444A88"/>
    <w:rsid w:val="00582C62"/>
    <w:rsid w:val="005B6CF5"/>
    <w:rsid w:val="00717E55"/>
    <w:rsid w:val="0092485C"/>
    <w:rsid w:val="0093644C"/>
    <w:rsid w:val="00B12FF6"/>
    <w:rsid w:val="00B21540"/>
    <w:rsid w:val="00C3663C"/>
    <w:rsid w:val="00C57E55"/>
    <w:rsid w:val="00E82DEE"/>
    <w:rsid w:val="00F42120"/>
    <w:rsid w:val="00FD16B9"/>
    <w:rsid w:val="00FE75A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663087E7-264C-41B5-916B-7D9BEE4D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spacing w:line="320" w:lineRule="atLeast"/>
      <w:textAlignment w:val="baseline"/>
    </w:pPr>
    <w:rPr>
      <w:rFonts w:ascii="OrigGarmnd BT" w:hAnsi="OrigGarmnd BT"/>
      <w:sz w:val="24"/>
      <w:lang w:val="sv-SE" w:eastAsia="ar-SA"/>
    </w:rPr>
  </w:style>
  <w:style w:type="paragraph" w:styleId="Rubrik3">
    <w:name w:val="heading 3"/>
    <w:basedOn w:val="Normal"/>
    <w:next w:val="Normal"/>
    <w:qFormat/>
    <w:pPr>
      <w:keepNext/>
      <w:numPr>
        <w:ilvl w:val="2"/>
        <w:numId w:val="1"/>
      </w:numPr>
      <w:overflowPunct/>
      <w:autoSpaceDE/>
      <w:spacing w:before="240" w:after="60" w:line="240" w:lineRule="auto"/>
      <w:textAlignment w:val="auto"/>
      <w:outlineLvl w:val="2"/>
    </w:pPr>
    <w:rPr>
      <w:rFonts w:ascii="Arial" w:hAnsi="Arial" w:cs="Arial"/>
      <w:b/>
      <w:bCs/>
      <w:sz w:val="26"/>
      <w:szCs w:val="26"/>
      <w:lang w:val="en-GB"/>
    </w:r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WW8Num1z0">
    <w:name w:val="WW8Num1z0"/>
    <w:rPr>
      <w:rFonts w:ascii="Symbol" w:hAnsi="Symbol"/>
      <w:color w:val="auto"/>
    </w:rPr>
  </w:style>
  <w:style w:type="character" w:customStyle="1" w:styleId="Standardstycketeckensnitt1">
    <w:name w:val="Standardstycketeckensnitt1"/>
  </w:style>
  <w:style w:type="character" w:styleId="Sidnummer">
    <w:name w:val="page number"/>
    <w:basedOn w:val="Standardstycketeckensnitt1"/>
  </w:style>
  <w:style w:type="character" w:customStyle="1" w:styleId="RKnormalChar">
    <w:name w:val="RKnormal Char"/>
    <w:basedOn w:val="Standardstycketeckensnitt1"/>
    <w:rPr>
      <w:rFonts w:ascii="OrigGarmnd BT" w:hAnsi="OrigGarmnd BT"/>
      <w:sz w:val="24"/>
      <w:lang w:val="sv-SE" w:eastAsia="ar-SA" w:bidi="ar-SA"/>
    </w:rPr>
  </w:style>
  <w:style w:type="paragraph" w:customStyle="1" w:styleId="Heading">
    <w:name w:val="Heading"/>
    <w:basedOn w:val="Normal"/>
    <w:next w:val="Brdtext"/>
    <w:pPr>
      <w:keepNext/>
      <w:spacing w:before="240" w:after="120"/>
    </w:pPr>
    <w:rPr>
      <w:rFonts w:ascii="Arial" w:eastAsia="Arial Unicode MS" w:hAnsi="Arial" w:cs="Arial Unicode MS"/>
      <w:sz w:val="28"/>
      <w:szCs w:val="28"/>
    </w:rPr>
  </w:style>
  <w:style w:type="paragraph" w:styleId="Brdtext">
    <w:name w:val="Body Text"/>
    <w:basedOn w:val="Normal"/>
    <w:pPr>
      <w:spacing w:after="120"/>
    </w:pPr>
  </w:style>
  <w:style w:type="paragraph" w:styleId="Lista">
    <w:name w:val="List"/>
    <w:basedOn w:val="Brdtext"/>
  </w:style>
  <w:style w:type="paragraph" w:customStyle="1" w:styleId="Caption">
    <w:name w:val="Caption"/>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Avsndare">
    <w:name w:val="Avsändare"/>
    <w:basedOn w:val="Normal"/>
    <w:pPr>
      <w:tabs>
        <w:tab w:val="left" w:pos="3260"/>
      </w:tabs>
      <w:spacing w:line="260" w:lineRule="exact"/>
    </w:pPr>
    <w:rPr>
      <w:rFonts w:ascii="TradeGothic" w:hAnsi="TradeGothic"/>
      <w:i/>
      <w:sz w:val="18"/>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Par-dash">
    <w:name w:val="Par-dash"/>
    <w:basedOn w:val="Normal"/>
    <w:next w:val="Normal"/>
    <w:pPr>
      <w:widowControl w:val="0"/>
      <w:overflowPunct/>
      <w:autoSpaceDE/>
      <w:spacing w:line="360" w:lineRule="auto"/>
      <w:textAlignment w:val="auto"/>
    </w:pPr>
    <w:rPr>
      <w:rFonts w:ascii="Times New Roman" w:hAnsi="Times New Roman"/>
      <w:lang w:val="en-GB"/>
    </w:rPr>
  </w:style>
  <w:style w:type="paragraph" w:customStyle="1" w:styleId="EntLogo">
    <w:name w:val="EntLogo"/>
    <w:basedOn w:val="Normal"/>
    <w:next w:val="Normal"/>
    <w:pPr>
      <w:widowControl w:val="0"/>
      <w:numPr>
        <w:numId w:val="2"/>
      </w:numPr>
      <w:overflowPunct/>
      <w:autoSpaceDE/>
      <w:spacing w:line="360" w:lineRule="auto"/>
      <w:ind w:left="0" w:firstLine="0"/>
      <w:textAlignment w:val="auto"/>
    </w:pPr>
    <w:rPr>
      <w:rFonts w:ascii="Times New Roman" w:hAnsi="Times New Roman"/>
      <w:b/>
      <w:lang w:val="en-GB"/>
    </w:rPr>
  </w:style>
  <w:style w:type="paragraph" w:customStyle="1" w:styleId="Framecontents">
    <w:name w:val="Frame contents"/>
    <w:basedOn w:val="Brd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idfot">
    <w:name w:val="footer"/>
    <w:basedOn w:val="Normal"/>
    <w:pPr>
      <w:suppressLineNumbers/>
      <w:tabs>
        <w:tab w:val="center" w:pos="4819"/>
        <w:tab w:val="right" w:pos="9638"/>
      </w:tabs>
    </w:pPr>
  </w:style>
  <w:style w:type="paragraph" w:customStyle="1" w:styleId="PreformattedText">
    <w:name w:val="Preformatted Text"/>
    <w:basedOn w:val="Normal"/>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4575</Characters>
  <Application>Microsoft Office Word</Application>
  <DocSecurity>4</DocSecurity>
  <Lines>138</Lines>
  <Paragraphs>41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2011-07-08T09:31:00Z</cp:lastPrinted>
  <dcterms:created xsi:type="dcterms:W3CDTF">2025-12-18T04:01:00Z</dcterms:created>
  <dcterms:modified xsi:type="dcterms:W3CDTF">2025-12-18T04:01:00Z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ActivityCategory">
    <vt:lpwstr>4.1. Europeiska unionen</vt:lpwstr>
  </property>
  <property fmtid="{D5CDD505-2E9C-101B-9397-08002B2CF9AE}" pid="4" name="RKOrdnaClass">
    <vt:lpwstr>3</vt:lpwstr>
  </property>
  <property fmtid="{D5CDD505-2E9C-101B-9397-08002B2CF9AE}" pid="5" name="RKOrdnaDepartement">
    <vt:lpwstr>Statsrådsberedningen</vt:lpwstr>
  </property>
  <property fmtid="{D5CDD505-2E9C-101B-9397-08002B2CF9AE}" pid="6" name="RKOrdnaSarskildSkyddsvard">
    <vt:lpwstr>0</vt:lpwstr>
  </property>
  <property fmtid="{D5CDD505-2E9C-101B-9397-08002B2CF9AE}" pid="7" name="display_urn:schemas-microsoft-com:office:office#Author">
    <vt:lpwstr>Lina Törner</vt:lpwstr>
  </property>
  <property fmtid="{D5CDD505-2E9C-101B-9397-08002B2CF9AE}" pid="8" name="display_urn:schemas-microsoft-com:office:office#Editor">
    <vt:lpwstr>Lina Törner</vt:lpwstr>
  </property>
  <property fmtid="{D5CDD505-2E9C-101B-9397-08002B2CF9AE}" pid="9" name="RKOrdnaDiarienummer">
    <vt:lpwstr/>
  </property>
  <property fmtid="{D5CDD505-2E9C-101B-9397-08002B2CF9AE}" pid="10" name="RKOrdnaSearchKeywords">
    <vt:lpwstr/>
  </property>
</Properties>
</file>