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13CCB">
        <w:tblPrEx>
          <w:tblCellMar>
            <w:top w:w="0" w:type="dxa"/>
            <w:left w:w="0" w:type="dxa"/>
            <w:bottom w:w="0" w:type="dxa"/>
            <w:right w:w="0" w:type="dxa"/>
          </w:tblCellMar>
        </w:tblPrEx>
        <w:trPr>
          <w:gridAfter w:val="2"/>
          <w:wAfter w:w="1758" w:type="dxa"/>
          <w:cantSplit/>
          <w:trHeight w:val="1320"/>
        </w:trPr>
        <w:tc>
          <w:tcPr>
            <w:tcW w:w="5897" w:type="dxa"/>
          </w:tcPr>
          <w:p w:rsidR="00452096" w:rsidRPr="00313CCB" w:rsidRDefault="00452096">
            <w:pPr>
              <w:pStyle w:val="HuvudRubrik"/>
            </w:pPr>
            <w:r w:rsidRPr="00313CCB">
              <w:t>Regeringskansliet</w:t>
            </w:r>
          </w:p>
          <w:p w:rsidR="00452096" w:rsidRPr="00313CCB" w:rsidRDefault="00452096">
            <w:pPr>
              <w:pStyle w:val="HuvudRubrik"/>
            </w:pPr>
            <w:r w:rsidRPr="00313CCB">
              <w:t>Faktapromemoria  2010/11:FPM95</w:t>
            </w:r>
          </w:p>
        </w:tc>
      </w:tr>
      <w:tr w:rsidR="00000000" w:rsidRPr="00313CCB">
        <w:tblPrEx>
          <w:tblCellMar>
            <w:top w:w="0" w:type="dxa"/>
            <w:left w:w="0" w:type="dxa"/>
            <w:bottom w:w="0" w:type="dxa"/>
            <w:right w:w="0" w:type="dxa"/>
          </w:tblCellMar>
        </w:tblPrEx>
        <w:trPr>
          <w:gridAfter w:val="2"/>
          <w:wAfter w:w="1758" w:type="dxa"/>
          <w:cantSplit/>
          <w:trHeight w:val="240"/>
        </w:trPr>
        <w:tc>
          <w:tcPr>
            <w:tcW w:w="5897" w:type="dxa"/>
          </w:tcPr>
          <w:p w:rsidR="00452096" w:rsidRPr="00313CCB" w:rsidRDefault="00452096">
            <w:pPr>
              <w:pStyle w:val="HuvudRubrik"/>
              <w:rPr>
                <w:sz w:val="28"/>
              </w:rPr>
            </w:pPr>
            <w:r w:rsidRPr="00313CCB">
              <w:t>Ramavtal om partnerskap och samarbete mellan EU och Mongoliet</w:t>
            </w:r>
          </w:p>
        </w:tc>
      </w:tr>
      <w:tr w:rsidR="00000000" w:rsidRPr="00313CCB">
        <w:tblPrEx>
          <w:tblCellMar>
            <w:top w:w="0" w:type="dxa"/>
            <w:left w:w="0" w:type="dxa"/>
            <w:bottom w:w="0" w:type="dxa"/>
            <w:right w:w="0" w:type="dxa"/>
          </w:tblCellMar>
        </w:tblPrEx>
        <w:trPr>
          <w:cantSplit/>
          <w:trHeight w:val="285"/>
        </w:trPr>
        <w:tc>
          <w:tcPr>
            <w:tcW w:w="7655" w:type="dxa"/>
            <w:gridSpan w:val="3"/>
          </w:tcPr>
          <w:p w:rsidR="00452096" w:rsidRPr="00313CCB" w:rsidRDefault="00452096">
            <w:pPr>
              <w:pStyle w:val="Departement"/>
              <w:rPr>
                <w:sz w:val="28"/>
              </w:rPr>
            </w:pPr>
            <w:r w:rsidRPr="00313CCB">
              <w:t>Utrikesdepartementet</w:t>
            </w:r>
          </w:p>
        </w:tc>
      </w:tr>
      <w:tr w:rsidR="00000000" w:rsidRPr="00313CCB">
        <w:tblPrEx>
          <w:tblCellMar>
            <w:top w:w="0" w:type="dxa"/>
            <w:left w:w="0" w:type="dxa"/>
            <w:bottom w:w="0" w:type="dxa"/>
            <w:right w:w="0" w:type="dxa"/>
          </w:tblCellMar>
        </w:tblPrEx>
        <w:trPr>
          <w:cantSplit/>
          <w:trHeight w:val="240"/>
        </w:trPr>
        <w:tc>
          <w:tcPr>
            <w:tcW w:w="7655" w:type="dxa"/>
            <w:gridSpan w:val="3"/>
          </w:tcPr>
          <w:p w:rsidR="00452096" w:rsidRPr="00313CCB" w:rsidRDefault="00452096">
            <w:pPr>
              <w:pStyle w:val="Dokumentdatum"/>
            </w:pPr>
            <w:r w:rsidRPr="00313CCB">
              <w:t>2011-04-14</w:t>
            </w:r>
          </w:p>
        </w:tc>
      </w:tr>
      <w:tr w:rsidR="00000000" w:rsidRPr="00313CCB">
        <w:tblPrEx>
          <w:tblCellMar>
            <w:top w:w="0" w:type="dxa"/>
            <w:left w:w="0" w:type="dxa"/>
            <w:bottom w:w="0" w:type="dxa"/>
            <w:right w:w="0" w:type="dxa"/>
          </w:tblCellMar>
        </w:tblPrEx>
        <w:trPr>
          <w:cantSplit/>
          <w:trHeight w:val="726"/>
        </w:trPr>
        <w:tc>
          <w:tcPr>
            <w:tcW w:w="7655" w:type="dxa"/>
            <w:gridSpan w:val="3"/>
            <w:vAlign w:val="bottom"/>
          </w:tcPr>
          <w:p w:rsidR="00452096" w:rsidRPr="00313CCB" w:rsidRDefault="00452096">
            <w:pPr>
              <w:pStyle w:val="Dokumentbeteckning"/>
            </w:pPr>
            <w:r w:rsidRPr="00313CCB">
              <w:t>Dokumentbeteckning</w:t>
            </w:r>
          </w:p>
        </w:tc>
      </w:tr>
      <w:tr w:rsidR="00000000" w:rsidRPr="00313CCB">
        <w:tblPrEx>
          <w:tblCellMar>
            <w:top w:w="0" w:type="dxa"/>
            <w:left w:w="0" w:type="dxa"/>
            <w:bottom w:w="0" w:type="dxa"/>
            <w:right w:w="0" w:type="dxa"/>
          </w:tblCellMar>
        </w:tblPrEx>
        <w:trPr>
          <w:gridAfter w:val="1"/>
          <w:wAfter w:w="1560" w:type="dxa"/>
          <w:trHeight w:val="120"/>
        </w:trPr>
        <w:tc>
          <w:tcPr>
            <w:tcW w:w="6095" w:type="dxa"/>
            <w:gridSpan w:val="2"/>
          </w:tcPr>
          <w:p w:rsidR="00452096" w:rsidRPr="00313CCB" w:rsidRDefault="00452096">
            <w:bookmarkStart w:id="0" w:name="KomNr"/>
            <w:bookmarkEnd w:id="0"/>
            <w:r w:rsidRPr="00313CCB">
              <w:t>KOM(2011) 117 slutlig</w:t>
            </w:r>
          </w:p>
        </w:tc>
      </w:tr>
      <w:tr w:rsidR="00000000" w:rsidRPr="00313CCB">
        <w:tblPrEx>
          <w:tblCellMar>
            <w:top w:w="0" w:type="dxa"/>
            <w:left w:w="0" w:type="dxa"/>
            <w:bottom w:w="0" w:type="dxa"/>
            <w:right w:w="0" w:type="dxa"/>
          </w:tblCellMar>
        </w:tblPrEx>
        <w:trPr>
          <w:gridAfter w:val="1"/>
          <w:wAfter w:w="1560" w:type="dxa"/>
          <w:trHeight w:val="120"/>
        </w:trPr>
        <w:tc>
          <w:tcPr>
            <w:tcW w:w="6095" w:type="dxa"/>
            <w:gridSpan w:val="2"/>
          </w:tcPr>
          <w:p w:rsidR="00452096" w:rsidRPr="00313CCB" w:rsidRDefault="00452096">
            <w:pPr>
              <w:pStyle w:val="Dokumentbeteckning-titel"/>
            </w:pPr>
            <w:r w:rsidRPr="00313CCB">
              <w:t>Förslag till rådets beslut om undertecknande av ramavtalet om ett vittomspännande partnerskap och samarbete mellan Europeiska unionen och dess medlemsstater, å ena sidan, och Mongoliet, å andra sidan.</w:t>
            </w:r>
          </w:p>
        </w:tc>
      </w:tr>
    </w:tbl>
    <w:p w:rsidR="00452096" w:rsidRPr="00313CCB" w:rsidRDefault="00452096">
      <w:pPr>
        <w:pStyle w:val="Rubrik1"/>
        <w:numPr>
          <w:ilvl w:val="0"/>
          <w:numId w:val="0"/>
        </w:numPr>
      </w:pPr>
      <w:r w:rsidRPr="00313CCB">
        <w:t>Sammanfattning</w:t>
      </w:r>
    </w:p>
    <w:p w:rsidR="00452096" w:rsidRPr="00313CCB" w:rsidRDefault="00452096">
      <w:r w:rsidRPr="00313CCB">
        <w:t>Kommissionen föreslår att rådet fattar beslut om att underteckna ett ramavtal om ett vittomspännande partnerskap och samarbete mellan EU och Mongoliet. Ramavtalet är ett steg i riktningen mot ett förstärkt politiskt och ekonomiskt engagemang i Östasien och avser främja ett förbättrat samarbete med Mongoliet inom ett stort antal områden. Det omfattar unionens politiska standardklausuler om de mänskliga rättigheterna, massförstörelsevapen, Internationella brottsmålsdomstolen, handeldvapen och lätta vapen och</w:t>
      </w:r>
      <w:r w:rsidRPr="00313CCB">
        <w:t xml:space="preserve"> bekämpning av terrorism. Det är avsett att främja bilateralt, regionalt och internationellt samarbete liksom att främja engagemang för utveckling, handel, investeringar, rättvisa, frihet och säkerhet. Det omfattar även samarbetsområden som normer och standarder, råvaror, migration, organiserad brottslighet, korruption, industripolitik, miljö och turism. Regeringen stödjer förslaget och avser verka för att rådet så snart som möjligt ska kunna besluta om att underteckna och ingå avtalet.</w:t>
      </w:r>
    </w:p>
    <w:p w:rsidR="00452096" w:rsidRPr="00313CCB" w:rsidRDefault="00452096">
      <w:pPr>
        <w:pStyle w:val="Rubrik1"/>
      </w:pPr>
      <w:r w:rsidRPr="00313CCB">
        <w:t>Förslaget</w:t>
      </w:r>
    </w:p>
    <w:p w:rsidR="00452096" w:rsidRPr="00313CCB" w:rsidRDefault="00452096">
      <w:pPr>
        <w:pStyle w:val="Rubrik2"/>
      </w:pPr>
      <w:r w:rsidRPr="00313CCB">
        <w:t>Ärendets bakgrund</w:t>
      </w:r>
    </w:p>
    <w:p w:rsidR="00452096" w:rsidRPr="00313CCB" w:rsidRDefault="00452096">
      <w:r w:rsidRPr="00313CCB">
        <w:t xml:space="preserve">Den intensifierade relationen mellan EU och Asien återspeglas i ett ökande antal avtal, så väl politiska som handelsinriktade. EU har ingått en rad partnerskaps- och samarbetsavtal med flera länder i Asien. Ramavtalet kommer att ersätta den nuvarande rättsliga ramen för samarbetet mellan parterna, </w:t>
      </w:r>
      <w:r w:rsidRPr="00313CCB">
        <w:lastRenderedPageBreak/>
        <w:t xml:space="preserve">avtalet från 1992 om handelspolitiskt och ekonomiskt samarbete mellan EU och Mongoliet. Rådet bemyndigade den 27 juli 2009 kommissionen att föra förhandlingar med Mongoliet om ett ramavtal. Förslaget presenterades den 14 mars 2011.  </w:t>
      </w:r>
    </w:p>
    <w:p w:rsidR="00452096" w:rsidRPr="00313CCB" w:rsidRDefault="00452096">
      <w:pPr>
        <w:pStyle w:val="Rubrik2"/>
      </w:pPr>
      <w:r w:rsidRPr="00313CCB">
        <w:t>Förslagets innehåll</w:t>
      </w:r>
    </w:p>
    <w:p w:rsidR="00452096" w:rsidRPr="00313CCB" w:rsidRDefault="00452096">
      <w:r w:rsidRPr="00313CCB">
        <w:t>Ramavtalet spänner över ett stort antal områden, där syftet är att fördjupa samarbetet, utöka informationsutbytet och intensifiera kontakterna mellan EU och Mongoliet. Avtalet omfattar unionens politiska standardklausuler om de mänskliga rättigheterna, massförstörelsevapen, Internationella brottmålsdomstolen, handeldvapen och lätta vapen och bekämpning av terrorism. Det är avsett att främja bilateralt, regionalt och internationellt samarbete. Samarbete om hållbar utveckling, liksom om handel och investerin</w:t>
      </w:r>
      <w:r w:rsidRPr="00313CCB">
        <w:t xml:space="preserve">gar inkluderas också. </w:t>
      </w:r>
    </w:p>
    <w:p w:rsidR="00452096" w:rsidRPr="00313CCB" w:rsidRDefault="00452096">
      <w:r w:rsidRPr="00313CCB">
        <w:t xml:space="preserve">En regelbunden dialog om utvecklingssamarbete, med syfte att minska fattigdomen och uppnå millenniemålen, införs. En dialog om handelsfrågor inrättas med syfte att stärka de bilaterala handelsförbindelserna. Parterna åtar sig också att uppnå förbättrade villkor för marknadstillträde och främja investeringsflödet. </w:t>
      </w:r>
    </w:p>
    <w:p w:rsidR="00452096" w:rsidRPr="00313CCB" w:rsidRDefault="00452096">
      <w:r w:rsidRPr="00313CCB">
        <w:t xml:space="preserve">Med tanke på Mongoliets råvarutillgångar är samarbetet om råvaror intressant och i syfte att främja ökat samarbete får vardera parten enligt avtalet begära att särskilda sammanträden rörande råvaror sammankallas. En underkommitté om handel och investeringar inrättas genom avtalet. </w:t>
      </w:r>
    </w:p>
    <w:p w:rsidR="00452096" w:rsidRPr="00313CCB" w:rsidRDefault="00452096">
      <w:r w:rsidRPr="00313CCB">
        <w:t>Ett samarbete om migrationsfrågor förutses också. Parterna skall upprätta samarbete för att förebygga olaglig invandring och olaglig vistelse på den andra partens territorium. Parterna kommer genom avtalet överens om att återta personer, som inte uppfyller gällande villkor för vistelse på den avtalsslutande partens territorium. Åtgärder för  narkotikabekämpning ska baseras på överenskomna principer som överensstämmer med internationella konventioner. Samma gäller för samarbetet att förebygga och bekämpa te</w:t>
      </w:r>
      <w:r w:rsidRPr="00313CCB">
        <w:t xml:space="preserve">rrorism. Stöd till utarbetande och genomförande av en nationell handlingsplan för mänskliga rättigheter förutses, liksom en bred dialog om mänskliga rättigheter. </w:t>
      </w:r>
    </w:p>
    <w:p w:rsidR="00452096" w:rsidRPr="00313CCB" w:rsidRDefault="00452096"/>
    <w:p w:rsidR="00452096" w:rsidRPr="00313CCB" w:rsidRDefault="00452096">
      <w:r w:rsidRPr="00313CCB">
        <w:t>Ett industripolitiskt samarbete strävar till att förbättra konkurrenskraften för små och medelstora företag genom en rad åtgärder. Ett samarbete i frågor om klimatförändring kommer att intensifieras.</w:t>
      </w:r>
    </w:p>
    <w:p w:rsidR="00452096" w:rsidRPr="00313CCB" w:rsidRDefault="00452096"/>
    <w:p w:rsidR="00452096" w:rsidRPr="00313CCB" w:rsidRDefault="00452096">
      <w:r w:rsidRPr="00313CCB">
        <w:t xml:space="preserve">En gemensam kommitté med företrädare på högre tjänstemannanivå ska övervaka att avtalet tillämpas korrekt, fastställa prioriteringar och utfärda rekommendationer. Kommittén ska sammanträda en gång om året. Kommittén får upprätta specialiserade arbetsgrupper. </w:t>
      </w:r>
    </w:p>
    <w:p w:rsidR="00452096" w:rsidRPr="00313CCB" w:rsidRDefault="00452096">
      <w:pPr>
        <w:pStyle w:val="Rubrik2"/>
      </w:pPr>
      <w:r w:rsidRPr="00313CCB">
        <w:t>Gällande svenska regler och förslagets effekt på dessa</w:t>
      </w:r>
    </w:p>
    <w:p w:rsidR="00452096" w:rsidRPr="00313CCB" w:rsidRDefault="00452096">
      <w:r w:rsidRPr="00313CCB">
        <w:t xml:space="preserve">Svensk lagstiftning förväntas inte påverkas av kommissionens förslag. Kommissionen förutser heller inte lagstiftning på EU-nivå. </w:t>
      </w:r>
    </w:p>
    <w:p w:rsidR="00452096" w:rsidRPr="00313CCB" w:rsidRDefault="00452096">
      <w:pPr>
        <w:pStyle w:val="Rubrik2"/>
      </w:pPr>
      <w:r w:rsidRPr="00313CCB">
        <w:t>Budgetära konsekvenser / Konsekvensanalys</w:t>
      </w:r>
    </w:p>
    <w:p w:rsidR="00452096" w:rsidRPr="00313CCB" w:rsidRDefault="00452096">
      <w:r w:rsidRPr="00313CCB">
        <w:t>Ramavtalet är att betrakta som en avsiktsförklaring att fördjupa samarbetet och har i sin nuvarande utformning inga konkreta budgetära konsekvenser för EU:s budget. Kommissionens förslag förväntas inte få några konsekvenser för Sveriges budget. Regeringen bedömer att det intensifierade samarbetet kan uppnås inom befintliga budgetramar.</w:t>
      </w:r>
    </w:p>
    <w:p w:rsidR="00452096" w:rsidRPr="00313CCB" w:rsidRDefault="00452096">
      <w:pPr>
        <w:pStyle w:val="Rubrik1"/>
      </w:pPr>
      <w:r w:rsidRPr="00313CCB">
        <w:t>Ståndpunkter</w:t>
      </w:r>
    </w:p>
    <w:p w:rsidR="00452096" w:rsidRPr="00313CCB" w:rsidRDefault="00452096">
      <w:pPr>
        <w:pStyle w:val="Rubrik2"/>
      </w:pPr>
      <w:r w:rsidRPr="00313CCB">
        <w:t>Preliminär svensk ståndpunkt</w:t>
      </w:r>
    </w:p>
    <w:p w:rsidR="00452096" w:rsidRPr="00313CCB" w:rsidRDefault="00452096">
      <w:r w:rsidRPr="00313CCB">
        <w:t xml:space="preserve">Regeringen välkomnar och stödjer det framförhandlade avtalet mellan EU och Mongoliet. Regeringen ställer sig positiv till ett intensifierat samarbete  mellan EU och Mongoliet, som det föreslås i ramavtalet. Regeringen vill verka för att Mongoliet ges erforderligt stöd i sin strävan efter att fördjupa demokratin och marknadsekonomiska reformer. Genomförandet av avtalet avser att främja Mongoliets utveckling liksom EU:s vidare politiska och ekonomiska intressen i landet. </w:t>
      </w:r>
    </w:p>
    <w:p w:rsidR="00452096" w:rsidRPr="00313CCB" w:rsidRDefault="00452096">
      <w:r w:rsidRPr="00313CCB">
        <w:t xml:space="preserve"> </w:t>
      </w:r>
    </w:p>
    <w:p w:rsidR="00452096" w:rsidRPr="00313CCB" w:rsidRDefault="00452096">
      <w:pPr>
        <w:pStyle w:val="Rubrik2"/>
      </w:pPr>
      <w:r w:rsidRPr="00313CCB">
        <w:t>Medlemsstaternas ståndpunkter</w:t>
      </w:r>
    </w:p>
    <w:p w:rsidR="00452096" w:rsidRPr="00313CCB" w:rsidRDefault="00452096">
      <w:r w:rsidRPr="00313CCB">
        <w:t xml:space="preserve">Samtliga medlemsstater ställer sig bakom ramavtalet i dess nuvarande utformning.  </w:t>
      </w:r>
    </w:p>
    <w:p w:rsidR="00452096" w:rsidRPr="00313CCB" w:rsidRDefault="00452096">
      <w:pPr>
        <w:pStyle w:val="Rubrik2"/>
      </w:pPr>
      <w:r w:rsidRPr="00313CCB">
        <w:t>Institutionernas ståndpunkter</w:t>
      </w:r>
    </w:p>
    <w:p w:rsidR="00452096" w:rsidRPr="00313CCB" w:rsidRDefault="00452096">
      <w:r w:rsidRPr="00313CCB">
        <w:t xml:space="preserve">Frågan har ännu inte behandlats i Europaparlamentet. </w:t>
      </w:r>
    </w:p>
    <w:p w:rsidR="00452096" w:rsidRPr="00313CCB" w:rsidRDefault="00452096">
      <w:pPr>
        <w:pStyle w:val="Rubrik2"/>
      </w:pPr>
      <w:r w:rsidRPr="00313CCB">
        <w:t>Remissinstansernas ståndpunkter</w:t>
      </w:r>
    </w:p>
    <w:p w:rsidR="00452096" w:rsidRPr="00313CCB" w:rsidRDefault="00452096">
      <w:r w:rsidRPr="00313CCB">
        <w:t xml:space="preserve">Förslaget har inte sänts på remiss. </w:t>
      </w:r>
    </w:p>
    <w:p w:rsidR="00452096" w:rsidRPr="00313CCB" w:rsidRDefault="00452096">
      <w:pPr>
        <w:pStyle w:val="Rubrik1"/>
      </w:pPr>
      <w:r w:rsidRPr="00313CCB">
        <w:t>Förslagets förutsättningar</w:t>
      </w:r>
    </w:p>
    <w:p w:rsidR="00452096" w:rsidRPr="00313CCB" w:rsidRDefault="00452096">
      <w:pPr>
        <w:pStyle w:val="Rubrik2"/>
      </w:pPr>
      <w:r w:rsidRPr="00313CCB">
        <w:t>Rättslig grund och beslutsförfarande</w:t>
      </w:r>
    </w:p>
    <w:p w:rsidR="00452096" w:rsidRPr="00313CCB" w:rsidRDefault="00452096">
      <w:r w:rsidRPr="00313CCB">
        <w:t>Särskilt artiklarna 79.3, 207, 209 och 218.5 i Fördraget om EU:s funktionssätt (EUFF).</w:t>
      </w:r>
    </w:p>
    <w:p w:rsidR="00452096" w:rsidRPr="00313CCB" w:rsidRDefault="00452096"/>
    <w:p w:rsidR="00452096" w:rsidRPr="00313CCB" w:rsidRDefault="00452096">
      <w:r w:rsidRPr="00313CCB">
        <w:t>Avtalet ska godkännas av rådet och Europaparlamentet innan det ingås. Enligt artikel 63 i avtalet ska parterna därutöver ratificera avtalet i enlighet med respektive lands interna procedurer.</w:t>
      </w:r>
    </w:p>
    <w:p w:rsidR="00452096" w:rsidRPr="00313CCB" w:rsidRDefault="00452096"/>
    <w:p w:rsidR="00452096" w:rsidRPr="00313CCB" w:rsidRDefault="00452096"/>
    <w:p w:rsidR="00452096" w:rsidRPr="00313CCB" w:rsidRDefault="00452096">
      <w:pPr>
        <w:pStyle w:val="Rubrik2"/>
      </w:pPr>
      <w:r w:rsidRPr="00313CCB">
        <w:t>Subsidiaritets- och proportionalitetsprincipen</w:t>
      </w:r>
    </w:p>
    <w:p w:rsidR="00452096" w:rsidRPr="00313CCB" w:rsidRDefault="00452096">
      <w:r w:rsidRPr="00313CCB">
        <w:t xml:space="preserve">Denna del av faktapromemorian är inte tillämplig eftersom avtalet inte är ett utkast till en lagstiftningsakt. </w:t>
      </w:r>
    </w:p>
    <w:p w:rsidR="00452096" w:rsidRPr="00313CCB" w:rsidRDefault="00452096">
      <w:pPr>
        <w:pStyle w:val="Rubrik1"/>
      </w:pPr>
      <w:r w:rsidRPr="00313CCB">
        <w:t>Övrigt</w:t>
      </w:r>
    </w:p>
    <w:p w:rsidR="00452096" w:rsidRPr="00313CCB" w:rsidRDefault="00452096">
      <w:pPr>
        <w:pStyle w:val="Rubrik2"/>
      </w:pPr>
      <w:r w:rsidRPr="00313CCB">
        <w:t>Fortsatt behandling av ärendet</w:t>
      </w:r>
    </w:p>
    <w:p w:rsidR="00452096" w:rsidRPr="00313CCB" w:rsidRDefault="00452096">
      <w:r w:rsidRPr="00313CCB">
        <w:t xml:space="preserve">Rådet förväntas fatta beslut om undertecknande och ingående av avtalet vid Mongoliets premiärministers besök i Bryssel i maj. </w:t>
      </w:r>
    </w:p>
    <w:p w:rsidR="00452096" w:rsidRPr="00313CCB" w:rsidRDefault="00452096"/>
    <w:p w:rsidR="00452096" w:rsidRPr="00313CCB" w:rsidRDefault="00452096">
      <w:r w:rsidRPr="00313CCB">
        <w:t xml:space="preserve">Avtalet om partnerskap och samarbete med Mongoliet är baserat på EU:s regelverk och/eller nationell lagstiftning redan på plats i medlemsstaterna. Inga lagstiftningsåtgärder krävs för att genomföra avtalet. Regeringens bedömning är dock att avtalet är av större vikt i den mening som avses i Regeringsformens tionde kapitel. Regeringens avsikt är därför att underställa riksdagen avtalet. </w:t>
      </w:r>
    </w:p>
    <w:p w:rsidR="00452096" w:rsidRPr="00313CCB" w:rsidRDefault="00452096">
      <w:pPr>
        <w:pStyle w:val="Rubrik2"/>
      </w:pPr>
      <w:r w:rsidRPr="00313CCB">
        <w:t>Fackuttryck/termer</w:t>
      </w:r>
    </w:p>
    <w:p w:rsidR="00452096" w:rsidRPr="00313CCB" w:rsidRDefault="00452096"/>
    <w:sectPr w:rsidR="00452096" w:rsidRPr="00313CC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2096" w:rsidRPr="00313CCB" w:rsidRDefault="00452096">
      <w:r w:rsidRPr="00313CCB">
        <w:separator/>
      </w:r>
    </w:p>
  </w:endnote>
  <w:endnote w:type="continuationSeparator" w:id="0">
    <w:p w:rsidR="00452096" w:rsidRPr="00313CCB" w:rsidRDefault="00452096">
      <w:r w:rsidRPr="00313C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96" w:rsidRPr="00313CCB" w:rsidRDefault="0045209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96" w:rsidRPr="00313CCB" w:rsidRDefault="00452096">
    <w:pPr>
      <w:pStyle w:val="SidfotH"/>
      <w:framePr w:wrap="around"/>
    </w:pPr>
    <w:r w:rsidRPr="00313CCB">
      <w:t>4</w:t>
    </w:r>
  </w:p>
  <w:p w:rsidR="00452096" w:rsidRPr="00313CCB" w:rsidRDefault="0045209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96" w:rsidRPr="00313CCB" w:rsidRDefault="00452096">
    <w:pPr>
      <w:pStyle w:val="SidfotH"/>
      <w:framePr w:wrap="around"/>
    </w:pPr>
    <w:r w:rsidRPr="00313CCB">
      <w:t>1</w:t>
    </w:r>
  </w:p>
  <w:p w:rsidR="00452096" w:rsidRPr="00313CCB" w:rsidRDefault="004520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2096" w:rsidRPr="00313CCB" w:rsidRDefault="00452096">
      <w:r w:rsidRPr="00313CCB">
        <w:separator/>
      </w:r>
    </w:p>
  </w:footnote>
  <w:footnote w:type="continuationSeparator" w:id="0">
    <w:p w:rsidR="00452096" w:rsidRPr="00313CCB" w:rsidRDefault="00452096">
      <w:r w:rsidRPr="00313C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96" w:rsidRPr="00313CCB" w:rsidRDefault="0045209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96" w:rsidRPr="00313CCB" w:rsidRDefault="00452096">
    <w:pPr>
      <w:pStyle w:val="Kantrubrik"/>
      <w:framePr w:h="1157" w:hRule="exact" w:wrap="around" w:y="738"/>
    </w:pPr>
    <w:r w:rsidRPr="00313CCB">
      <w:t>2010/11:FPM95</w:t>
    </w:r>
  </w:p>
  <w:p w:rsidR="00452096" w:rsidRPr="00313CCB" w:rsidRDefault="0045209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96" w:rsidRPr="00313CCB" w:rsidRDefault="00313CCB">
    <w:pPr>
      <w:pStyle w:val="Sidhuvud"/>
    </w:pPr>
    <w:r w:rsidRPr="00313CC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65388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096" w:rsidRDefault="0045209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58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52096" w:rsidRDefault="00452096">
                    <w:pPr>
                      <w:pStyle w:val="Logo"/>
                    </w:pPr>
                    <w:r>
                      <w:object w:dxaOrig="840" w:dyaOrig="1545">
                        <v:shape id="_x0000_i1025" type="#_x0000_t75" style="width:42pt;height:77.15pt" filled="t">
                          <v:imagedata r:id="rId1" o:title=""/>
                        </v:shape>
                        <o:OLEObject Type="Embed" ProgID="Word.Picture.8" ShapeID="_x0000_i1025" DrawAspect="Content" ObjectID="_182752158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0442400">
    <w:abstractNumId w:val="4"/>
  </w:num>
  <w:num w:numId="2" w16cid:durableId="657995610">
    <w:abstractNumId w:val="1"/>
  </w:num>
  <w:num w:numId="3" w16cid:durableId="802619428">
    <w:abstractNumId w:val="2"/>
  </w:num>
  <w:num w:numId="4" w16cid:durableId="231046456">
    <w:abstractNumId w:val="3"/>
  </w:num>
  <w:num w:numId="5" w16cid:durableId="704643905">
    <w:abstractNumId w:val="5"/>
  </w:num>
  <w:num w:numId="6" w16cid:durableId="182403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4-14"/>
    <w:docVar w:name="Ar" w:val="2010/11"/>
    <w:docVar w:name="Dep" w:val="Utrikesdepartementet"/>
    <w:docVar w:name="DepWeb" w:val="Utrikesdepartementet"/>
    <w:docVar w:name="GDB1" w:val="KOM(2011) 11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undertecknande av ramavtalet om ett vittomspännande partnerskap och samarbete mellan Europeiska unionen och dess medlemsstater, å ena sidan, och Mongoliet, å andra sida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117 slutlig"/>
    <w:docVar w:name="Nr" w:val="95"/>
    <w:docVar w:name="RD_APPVERSION" w:val="3.00"/>
    <w:docVar w:name="Rub" w:val="Ramavtal om partnerskap och samarbete mellan EU och Mongoliet"/>
    <w:docVar w:name="UppDat" w:val="2011-04-14"/>
    <w:docVar w:name="Utsk" w:val="Utrikesutskottet"/>
  </w:docVars>
  <w:rsids>
    <w:rsidRoot w:val="00FB5201"/>
    <w:rsid w:val="00313CCB"/>
    <w:rsid w:val="00452096"/>
    <w:rsid w:val="00FB52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EAD3F1-60A9-4A89-809F-C28E95FF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865</Words>
  <Characters>5826</Characters>
  <Application>Microsoft Office Word</Application>
  <DocSecurity>4</DocSecurity>
  <Lines>123</Lines>
  <Paragraphs>50</Paragraphs>
  <ScaleCrop>false</ScaleCrop>
  <HeadingPairs>
    <vt:vector size="2" baseType="variant">
      <vt:variant>
        <vt:lpstr>Rubrik</vt:lpstr>
      </vt:variant>
      <vt:variant>
        <vt:i4>1</vt:i4>
      </vt:variant>
    </vt:vector>
  </HeadingPairs>
  <TitlesOfParts>
    <vt:vector size="1" baseType="lpstr">
      <vt:lpstr>FPM_201011__95</vt:lpstr>
    </vt:vector>
  </TitlesOfParts>
  <Company>RD-DTSL</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FPM_201011__95</dc:title>
  <dc:subject>FPM_201011__95</dc:subject>
  <dc:creator>Riksdagen</dc:creator>
  <cp:keywords>Riksdagen</cp:keywords>
  <dc:description>KP2004-version.  Ändringarna påverkar enbart användningen inom Riksdagen. 050429 nya departement DTSL.</dc:description>
  <cp:lastModifiedBy>Lars Brink</cp:lastModifiedBy>
  <cp:revision>2</cp:revision>
  <cp:lastPrinted>2011-04-15T05:19:00Z</cp:lastPrinted>
  <dcterms:created xsi:type="dcterms:W3CDTF">2025-12-17T18:18:00Z</dcterms:created>
  <dcterms:modified xsi:type="dcterms:W3CDTF">2025-12-17T18:18:00Z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95</vt:lpwstr>
  </property>
  <property fmtid="{D5CDD505-2E9C-101B-9397-08002B2CF9AE}" pid="4" name="GDB1">
    <vt:lpwstr>KOM(2011) 117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Ramavtal om partnerskap och samarbete mellan EU och Mongoliet</vt:lpwstr>
  </property>
  <property fmtid="{D5CDD505-2E9C-101B-9397-08002B2CF9AE}" pid="8" name="UppDat">
    <vt:lpwstr>2011-04-14</vt:lpwstr>
  </property>
  <property fmtid="{D5CDD505-2E9C-101B-9397-08002B2CF9AE}" pid="9" name="AnkDat">
    <vt:lpwstr>2011-04-14</vt:lpwstr>
  </property>
  <property fmtid="{D5CDD505-2E9C-101B-9397-08002B2CF9AE}" pid="10" name="Utsk">
    <vt:lpwstr>Utrikesutskottet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3;0;0;216</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Utrikesdepartementet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