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213"/>
      </w:tblGrid>
      <w:tr w:rsidR="00F84D00">
        <w:tc>
          <w:tcPr>
            <w:tcW w:w="2268" w:type="dxa"/>
          </w:tcPr>
          <w:p w:rsidR="00F84D00" w:rsidRDefault="00F84D0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F84D00" w:rsidRDefault="00F84D0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84D00">
        <w:tc>
          <w:tcPr>
            <w:tcW w:w="2268" w:type="dxa"/>
          </w:tcPr>
          <w:p w:rsidR="00F84D00" w:rsidRDefault="00F84D0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F84D00" w:rsidRDefault="00F84D0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F84D00">
        <w:trPr>
          <w:trHeight w:val="343"/>
        </w:trPr>
        <w:tc>
          <w:tcPr>
            <w:tcW w:w="3402" w:type="dxa"/>
            <w:gridSpan w:val="2"/>
          </w:tcPr>
          <w:p w:rsidR="00F84D00" w:rsidRDefault="00F84D00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F84D00" w:rsidRDefault="00F84D00">
            <w:pPr>
              <w:framePr w:w="4400" w:h="1644" w:wrap="notBeside" w:vAnchor="page" w:hAnchor="page" w:x="6573" w:y="721"/>
            </w:pPr>
          </w:p>
        </w:tc>
      </w:tr>
      <w:tr w:rsidR="00F84D00">
        <w:tc>
          <w:tcPr>
            <w:tcW w:w="2268" w:type="dxa"/>
          </w:tcPr>
          <w:p w:rsidR="00F84D00" w:rsidRDefault="00F84D00">
            <w:pPr>
              <w:framePr w:w="4400" w:h="1644" w:wrap="notBeside" w:vAnchor="page" w:hAnchor="page" w:x="6573" w:y="721"/>
            </w:pPr>
            <w:r>
              <w:t>2013-11-15</w:t>
            </w:r>
          </w:p>
        </w:tc>
        <w:tc>
          <w:tcPr>
            <w:tcW w:w="2347" w:type="dxa"/>
            <w:gridSpan w:val="2"/>
          </w:tcPr>
          <w:p w:rsidR="00F84D00" w:rsidRDefault="00F84D00">
            <w:pPr>
              <w:framePr w:w="4400" w:h="1644" w:wrap="notBeside" w:vAnchor="page" w:hAnchor="page" w:x="6573" w:y="721"/>
            </w:pPr>
          </w:p>
        </w:tc>
      </w:tr>
      <w:tr w:rsidR="00F84D00">
        <w:tc>
          <w:tcPr>
            <w:tcW w:w="2268" w:type="dxa"/>
          </w:tcPr>
          <w:p w:rsidR="00F84D00" w:rsidRDefault="00F84D00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F84D00" w:rsidRDefault="00F84D00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F84D00">
        <w:trPr>
          <w:trHeight w:val="2400"/>
        </w:trPr>
        <w:tc>
          <w:tcPr>
            <w:tcW w:w="4911" w:type="dxa"/>
          </w:tcPr>
          <w:p w:rsidR="00F84D00" w:rsidRDefault="00F84D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:rsidR="00F84D00" w:rsidRDefault="00F84D00">
            <w:pPr>
              <w:pStyle w:val="Avsndare"/>
              <w:framePr w:h="2483" w:wrap="notBeside" w:x="1504"/>
            </w:pPr>
          </w:p>
          <w:p w:rsidR="00F84D00" w:rsidRDefault="00F84D00">
            <w:pPr>
              <w:pStyle w:val="Avsndare"/>
              <w:framePr w:h="2483" w:wrap="notBeside" w:x="1504"/>
            </w:pPr>
            <w:r>
              <w:t>EU-kansliet</w:t>
            </w:r>
          </w:p>
          <w:p w:rsidR="00F84D00" w:rsidRDefault="00F84D00">
            <w:pPr>
              <w:pStyle w:val="Avsndare"/>
              <w:framePr w:h="2483" w:wrap="notBeside" w:x="1504"/>
            </w:pPr>
          </w:p>
          <w:p w:rsidR="00F84D00" w:rsidRDefault="00F84D00">
            <w:pPr>
              <w:pStyle w:val="Avsndare"/>
              <w:framePr w:h="2483" w:wrap="notBeside" w:x="1504"/>
            </w:pPr>
          </w:p>
          <w:p w:rsidR="00F84D00" w:rsidRDefault="00F84D00">
            <w:pPr>
              <w:pStyle w:val="Avsndare"/>
              <w:framePr w:h="2483" w:wrap="notBeside" w:x="1504"/>
            </w:pPr>
          </w:p>
          <w:p w:rsidR="00F84D00" w:rsidRDefault="00F84D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:rsidR="00F84D00" w:rsidRDefault="00F84D00">
      <w:pPr>
        <w:framePr w:w="4400" w:h="2523" w:wrap="notBeside" w:vAnchor="page" w:hAnchor="page" w:x="6453" w:y="2445"/>
        <w:ind w:left="142"/>
      </w:pPr>
    </w:p>
    <w:p w:rsidR="00F84D00" w:rsidRDefault="00F84D00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Toc67391946"/>
      <w:bookmarkStart w:id="1" w:name="_Toc70473239"/>
      <w:r>
        <w:rPr>
          <w:rFonts w:cs="Arial"/>
          <w:sz w:val="28"/>
        </w:rPr>
        <w:t>Troliga A-punkter inför kommande rådsmöten som godkändes vid Coreper I och Coreper II</w:t>
      </w:r>
      <w:bookmarkEnd w:id="0"/>
      <w:bookmarkEnd w:id="1"/>
      <w:r>
        <w:rPr>
          <w:rFonts w:cs="Arial"/>
          <w:sz w:val="28"/>
        </w:rPr>
        <w:t xml:space="preserve"> samt förväntas godkännas vid Coreper II vecka 46</w:t>
      </w:r>
    </w:p>
    <w:p w:rsidR="00F84D00" w:rsidRDefault="00F84D00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- komplettering</w:t>
      </w:r>
    </w:p>
    <w:p w:rsidR="00F84D00" w:rsidRDefault="00F84D00" w:rsidP="0026163D">
      <w:pPr>
        <w:pStyle w:val="BodyText"/>
      </w:pPr>
    </w:p>
    <w:p w:rsidR="00F84D00" w:rsidRDefault="00F84D00" w:rsidP="0026163D">
      <w:pPr>
        <w:pStyle w:val="BodyText"/>
      </w:pPr>
      <w:r>
        <w:t>Översänds för skriftligt samråd till måndagen den 18 november 2013, kl 08.30.</w:t>
      </w:r>
    </w:p>
    <w:p w:rsidR="00F84D00" w:rsidRDefault="00F84D00">
      <w:pPr>
        <w:spacing w:line="240" w:lineRule="auto"/>
        <w:rPr>
          <w:rFonts w:ascii="Garamond" w:hAnsi="Garamond"/>
        </w:rPr>
      </w:pPr>
      <w:r>
        <w:br w:type="page"/>
      </w:r>
    </w:p>
    <w:p w:rsidR="00F84D00" w:rsidRPr="0026163D" w:rsidRDefault="00F84D00" w:rsidP="0026163D">
      <w:pPr>
        <w:pStyle w:val="BodyText"/>
      </w:pPr>
    </w:p>
    <w:p w:rsidR="00F84D00" w:rsidRDefault="00F84D00">
      <w:pPr>
        <w:pStyle w:val="RKnormal"/>
        <w:ind w:left="0"/>
        <w:rPr>
          <w:b/>
          <w:bCs/>
        </w:rPr>
      </w:pPr>
      <w:bookmarkStart w:id="2" w:name="_Toc31176651"/>
      <w:bookmarkStart w:id="3" w:name="_Toc33517460"/>
      <w:bookmarkStart w:id="4" w:name="_Toc37754403"/>
      <w:bookmarkStart w:id="5" w:name="_Toc40856217"/>
      <w:bookmarkStart w:id="6" w:name="_Toc46314026"/>
      <w:bookmarkStart w:id="7" w:name="_Toc53477857"/>
      <w:bookmarkStart w:id="8" w:name="_Toc56584632"/>
      <w:bookmarkStart w:id="9" w:name="_Toc58313040"/>
      <w:bookmarkStart w:id="10" w:name="_Toc62632328"/>
      <w:bookmarkStart w:id="11" w:name="_Toc65054164"/>
      <w:bookmarkStart w:id="12" w:name="_Toc67391947"/>
      <w:bookmarkStart w:id="13" w:name="_Toc70473240"/>
      <w:bookmarkStart w:id="14" w:name="_Toc72290257"/>
      <w:bookmarkStart w:id="15" w:name="_Toc73258531"/>
    </w:p>
    <w:p w:rsidR="00F84D00" w:rsidRDefault="00F84D00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72292711" w:history="1">
        <w:r w:rsidRPr="00AD4C1A">
          <w:rPr>
            <w:rStyle w:val="Hyperli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_Toc372292711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4D00" w:rsidRDefault="00F84D00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72292712" w:history="1">
        <w:r w:rsidRPr="00AD4C1A">
          <w:rPr>
            <w:rStyle w:val="Hyperlink"/>
            <w:noProof/>
          </w:rPr>
          <w:t>Färdigförhandlad II-punkt från möte i Coreper I 2013-11-15 som kan tas som A-punkt vid kommande rådsmöte.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_Toc372292712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4D00" w:rsidRDefault="00F84D00">
      <w:pPr>
        <w:pStyle w:val="TOC2"/>
        <w:tabs>
          <w:tab w:val="left" w:pos="480"/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72292713" w:history="1">
        <w:r w:rsidRPr="00AD4C1A">
          <w:rPr>
            <w:rStyle w:val="Hyperlink"/>
            <w:noProof/>
            <w:lang w:eastAsia="en-GB"/>
          </w:rPr>
          <w:t>1.</w:t>
        </w:r>
        <w:r>
          <w:rPr>
            <w:rFonts w:ascii="Calibri" w:hAnsi="Calibri"/>
            <w:b w:val="0"/>
            <w:bCs w:val="0"/>
            <w:noProof/>
            <w:sz w:val="22"/>
            <w:szCs w:val="22"/>
            <w:lang w:eastAsia="sv-SE"/>
          </w:rPr>
          <w:tab/>
        </w:r>
        <w:r w:rsidRPr="00AD4C1A">
          <w:rPr>
            <w:rStyle w:val="Hyperlink"/>
            <w:noProof/>
            <w:lang w:eastAsia="en-GB"/>
          </w:rPr>
          <w:t>Förslag till rådets förordning om ändring av förordningarna (EG) nr 754/2009, (EU) nr 1262/2012, (EU) nr 39/2013 och (EU) nr 40/2013 vad gäller vissa fiskemöjligheter - Antagande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_Toc372292713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4D00" w:rsidRDefault="00F84D00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:rsidR="00F84D00" w:rsidRDefault="00F84D00">
      <w:pPr>
        <w:pStyle w:val="Heading1"/>
        <w:tabs>
          <w:tab w:val="clear" w:pos="1134"/>
          <w:tab w:val="left" w:pos="0"/>
        </w:tabs>
      </w:pPr>
      <w:r>
        <w:br w:type="page"/>
      </w:r>
      <w:bookmarkStart w:id="16" w:name="_Toc74025454"/>
      <w:bookmarkStart w:id="17" w:name="_Toc74369297"/>
      <w:bookmarkStart w:id="18" w:name="_Toc76374079"/>
      <w:bookmarkStart w:id="19" w:name="_Toc76376804"/>
      <w:bookmarkStart w:id="20" w:name="_Toc83178390"/>
      <w:bookmarkStart w:id="21" w:name="_Toc83791009"/>
      <w:bookmarkStart w:id="22" w:name="_Toc84329441"/>
      <w:bookmarkStart w:id="23" w:name="_Toc85613233"/>
      <w:bookmarkStart w:id="24" w:name="_Toc86487557"/>
      <w:bookmarkStart w:id="25" w:name="_Toc88295701"/>
      <w:bookmarkStart w:id="26" w:name="_Toc89243342"/>
      <w:bookmarkStart w:id="27" w:name="_Toc89773921"/>
      <w:bookmarkStart w:id="28" w:name="_Toc93308035"/>
      <w:bookmarkStart w:id="29" w:name="_Toc93311799"/>
      <w:bookmarkStart w:id="30" w:name="_Toc93482645"/>
      <w:bookmarkStart w:id="31" w:name="_Toc93991172"/>
      <w:bookmarkStart w:id="32" w:name="_Toc95646802"/>
      <w:bookmarkStart w:id="33" w:name="_Toc97111910"/>
      <w:bookmarkStart w:id="34" w:name="_Toc100567622"/>
      <w:bookmarkStart w:id="35" w:name="_Toc100653979"/>
      <w:bookmarkStart w:id="36" w:name="_Toc100733908"/>
      <w:bookmarkStart w:id="37" w:name="_Toc101081836"/>
      <w:bookmarkStart w:id="38" w:name="_Toc101236322"/>
      <w:bookmarkStart w:id="39" w:name="_Toc102539196"/>
      <w:bookmarkStart w:id="40" w:name="_Toc107297188"/>
      <w:bookmarkStart w:id="41" w:name="_Toc108420766"/>
      <w:bookmarkStart w:id="42" w:name="_Toc113358330"/>
      <w:bookmarkStart w:id="43" w:name="_Toc113951872"/>
      <w:bookmarkStart w:id="44" w:name="_Toc114548315"/>
      <w:bookmarkStart w:id="45" w:name="_Toc115232899"/>
      <w:bookmarkStart w:id="46" w:name="_Toc116372909"/>
      <w:bookmarkStart w:id="47" w:name="_Toc117061714"/>
      <w:bookmarkStart w:id="48" w:name="_Toc119487774"/>
      <w:bookmarkStart w:id="49" w:name="_Toc120606911"/>
      <w:bookmarkStart w:id="50" w:name="_Toc122429206"/>
      <w:bookmarkStart w:id="51" w:name="_Toc127322523"/>
      <w:bookmarkStart w:id="52" w:name="_Toc129590765"/>
      <w:bookmarkStart w:id="53" w:name="_Toc372292711"/>
      <w:r>
        <w:t>Frågor som lösts i förberedande instanser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F84D00" w:rsidRDefault="00F84D00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listor med A-punkter från rådssekretariatet. Vissa A-punkter föranleder inga annoteringar. </w:t>
      </w:r>
    </w:p>
    <w:p w:rsidR="00F84D00" w:rsidRDefault="00F84D00" w:rsidP="00B236A9">
      <w:pPr>
        <w:pStyle w:val="Heading1"/>
        <w:spacing w:before="0" w:after="0"/>
      </w:pPr>
      <w:bookmarkStart w:id="54" w:name="Punkt"/>
      <w:bookmarkEnd w:id="54"/>
    </w:p>
    <w:p w:rsidR="00F84D00" w:rsidRDefault="00F84D00" w:rsidP="00B236A9">
      <w:pPr>
        <w:pStyle w:val="Heading1"/>
        <w:spacing w:before="0" w:after="0"/>
      </w:pPr>
      <w:bookmarkStart w:id="55" w:name="_Toc372292712"/>
      <w:r>
        <w:t>Färdigförhandlad II-punkt från möte i Coreper I 2013-11-15 som kan tas som A-punkt vid kommande rådsmöte.</w:t>
      </w:r>
      <w:bookmarkEnd w:id="55"/>
    </w:p>
    <w:p w:rsidR="00F84D00" w:rsidRDefault="00F84D00" w:rsidP="00AF2B2B">
      <w:pPr>
        <w:pStyle w:val="Heading2"/>
        <w:numPr>
          <w:ilvl w:val="0"/>
          <w:numId w:val="14"/>
        </w:numPr>
        <w:rPr>
          <w:lang w:eastAsia="en-GB"/>
        </w:rPr>
      </w:pPr>
      <w:bookmarkStart w:id="56" w:name="_Toc372292713"/>
      <w:r>
        <w:rPr>
          <w:lang w:eastAsia="en-GB"/>
        </w:rPr>
        <w:t>Förslag till rådets förordning om ändring av förordningarna (EG) nr 754/2009, (EU) nr 1262/2012, (EU) nr 39/2013 och (EU) nr 40/2013 vad gäller vissa fiskemöjligheter- Antagande</w:t>
      </w:r>
      <w:bookmarkEnd w:id="56"/>
    </w:p>
    <w:p w:rsidR="00F84D00" w:rsidRDefault="00F84D00" w:rsidP="00AF2B2B">
      <w:pPr>
        <w:pStyle w:val="RKnormal"/>
        <w:tabs>
          <w:tab w:val="clear" w:pos="1843"/>
          <w:tab w:val="left" w:pos="0"/>
        </w:tabs>
        <w:ind w:left="0"/>
      </w:pPr>
    </w:p>
    <w:p w:rsidR="00F84D00" w:rsidRDefault="00F84D00" w:rsidP="00AF2B2B">
      <w:pPr>
        <w:pStyle w:val="RKnormal"/>
        <w:tabs>
          <w:tab w:val="clear" w:pos="1843"/>
          <w:tab w:val="left" w:pos="0"/>
        </w:tabs>
        <w:ind w:left="0"/>
      </w:pPr>
      <w:r>
        <w:t>15952/13</w:t>
      </w:r>
    </w:p>
    <w:p w:rsidR="00F84D00" w:rsidRDefault="00F84D00" w:rsidP="00AF2B2B">
      <w:pPr>
        <w:pStyle w:val="RKnormal"/>
        <w:tabs>
          <w:tab w:val="clear" w:pos="1843"/>
          <w:tab w:val="left" w:pos="0"/>
        </w:tabs>
        <w:ind w:left="0"/>
      </w:pPr>
    </w:p>
    <w:p w:rsidR="00F84D00" w:rsidRPr="00E97E2E" w:rsidRDefault="00F84D00" w:rsidP="00AF2B2B">
      <w:r>
        <w:t>Ansvarigt departement: Landsbygdsdepartementet</w:t>
      </w:r>
    </w:p>
    <w:p w:rsidR="00F84D00" w:rsidRDefault="00F84D00" w:rsidP="00AF2B2B">
      <w:pPr>
        <w:pStyle w:val="RKnormal"/>
        <w:tabs>
          <w:tab w:val="clear" w:pos="1843"/>
          <w:tab w:val="left" w:pos="0"/>
        </w:tabs>
        <w:ind w:left="0"/>
      </w:pPr>
    </w:p>
    <w:p w:rsidR="00F84D00" w:rsidRPr="00E97E2E" w:rsidRDefault="00F84D00" w:rsidP="00AF2B2B">
      <w:r>
        <w:t>Ansvarigt statsråd: Eskil Erlandsson</w:t>
      </w:r>
    </w:p>
    <w:p w:rsidR="00F84D00" w:rsidRDefault="00F84D00" w:rsidP="00AF2B2B">
      <w:pPr>
        <w:pStyle w:val="RKnormal"/>
        <w:tabs>
          <w:tab w:val="clear" w:pos="1843"/>
          <w:tab w:val="left" w:pos="0"/>
        </w:tabs>
        <w:ind w:left="0"/>
      </w:pPr>
    </w:p>
    <w:p w:rsidR="00F84D00" w:rsidRDefault="00F84D00" w:rsidP="00AF2B2B">
      <w:r>
        <w:t>Godkänd av Coreper I den 15 november 2013</w:t>
      </w:r>
    </w:p>
    <w:p w:rsidR="00F84D00" w:rsidRDefault="00F84D00" w:rsidP="00AF2B2B"/>
    <w:p w:rsidR="00F84D00" w:rsidRDefault="00F84D00" w:rsidP="00B236A9">
      <w:r>
        <w:t xml:space="preserve">Avsikt med behandlingen i rådet: </w:t>
      </w:r>
    </w:p>
    <w:p w:rsidR="00F84D00" w:rsidRDefault="00F84D00" w:rsidP="00B236A9">
      <w:r>
        <w:t>Rådet föreslås anta ändringar av förordningar om vissa fiskemöjligheter 2013.</w:t>
      </w:r>
    </w:p>
    <w:p w:rsidR="00F84D00" w:rsidRDefault="00F84D00" w:rsidP="00B236A9"/>
    <w:p w:rsidR="00F84D00" w:rsidRDefault="00F84D00" w:rsidP="00B236A9">
      <w:r>
        <w:t xml:space="preserve">Hur regeringen ställer sig till den blivande A-punkten: </w:t>
      </w:r>
    </w:p>
    <w:p w:rsidR="00F84D00" w:rsidRDefault="00F84D00" w:rsidP="00B236A9">
      <w:r>
        <w:t xml:space="preserve">Regeringen avser rösta ja till att </w:t>
      </w:r>
      <w:bookmarkStart w:id="57" w:name="_GoBack"/>
      <w:bookmarkEnd w:id="57"/>
      <w:r>
        <w:t xml:space="preserve">rådet antar ändringar av förordningar om vissa fiskemöjligheter 2013. </w:t>
      </w:r>
    </w:p>
    <w:p w:rsidR="00F84D00" w:rsidRDefault="00F84D00" w:rsidP="00B236A9"/>
    <w:p w:rsidR="00F84D00" w:rsidRDefault="00F84D00" w:rsidP="00B236A9">
      <w:r>
        <w:t xml:space="preserve">Bakgrund: </w:t>
      </w:r>
    </w:p>
    <w:p w:rsidR="00F84D00" w:rsidRDefault="00F84D00" w:rsidP="00B236A9">
      <w:r>
        <w:t xml:space="preserve">De årliga </w:t>
      </w:r>
      <w:r w:rsidRPr="00B44E4F">
        <w:t>TAC (totalt tillåten fångst) och</w:t>
      </w:r>
      <w:r>
        <w:t xml:space="preserve"> kvoterna för Västerhavet och övriga områden, förutom Östersjön, Svarta Havet och Medelhavet, är för 2013 uppdelade i två årliga förordningar. Dels förordning (EU) nr 39/2013 som gäller fiskbestånd som inte omfattas av internationella förhandlingar och dels förordning (EU) nr 40/2013 när det gäller fiskbestånd som omfattas av internationella förhandlingar. Vid behov revideras TAC och kvotförordningarna under året. Även TAC och kvotförordningen för djuphavsarter (förordning (EU) nr 1262/2012) samt förordning 754/2009 omfattas av förslaget. Förordning (EU) nr 754/2009 medger undantag för vissa fartygsgrupper från ES och SE från regimen för fiskeansträngning inom ramen för den långsiktiga planen för torsk i Västerhavet. </w:t>
      </w:r>
    </w:p>
    <w:p w:rsidR="00F84D00" w:rsidRDefault="00F84D00" w:rsidP="00B236A9"/>
    <w:p w:rsidR="00F84D00" w:rsidRDefault="00F84D00" w:rsidP="00B236A9">
      <w:r>
        <w:t xml:space="preserve">Ändringarna avser en ökning av TAC för nordlig kummel, sandskädda och piggvar samt vissa förändringar av möjligheten till flexibilitet mellan åren. </w:t>
      </w:r>
    </w:p>
    <w:p w:rsidR="00F84D00" w:rsidRPr="00E97E2E" w:rsidRDefault="00F84D00" w:rsidP="00AF2B2B"/>
    <w:p w:rsidR="00F84D00" w:rsidRDefault="00F84D00" w:rsidP="00AF2B2B">
      <w:pPr>
        <w:pStyle w:val="RKnormal"/>
        <w:tabs>
          <w:tab w:val="clear" w:pos="1843"/>
          <w:tab w:val="left" w:pos="0"/>
        </w:tabs>
        <w:ind w:left="0"/>
      </w:pPr>
    </w:p>
    <w:p w:rsidR="00F84D00" w:rsidRDefault="00F84D00" w:rsidP="00B236A9">
      <w:pPr>
        <w:pStyle w:val="Default"/>
      </w:pPr>
    </w:p>
    <w:p w:rsidR="00F84D00" w:rsidRPr="00AF2B2B" w:rsidRDefault="00F84D00" w:rsidP="00B236A9">
      <w:pPr>
        <w:pStyle w:val="RKnormal"/>
      </w:pPr>
    </w:p>
    <w:sectPr w:rsidR="00F84D00" w:rsidRPr="00AF2B2B" w:rsidSect="00EB3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311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D00" w:rsidRDefault="00F84D00">
      <w:r>
        <w:separator/>
      </w:r>
    </w:p>
  </w:endnote>
  <w:endnote w:type="continuationSeparator" w:id="1">
    <w:p w:rsidR="00F84D00" w:rsidRDefault="00F84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00" w:rsidRDefault="00F84D00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F84D00" w:rsidRDefault="00F84D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00" w:rsidRDefault="00F84D00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F84D00" w:rsidRDefault="00F84D0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00" w:rsidRDefault="00F84D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D00" w:rsidRDefault="00F84D00">
      <w:r>
        <w:separator/>
      </w:r>
    </w:p>
  </w:footnote>
  <w:footnote w:type="continuationSeparator" w:id="1">
    <w:p w:rsidR="00F84D00" w:rsidRDefault="00F84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00" w:rsidRDefault="00F84D00">
    <w:pPr>
      <w:pStyle w:val="Header"/>
      <w:framePr w:wrap="around" w:vAnchor="text" w:hAnchor="margin" w:xAlign="right" w:y="1"/>
      <w:rPr>
        <w:rStyle w:val="PageNumber"/>
      </w:rPr>
    </w:pPr>
  </w:p>
  <w:p w:rsidR="00F84D00" w:rsidRDefault="00F84D00">
    <w:pPr>
      <w:pStyle w:val="Header"/>
      <w:ind w:right="360"/>
    </w:pPr>
  </w:p>
  <w:p w:rsidR="00F84D00" w:rsidRDefault="00F84D00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00" w:rsidRDefault="00F84D00">
    <w:pPr>
      <w:framePr w:w="2948" w:h="1321" w:hRule="exact" w:wrap="notBeside" w:vAnchor="page" w:hAnchor="page" w:x="1362" w:y="653"/>
    </w:pPr>
    <w:r w:rsidRPr="007B73AB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.75pt;visibility:visible">
          <v:imagedata r:id="rId1" o:title=""/>
        </v:shape>
      </w:pict>
    </w:r>
  </w:p>
  <w:p w:rsidR="00F84D00" w:rsidRDefault="00F84D00">
    <w:pPr>
      <w:pStyle w:val="Header"/>
    </w:pPr>
  </w:p>
  <w:p w:rsidR="00F84D00" w:rsidRDefault="00F84D00">
    <w:pPr>
      <w:pStyle w:val="Header"/>
      <w:ind w:right="360"/>
    </w:pPr>
  </w:p>
  <w:p w:rsidR="00F84D00" w:rsidRDefault="00F84D00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00" w:rsidRDefault="00F84D00">
    <w:pPr>
      <w:framePr w:w="2948" w:h="1321" w:hRule="exact" w:wrap="notBeside" w:vAnchor="page" w:hAnchor="page" w:x="1362" w:y="653"/>
    </w:pPr>
    <w:r w:rsidRPr="007B73AB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8" type="#_x0000_t75" style="width:147pt;height:66pt;visibility:visible">
          <v:imagedata r:id="rId1" o:title=""/>
        </v:shape>
      </w:pict>
    </w:r>
  </w:p>
  <w:p w:rsidR="00F84D00" w:rsidRDefault="00F84D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1A0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>
    <w:nsid w:val="200F177A"/>
    <w:multiLevelType w:val="hybridMultilevel"/>
    <w:tmpl w:val="8C923AB0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5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6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9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2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  <w:num w:numId="14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E97E2E"/>
    <w:rsid w:val="000A1FFE"/>
    <w:rsid w:val="000B5449"/>
    <w:rsid w:val="000F25E3"/>
    <w:rsid w:val="00102E8B"/>
    <w:rsid w:val="001E0F4D"/>
    <w:rsid w:val="0026163D"/>
    <w:rsid w:val="003622CA"/>
    <w:rsid w:val="003643F1"/>
    <w:rsid w:val="0037150B"/>
    <w:rsid w:val="004B749F"/>
    <w:rsid w:val="005A23F9"/>
    <w:rsid w:val="005C212F"/>
    <w:rsid w:val="005D2A10"/>
    <w:rsid w:val="005F1820"/>
    <w:rsid w:val="006D1650"/>
    <w:rsid w:val="006F4342"/>
    <w:rsid w:val="0074355B"/>
    <w:rsid w:val="00770686"/>
    <w:rsid w:val="0078300E"/>
    <w:rsid w:val="007B73AB"/>
    <w:rsid w:val="007D0CC4"/>
    <w:rsid w:val="007E5BB7"/>
    <w:rsid w:val="00842675"/>
    <w:rsid w:val="00847B54"/>
    <w:rsid w:val="00936272"/>
    <w:rsid w:val="00951F39"/>
    <w:rsid w:val="009A63D9"/>
    <w:rsid w:val="009D09DD"/>
    <w:rsid w:val="00A051FA"/>
    <w:rsid w:val="00A72123"/>
    <w:rsid w:val="00AC109C"/>
    <w:rsid w:val="00AC7DFF"/>
    <w:rsid w:val="00AD4C1A"/>
    <w:rsid w:val="00AF0928"/>
    <w:rsid w:val="00AF2B2B"/>
    <w:rsid w:val="00B11D1E"/>
    <w:rsid w:val="00B236A9"/>
    <w:rsid w:val="00B44E4F"/>
    <w:rsid w:val="00BA2A8E"/>
    <w:rsid w:val="00BA6B91"/>
    <w:rsid w:val="00BE755D"/>
    <w:rsid w:val="00C549CE"/>
    <w:rsid w:val="00D30FB5"/>
    <w:rsid w:val="00D62CB0"/>
    <w:rsid w:val="00D84070"/>
    <w:rsid w:val="00E0287E"/>
    <w:rsid w:val="00E97E2E"/>
    <w:rsid w:val="00EB3686"/>
    <w:rsid w:val="00EC3C7C"/>
    <w:rsid w:val="00ED46E6"/>
    <w:rsid w:val="00ED5DCC"/>
    <w:rsid w:val="00F02F6F"/>
    <w:rsid w:val="00F056A7"/>
    <w:rsid w:val="00F84D00"/>
    <w:rsid w:val="00FC1BF2"/>
    <w:rsid w:val="00FD140D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86"/>
    <w:pPr>
      <w:spacing w:line="320" w:lineRule="atLeast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EB3686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EB3686"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Heading3">
    <w:name w:val="heading 3"/>
    <w:basedOn w:val="Heading2"/>
    <w:next w:val="RKnormal"/>
    <w:link w:val="Heading3Char"/>
    <w:uiPriority w:val="99"/>
    <w:qFormat/>
    <w:rsid w:val="00EB3686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EB3686"/>
    <w:pPr>
      <w:spacing w:after="40"/>
      <w:outlineLvl w:val="3"/>
    </w:pPr>
    <w:rPr>
      <w:rFonts w:ascii="OrigGarmnd BT" w:hAnsi="OrigGarmnd BT"/>
      <w:b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B3686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22CA"/>
    <w:rPr>
      <w:rFonts w:ascii="TradeGothic" w:hAnsi="TradeGothic" w:cs="Times New Roman"/>
      <w:b/>
      <w:kern w:val="28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48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48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48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48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RKnormal">
    <w:name w:val="RKnormal"/>
    <w:basedOn w:val="Normal"/>
    <w:link w:val="RKnormalChar"/>
    <w:uiPriority w:val="99"/>
    <w:rsid w:val="00EB3686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uiPriority w:val="99"/>
    <w:rsid w:val="00EB3686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EB3686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2348E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B36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48E"/>
    <w:rPr>
      <w:rFonts w:ascii="OrigGarmnd BT" w:hAnsi="OrigGarmnd BT"/>
      <w:sz w:val="24"/>
      <w:szCs w:val="20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EB3686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EB368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B3686"/>
    <w:pPr>
      <w:spacing w:line="320" w:lineRule="exac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348E"/>
    <w:rPr>
      <w:rFonts w:ascii="OrigGarmnd BT" w:hAnsi="OrigGarmnd BT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B3686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48E"/>
    <w:rPr>
      <w:rFonts w:ascii="OrigGarmnd BT" w:hAnsi="OrigGarmnd BT"/>
      <w:sz w:val="20"/>
      <w:szCs w:val="20"/>
      <w:lang w:eastAsia="en-US"/>
    </w:rPr>
  </w:style>
  <w:style w:type="paragraph" w:customStyle="1" w:styleId="UDrubrik">
    <w:name w:val="UDrubrik"/>
    <w:basedOn w:val="Normal"/>
    <w:next w:val="BodyText"/>
    <w:uiPriority w:val="99"/>
    <w:rsid w:val="00EB3686"/>
    <w:pPr>
      <w:spacing w:line="320" w:lineRule="exact"/>
    </w:pPr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99"/>
    <w:rsid w:val="00EB3686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99"/>
    <w:rsid w:val="00EB3686"/>
    <w:pPr>
      <w:spacing w:before="240"/>
    </w:pPr>
    <w:rPr>
      <w:rFonts w:ascii="Times New Roman" w:hAnsi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EB3686"/>
    <w:pPr>
      <w:ind w:left="24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EB3686"/>
    <w:pPr>
      <w:ind w:left="48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EB3686"/>
    <w:pPr>
      <w:ind w:left="72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EB3686"/>
    <w:pPr>
      <w:ind w:left="96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EB3686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EB3686"/>
    <w:pPr>
      <w:ind w:left="144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EB3686"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uiPriority w:val="99"/>
    <w:rsid w:val="00EB3686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EB3686"/>
    <w:rPr>
      <w:rFonts w:cs="Times New Roman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EB3686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EB3686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rsid w:val="00EB3686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rsid w:val="00EB3686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rsid w:val="00EB3686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rsid w:val="00EB3686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rsid w:val="00EB3686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EB3686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rsid w:val="00EB3686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rsid w:val="00EB3686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uiPriority w:val="99"/>
    <w:rsid w:val="00EB3686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">
    <w:name w:val="Brdtext"/>
    <w:basedOn w:val="Normal"/>
    <w:next w:val="Normal"/>
    <w:uiPriority w:val="99"/>
    <w:rsid w:val="00EB3686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uiPriority w:val="99"/>
    <w:rsid w:val="00EB3686"/>
    <w:pPr>
      <w:spacing w:line="240" w:lineRule="auto"/>
    </w:pPr>
    <w:rPr>
      <w:rFonts w:ascii="Arial" w:hAnsi="Arial"/>
      <w:i/>
      <w:lang w:val="en-GB"/>
    </w:rPr>
  </w:style>
  <w:style w:type="character" w:styleId="Hyperlink">
    <w:name w:val="Hyperlink"/>
    <w:basedOn w:val="DefaultParagraphFont"/>
    <w:uiPriority w:val="99"/>
    <w:rsid w:val="00EB3686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B368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348E"/>
    <w:rPr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EB3686"/>
    <w:rPr>
      <w:rFonts w:cs="Times New Roman"/>
      <w:color w:val="800080"/>
      <w:u w:val="single"/>
    </w:rPr>
  </w:style>
  <w:style w:type="paragraph" w:customStyle="1" w:styleId="Par-number10">
    <w:name w:val="Par-number 1)"/>
    <w:basedOn w:val="Normal"/>
    <w:next w:val="Normal"/>
    <w:uiPriority w:val="99"/>
    <w:rsid w:val="00EB3686"/>
    <w:pPr>
      <w:widowControl w:val="0"/>
      <w:numPr>
        <w:numId w:val="9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uiPriority w:val="99"/>
    <w:rsid w:val="00EB3686"/>
    <w:pPr>
      <w:widowControl w:val="0"/>
      <w:numPr>
        <w:numId w:val="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uiPriority w:val="99"/>
    <w:rsid w:val="00EB3686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uiPriority w:val="99"/>
    <w:rsid w:val="00EB3686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EB3686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uiPriority w:val="99"/>
    <w:rsid w:val="00EB3686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uiPriority w:val="99"/>
    <w:rsid w:val="00EB3686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uiPriority w:val="99"/>
    <w:rsid w:val="00EB3686"/>
    <w:pPr>
      <w:widowControl w:val="0"/>
      <w:numPr>
        <w:numId w:val="11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uiPriority w:val="99"/>
    <w:rsid w:val="00EB3686"/>
    <w:pPr>
      <w:widowControl w:val="0"/>
      <w:numPr>
        <w:numId w:val="1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uiPriority w:val="99"/>
    <w:rsid w:val="00EB3686"/>
    <w:pPr>
      <w:numPr>
        <w:numId w:val="13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Indent">
    <w:name w:val="Normal Indent"/>
    <w:basedOn w:val="Normal"/>
    <w:uiPriority w:val="99"/>
    <w:rsid w:val="00EB3686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EB3686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348E"/>
    <w:rPr>
      <w:rFonts w:ascii="OrigGarmnd BT" w:hAnsi="OrigGarmnd BT"/>
      <w:sz w:val="20"/>
      <w:szCs w:val="20"/>
      <w:lang w:eastAsia="en-US"/>
    </w:rPr>
  </w:style>
  <w:style w:type="paragraph" w:customStyle="1" w:styleId="EntRefer">
    <w:name w:val="EntRefer"/>
    <w:basedOn w:val="Normal"/>
    <w:uiPriority w:val="99"/>
    <w:rsid w:val="00EB3686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uiPriority w:val="99"/>
    <w:rsid w:val="00EB3686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uiPriority w:val="99"/>
    <w:rsid w:val="00EB3686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uiPriority w:val="99"/>
    <w:rsid w:val="00EB3686"/>
    <w:pPr>
      <w:widowControl w:val="0"/>
      <w:numPr>
        <w:numId w:val="3"/>
      </w:numPr>
      <w:spacing w:line="360" w:lineRule="auto"/>
    </w:pPr>
    <w:rPr>
      <w:rFonts w:ascii="Times New Roman" w:hAnsi="Times New Roman"/>
      <w:lang w:eastAsia="fr-BE"/>
    </w:rPr>
  </w:style>
  <w:style w:type="paragraph" w:styleId="ListBullet">
    <w:name w:val="List Bullet"/>
    <w:basedOn w:val="Normal"/>
    <w:autoRedefine/>
    <w:uiPriority w:val="99"/>
    <w:rsid w:val="00EB3686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0">
    <w:name w:val="Brˆdtext"/>
    <w:basedOn w:val="Normal"/>
    <w:uiPriority w:val="99"/>
    <w:rsid w:val="00EB3686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DefaultParagraphFont"/>
    <w:uiPriority w:val="99"/>
    <w:rsid w:val="00EB3686"/>
    <w:rPr>
      <w:rFonts w:cs="Times New Roman"/>
    </w:rPr>
  </w:style>
  <w:style w:type="paragraph" w:customStyle="1" w:styleId="Brdtexthuvud">
    <w:name w:val="Brödtext huvud"/>
    <w:basedOn w:val="Normal"/>
    <w:uiPriority w:val="99"/>
    <w:rsid w:val="00EB3686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E97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97E2E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26163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163D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Text3">
    <w:name w:val="Text 3"/>
    <w:basedOn w:val="Normal"/>
    <w:uiPriority w:val="99"/>
    <w:rsid w:val="000F25E3"/>
    <w:pPr>
      <w:spacing w:line="240" w:lineRule="auto"/>
      <w:ind w:left="1701"/>
    </w:pPr>
    <w:rPr>
      <w:rFonts w:ascii="Times New Roman" w:hAnsi="Times New Roman"/>
      <w:szCs w:val="24"/>
    </w:rPr>
  </w:style>
  <w:style w:type="paragraph" w:customStyle="1" w:styleId="PointManual">
    <w:name w:val="Point Manual"/>
    <w:basedOn w:val="Normal"/>
    <w:uiPriority w:val="99"/>
    <w:rsid w:val="000F25E3"/>
    <w:pPr>
      <w:spacing w:before="200" w:line="240" w:lineRule="auto"/>
      <w:ind w:left="567" w:hanging="567"/>
    </w:pPr>
    <w:rPr>
      <w:rFonts w:ascii="Times New Roman" w:hAnsi="Times New Roman"/>
      <w:szCs w:val="24"/>
    </w:rPr>
  </w:style>
  <w:style w:type="character" w:customStyle="1" w:styleId="RKnormalChar">
    <w:name w:val="RKnormal Char"/>
    <w:link w:val="RKnormal"/>
    <w:uiPriority w:val="99"/>
    <w:locked/>
    <w:rsid w:val="007D0CC4"/>
    <w:rPr>
      <w:rFonts w:ascii="OrigGarmnd BT" w:hAnsi="OrigGarmnd BT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AF2B2B"/>
    <w:pPr>
      <w:ind w:left="720"/>
      <w:contextualSpacing/>
    </w:pPr>
  </w:style>
  <w:style w:type="paragraph" w:customStyle="1" w:styleId="Default">
    <w:name w:val="Default"/>
    <w:uiPriority w:val="99"/>
    <w:rsid w:val="00B236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394</Words>
  <Characters>2386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/>
  <dc:creator>Pia Johnsen</dc:creator>
  <cp:keywords/>
  <dc:description/>
  <cp:lastModifiedBy>jn0806ab</cp:lastModifiedBy>
  <cp:revision>2</cp:revision>
  <cp:lastPrinted>2013-11-14T13:55:00Z</cp:lastPrinted>
  <dcterms:created xsi:type="dcterms:W3CDTF">2013-11-15T15:00:00Z</dcterms:created>
  <dcterms:modified xsi:type="dcterms:W3CDTF">2013-11-15T15:00:00Z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0x01010053E1D612BA3F4E21AA250ECD751942B3009C7E30FED4CE7541B6BEEAC5BBDA3952</vt:lpwstr>
  </property>
  <property fmtid="{D5CDD505-2E9C-101B-9397-08002B2CF9AE}" pid="9" name="Departementsenhet">
    <vt:lpwstr/>
  </property>
  <property fmtid="{D5CDD505-2E9C-101B-9397-08002B2CF9AE}" pid="10" name="Aktivitetskategori">
    <vt:lpwstr/>
  </property>
  <property fmtid="{D5CDD505-2E9C-101B-9397-08002B2CF9AE}" pid="11" name="_dlc_DocIdItemGuid">
    <vt:lpwstr>b164c795-0bda-4f8c-a491-e2a1d3752472</vt:lpwstr>
  </property>
  <property fmtid="{D5CDD505-2E9C-101B-9397-08002B2CF9AE}" pid="12" name="TaxCatchAll">
    <vt:lpwstr/>
  </property>
  <property fmtid="{D5CDD505-2E9C-101B-9397-08002B2CF9AE}" pid="13" name="Sekretess">
    <vt:lpwstr/>
  </property>
  <property fmtid="{D5CDD505-2E9C-101B-9397-08002B2CF9AE}" pid="14" name="RKOrdnaCheckInComment">
    <vt:lpwstr/>
  </property>
  <property fmtid="{D5CDD505-2E9C-101B-9397-08002B2CF9AE}" pid="15" name="c9cd366cc722410295b9eacffbd73909">
    <vt:lpwstr/>
  </property>
  <property fmtid="{D5CDD505-2E9C-101B-9397-08002B2CF9AE}" pid="16" name="Diarienummer">
    <vt:lpwstr/>
  </property>
  <property fmtid="{D5CDD505-2E9C-101B-9397-08002B2CF9AE}" pid="17" name="k46d94c0acf84ab9a79866a9d8b1905f">
    <vt:lpwstr/>
  </property>
  <property fmtid="{D5CDD505-2E9C-101B-9397-08002B2CF9AE}" pid="18" name="RKOrdnaClass">
    <vt:lpwstr/>
  </property>
  <property fmtid="{D5CDD505-2E9C-101B-9397-08002B2CF9AE}" pid="19" name="_dlc_DocId">
    <vt:lpwstr>JE6N4JFJXNNF-9-59290</vt:lpwstr>
  </property>
  <property fmtid="{D5CDD505-2E9C-101B-9397-08002B2CF9AE}" pid="20" name="_dlc_DocIdUrl">
    <vt:lpwstr>http://rkdhs-sb/enhet/EUKansli/_layouts/DocIdRedir.aspx?ID=JE6N4JFJXNNF-9-59290, JE6N4JFJXNNF-9-59290</vt:lpwstr>
  </property>
</Properties>
</file>