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6CA" w:rsidRPr="004E06CA" w:rsidRDefault="004E06CA">
      <w:pPr>
        <w:pStyle w:val="Hemstlrubrik"/>
        <w:shd w:val="clear" w:color="000000" w:fill="auto"/>
      </w:pPr>
      <w:r w:rsidRPr="004E06CA">
        <w:t>Förslag till riksdagsbeslut</w:t>
      </w:r>
    </w:p>
    <w:p w:rsidR="004E06CA" w:rsidRPr="004E06CA" w:rsidRDefault="004E06CA">
      <w:pPr>
        <w:pStyle w:val="Hemstlatt"/>
        <w:shd w:val="clear" w:color="000000" w:fill="auto"/>
        <w:ind w:left="0"/>
      </w:pPr>
      <w:r w:rsidRPr="004E06CA">
        <w:t>Riksdagen tillkännager för regeringen som sin mening vad som anförs i motionen om Linköpings universitet.</w:t>
      </w:r>
    </w:p>
    <w:p w:rsidR="004E06CA" w:rsidRPr="004E06CA" w:rsidRDefault="004E06CA">
      <w:pPr>
        <w:shd w:val="clear" w:color="000000" w:fill="auto"/>
      </w:pPr>
    </w:p>
    <w:p w:rsidR="004E06CA" w:rsidRPr="004E06CA" w:rsidRDefault="004E06CA">
      <w:pPr>
        <w:pStyle w:val="Rubrik2"/>
        <w:shd w:val="clear" w:color="000000" w:fill="auto"/>
        <w:spacing w:line="300" w:lineRule="auto"/>
        <w:rPr>
          <w:color w:val="000000"/>
          <w:szCs w:val="24"/>
        </w:rPr>
      </w:pPr>
      <w:r w:rsidRPr="004E06CA">
        <w:rPr>
          <w:color w:val="000000"/>
          <w:szCs w:val="24"/>
        </w:rPr>
        <w:t>Aktuell probleminventering för Linköpings universitet</w:t>
      </w:r>
    </w:p>
    <w:p w:rsidR="004E06CA" w:rsidRPr="004E06CA" w:rsidRDefault="004E06CA">
      <w:pPr>
        <w:shd w:val="clear" w:color="000000" w:fill="auto"/>
        <w:spacing w:before="0"/>
      </w:pPr>
      <w:r w:rsidRPr="004E06CA">
        <w:t>Det allvarligaste finansiella problemet som Linköpings universitet lider av sedan flera år är den kraftiga obalansen mellan de olika statliga anslagen till grundutbildning visavi forskning. Nuvarande resurstilldelningssystem för grundläggande högskoleutbildning trädde i kraft den 1 juli 1993. Enligt detta tilldelas lärosätena resurser baserat på resultat i form av helårsstudenter och helårsprestationer med ett så kallat takbelopp som utgör den högsta ersät</w:t>
      </w:r>
      <w:r w:rsidRPr="004E06CA">
        <w:t>t</w:t>
      </w:r>
      <w:r w:rsidRPr="004E06CA">
        <w:t>ningen som lärosätet kan erhålla från staten. Men enligt riksdagens utre</w:t>
      </w:r>
      <w:r w:rsidRPr="004E06CA">
        <w:t>d</w:t>
      </w:r>
      <w:r w:rsidRPr="004E06CA">
        <w:t>ningstjänst (RUT dnr 2006:2211) redovisas inga principer för takbeloppets storlek, mer än att dessa ”sätts i dialog mellan Utbildningsdepartementet och lärosätena”. Det kan därför misstänkas att en mängd faktorer spelar en roll för takbeloppens storlek, varav den viktigaste troligen är och förblir den histori</w:t>
      </w:r>
      <w:r w:rsidRPr="004E06CA">
        <w:t>s</w:t>
      </w:r>
      <w:r w:rsidRPr="004E06CA">
        <w:t>ka. I sig är detta problematiskt för det gynnar inte med nödvändighet en sund konkurrens mellan lärosätena om studenternas guns</w:t>
      </w:r>
      <w:r w:rsidRPr="004E06CA">
        <w:t>t. En sådan ordning tillhör inte ett demokratiskt samhälle.</w:t>
      </w:r>
    </w:p>
    <w:p w:rsidR="004E06CA" w:rsidRPr="004E06CA" w:rsidRDefault="004E06CA">
      <w:pPr>
        <w:pStyle w:val="Normaltindrag"/>
        <w:shd w:val="clear" w:color="000000" w:fill="auto"/>
      </w:pPr>
      <w:r w:rsidRPr="004E06CA">
        <w:t>Linköpings universitet redovisar i allt väsentligt kontinuerligt en högtst</w:t>
      </w:r>
      <w:r w:rsidRPr="004E06CA">
        <w:t>å</w:t>
      </w:r>
      <w:r w:rsidRPr="004E06CA">
        <w:t>ende grundutbildning avseende kvalitet men också mycket goda prestationer mätt med olika kvantitativa mått i utvärderingar gjorda tillsammans med Högskoleverket. Takbeloppen har också legat på ungefär samma nivå som Uppsala och Umeå universitet, men till skillnad från dessa har de i stort sett överskridits vid Linköpings universitet under en lång rad av år, vilket visar på en överproduktion i förhållande till finansieringen av grundutbildningen.</w:t>
      </w:r>
    </w:p>
    <w:p w:rsidR="004E06CA" w:rsidRPr="004E06CA" w:rsidRDefault="004E06CA">
      <w:pPr>
        <w:pStyle w:val="Normaltindrag"/>
        <w:shd w:val="clear" w:color="000000" w:fill="auto"/>
      </w:pPr>
      <w:r w:rsidRPr="004E06CA">
        <w:t>Tittar man sedan på anslagen för forskning och forskarutbildn</w:t>
      </w:r>
      <w:r w:rsidRPr="004E06CA">
        <w:t>ing blir bi</w:t>
      </w:r>
      <w:r w:rsidRPr="004E06CA">
        <w:t>l</w:t>
      </w:r>
      <w:r w:rsidRPr="004E06CA">
        <w:t xml:space="preserve">den en annan. Trots att Linköpings universitet har en bland högsta andelarna </w:t>
      </w:r>
      <w:r w:rsidRPr="004E06CA">
        <w:lastRenderedPageBreak/>
        <w:t>av externfinansiering för denna till grundutbildningen kopplade universitet</w:t>
      </w:r>
      <w:r w:rsidRPr="004E06CA">
        <w:t>s</w:t>
      </w:r>
      <w:r w:rsidRPr="004E06CA">
        <w:t>uppgift i en jämförelse med de sex stora universiteten, har Linköpings unive</w:t>
      </w:r>
      <w:r w:rsidRPr="004E06CA">
        <w:t>r</w:t>
      </w:r>
      <w:r w:rsidRPr="004E06CA">
        <w:t>sitet ständigt haft en lägre andel statliga medel anslagna för forskning och forskarutbildning. Detta till trots är även här såväl kvalitet som kvantitet mycket hög vid Linköping universitet, mätt bland annat som antalet disput</w:t>
      </w:r>
      <w:r w:rsidRPr="004E06CA">
        <w:t>a</w:t>
      </w:r>
      <w:r w:rsidRPr="004E06CA">
        <w:t>tioner per år och deras relativa kostnad s</w:t>
      </w:r>
      <w:r w:rsidRPr="004E06CA">
        <w:t>tälld i relation till anslagets storlek.</w:t>
      </w:r>
    </w:p>
    <w:p w:rsidR="004E06CA" w:rsidRPr="004E06CA" w:rsidRDefault="004E06CA">
      <w:pPr>
        <w:pStyle w:val="Normaltindrag"/>
        <w:shd w:val="clear" w:color="000000" w:fill="auto"/>
      </w:pPr>
      <w:r w:rsidRPr="004E06CA">
        <w:t>Det akuta problem som nu uppstått för Linköpings universitet med den obalanserade situationen för anslagsfinansiering av grundutbildning och fors</w:t>
      </w:r>
      <w:r w:rsidRPr="004E06CA">
        <w:t>k</w:t>
      </w:r>
      <w:r w:rsidRPr="004E06CA">
        <w:t>ning kan hänföras till två huvudfaktorer som sammanhänger inbördes genom den typ av anslagsfinansiering som för tillfället gäller: 1) antalet s</w:t>
      </w:r>
      <w:r w:rsidRPr="004E06CA">
        <w:t>ö</w:t>
      </w:r>
      <w:r w:rsidRPr="004E06CA">
        <w:t>kande till universitetens grundutbildningar har minskat generellt i landet u</w:t>
      </w:r>
      <w:r w:rsidRPr="004E06CA">
        <w:t>n</w:t>
      </w:r>
      <w:r w:rsidRPr="004E06CA">
        <w:t>der senare år och 2) den som då har en hög kvot mellan storleken på anslagen för grundu</w:t>
      </w:r>
      <w:r w:rsidRPr="004E06CA">
        <w:t>t</w:t>
      </w:r>
      <w:r w:rsidRPr="004E06CA">
        <w:t>bildning jämfört med forskning kommer att drabbas extra hårt av detta. Eftersom Linköpings universitet har den högsta kvoten mellan grundu</w:t>
      </w:r>
      <w:r w:rsidRPr="004E06CA">
        <w:t>t</w:t>
      </w:r>
      <w:r w:rsidRPr="004E06CA">
        <w:t>bildning</w:t>
      </w:r>
      <w:r w:rsidRPr="004E06CA">
        <w:t>s</w:t>
      </w:r>
      <w:r w:rsidRPr="004E06CA">
        <w:t>anslag och forskning i anslagen av alla våra stora lär</w:t>
      </w:r>
      <w:r w:rsidRPr="004E06CA">
        <w:t>osäten drabbas Link</w:t>
      </w:r>
      <w:r w:rsidRPr="004E06CA">
        <w:t>ö</w:t>
      </w:r>
      <w:r w:rsidRPr="004E06CA">
        <w:t>pings universitet av en sämre nettoutveckling för universitetets samlade finansiering. Vissa åtgärder med högre anslag har vidtagits. De är inte til</w:t>
      </w:r>
      <w:r w:rsidRPr="004E06CA">
        <w:t>l</w:t>
      </w:r>
      <w:r w:rsidRPr="004E06CA">
        <w:t>räckliga, och utöver detta är själva modellen för tilldelning inte tillfredstä</w:t>
      </w:r>
      <w:r w:rsidRPr="004E06CA">
        <w:t>l</w:t>
      </w:r>
      <w:r w:rsidRPr="004E06CA">
        <w:t>lande.</w:t>
      </w:r>
    </w:p>
    <w:p w:rsidR="004E06CA" w:rsidRPr="004E06CA" w:rsidRDefault="004E06CA">
      <w:pPr>
        <w:pStyle w:val="Rubrik2"/>
        <w:shd w:val="clear" w:color="000000" w:fill="auto"/>
        <w:spacing w:line="300" w:lineRule="auto"/>
        <w:rPr>
          <w:color w:val="000000"/>
          <w:szCs w:val="24"/>
        </w:rPr>
      </w:pPr>
      <w:r w:rsidRPr="004E06CA">
        <w:rPr>
          <w:color w:val="000000"/>
          <w:szCs w:val="24"/>
        </w:rPr>
        <w:t>Finansiering av grundutbildning, forskning och forskarutbildning</w:t>
      </w:r>
    </w:p>
    <w:p w:rsidR="004E06CA" w:rsidRPr="004E06CA" w:rsidRDefault="004E06CA">
      <w:pPr>
        <w:shd w:val="clear" w:color="000000" w:fill="auto"/>
        <w:spacing w:before="0"/>
      </w:pPr>
      <w:r w:rsidRPr="004E06CA">
        <w:t>Ekonomiskt självständiga universitet är själva kärnan i en fri och obunden forskning. Därför är det ett problem när lärosäten som Linköpings universitet får en ”akut” obalans mellan anslagen till grundutbildning, som visar på ett underskott, och till forskning och forskarutbildning, som ligger lägst i landet, trots att båda dessa samhörande universitetsuppdrag objektivt sett håller en mycket hög kvalitet vid universitetet. När utbildningsanslagen sviktar blir de orättvist låga fakultetsanslagen till forskn</w:t>
      </w:r>
      <w:r w:rsidRPr="004E06CA">
        <w:t>ing alltmer kännbara. Detta gäller särskilt i ett läge där alltfler externa finansiärer i dag kräver motfinansiering av universiteten för att över huvud taget satsa resurser, oavsett om kvaliteten på forskningen och forskarutbildningen är hög. Detta medför att handlingsu</w:t>
      </w:r>
      <w:r w:rsidRPr="004E06CA">
        <w:t>t</w:t>
      </w:r>
      <w:r w:rsidRPr="004E06CA">
        <w:t>rymmet för Linköpings universitet krymper mer än för andra lärosäten för tillfället. Det kan på sikt försämra möjligheten att vara konkurrenskraftiga på lika villkor på den marknad för sund konkurrens som vi utgår från att rege</w:t>
      </w:r>
      <w:r w:rsidRPr="004E06CA">
        <w:t>r</w:t>
      </w:r>
      <w:r w:rsidRPr="004E06CA">
        <w:t>ingen kommer</w:t>
      </w:r>
      <w:r w:rsidRPr="004E06CA">
        <w:t xml:space="preserve"> att föreslå i forskningspropositionen 2008.</w:t>
      </w:r>
    </w:p>
    <w:p w:rsidR="004E06CA" w:rsidRPr="004E06CA" w:rsidRDefault="004E06CA">
      <w:pPr>
        <w:pStyle w:val="Normaltindrag"/>
        <w:shd w:val="clear" w:color="000000" w:fill="auto"/>
      </w:pPr>
      <w:r w:rsidRPr="004E06CA">
        <w:t>Men innan detta har åstadkommits står det dock helt klart för oss att ett högkvalitativt lärosäte för utbildning och forskning som Linköpings univers</w:t>
      </w:r>
      <w:r w:rsidRPr="004E06CA">
        <w:t>i</w:t>
      </w:r>
      <w:r w:rsidRPr="004E06CA">
        <w:t xml:space="preserve">tet skulle vara betjänt av ett statligt </w:t>
      </w:r>
      <w:r w:rsidRPr="004E06CA">
        <w:rPr>
          <w:rStyle w:val="normaltindragchar"/>
          <w:rFonts w:ascii="Times New Roman" w:hAnsi="Times New Roman"/>
          <w:color w:val="000000"/>
        </w:rPr>
        <w:t>finansieringssystem som bättre buffrade snabba och svårförutsägbara konjunktursvängningar inom universitetens olika ansvars- och uppdragsområden. Annars riskerar man att ”kasta ut barnet med badvattnet”, det vill säga försämra kvaliteten och konkurrenskraften när ko</w:t>
      </w:r>
      <w:r w:rsidRPr="004E06CA">
        <w:rPr>
          <w:rStyle w:val="normaltindragchar"/>
          <w:rFonts w:ascii="Times New Roman" w:hAnsi="Times New Roman"/>
          <w:color w:val="000000"/>
        </w:rPr>
        <w:t>n</w:t>
      </w:r>
      <w:r w:rsidRPr="004E06CA">
        <w:rPr>
          <w:rStyle w:val="normaltindragchar"/>
          <w:rFonts w:ascii="Times New Roman" w:hAnsi="Times New Roman"/>
          <w:color w:val="000000"/>
        </w:rPr>
        <w:t>junkturen mellan utbildning och forskning svänger tillbaka igen. Vi har i dag växande ungdomskullar och en mycket het arbetsmarknad samt en ny utbil</w:t>
      </w:r>
      <w:r w:rsidRPr="004E06CA">
        <w:rPr>
          <w:rStyle w:val="normaltindragchar"/>
          <w:rFonts w:ascii="Times New Roman" w:hAnsi="Times New Roman"/>
          <w:color w:val="000000"/>
        </w:rPr>
        <w:t>d</w:t>
      </w:r>
      <w:r w:rsidRPr="004E06CA">
        <w:rPr>
          <w:rStyle w:val="normaltindragchar"/>
          <w:rFonts w:ascii="Times New Roman" w:hAnsi="Times New Roman"/>
          <w:color w:val="000000"/>
        </w:rPr>
        <w:t>ningsstruktur på många universitet som ingen kan säga h</w:t>
      </w:r>
      <w:r w:rsidRPr="004E06CA">
        <w:rPr>
          <w:rStyle w:val="normaltindragchar"/>
          <w:rFonts w:ascii="Times New Roman" w:hAnsi="Times New Roman"/>
          <w:color w:val="000000"/>
        </w:rPr>
        <w:t>ur studenterna ko</w:t>
      </w:r>
      <w:r w:rsidRPr="004E06CA">
        <w:rPr>
          <w:rStyle w:val="normaltindragchar"/>
          <w:rFonts w:ascii="Times New Roman" w:hAnsi="Times New Roman"/>
          <w:color w:val="000000"/>
        </w:rPr>
        <w:t>m</w:t>
      </w:r>
      <w:r w:rsidRPr="004E06CA">
        <w:rPr>
          <w:rStyle w:val="normaltindragchar"/>
          <w:rFonts w:ascii="Times New Roman" w:hAnsi="Times New Roman"/>
          <w:color w:val="000000"/>
        </w:rPr>
        <w:t>mer att reagera på. Visserligen har Linköpings universitet i likhet med övriga lärosäten till viss del fått ökade medel för att upprätthålla och öka kvaliteten, men medlen räcker ändå inte till, bland annat på grund av löneuppräkningar för lärarstaben och annan personal. Avtalen på arbetsmarknaden råder ju knappast det enskilda lärosätet över, och resurser måste tillföras som täcker parternas överenskommelser om inte tredje man, det vill säga studenterna, ska drabbas av lägre kvalitet i fo</w:t>
      </w:r>
      <w:r w:rsidRPr="004E06CA">
        <w:rPr>
          <w:rStyle w:val="normaltindragchar"/>
          <w:rFonts w:ascii="Times New Roman" w:hAnsi="Times New Roman"/>
          <w:color w:val="000000"/>
        </w:rPr>
        <w:t>rm av mindre undervisningstid. Därtill är unive</w:t>
      </w:r>
      <w:r w:rsidRPr="004E06CA">
        <w:rPr>
          <w:rStyle w:val="normaltindragchar"/>
          <w:rFonts w:ascii="Times New Roman" w:hAnsi="Times New Roman"/>
          <w:color w:val="000000"/>
        </w:rPr>
        <w:t>r</w:t>
      </w:r>
      <w:r w:rsidRPr="004E06CA">
        <w:rPr>
          <w:rStyle w:val="normaltindragchar"/>
          <w:rFonts w:ascii="Times New Roman" w:hAnsi="Times New Roman"/>
          <w:color w:val="000000"/>
        </w:rPr>
        <w:t>sitetet fortfarande bundet att betala in 8 procent i högskolemoms. När utsko</w:t>
      </w:r>
      <w:r w:rsidRPr="004E06CA">
        <w:rPr>
          <w:rStyle w:val="normaltindragchar"/>
          <w:rFonts w:ascii="Times New Roman" w:hAnsi="Times New Roman"/>
          <w:color w:val="000000"/>
        </w:rPr>
        <w:t>t</w:t>
      </w:r>
      <w:r w:rsidRPr="004E06CA">
        <w:rPr>
          <w:rStyle w:val="normaltindragchar"/>
          <w:rFonts w:ascii="Times New Roman" w:hAnsi="Times New Roman"/>
          <w:color w:val="000000"/>
        </w:rPr>
        <w:t>tet förra riksdagsåret avstyrkte en liknande motion som denna, var det med hänvisning bland annat till att högskolemomsen skulle avskaffas. Det är vi</w:t>
      </w:r>
      <w:r w:rsidRPr="004E06CA">
        <w:rPr>
          <w:rStyle w:val="normaltindragchar"/>
          <w:rFonts w:ascii="Times New Roman" w:hAnsi="Times New Roman"/>
          <w:color w:val="000000"/>
        </w:rPr>
        <w:t>k</w:t>
      </w:r>
      <w:r w:rsidRPr="004E06CA">
        <w:rPr>
          <w:rStyle w:val="normaltindragchar"/>
          <w:rFonts w:ascii="Times New Roman" w:hAnsi="Times New Roman"/>
          <w:color w:val="000000"/>
        </w:rPr>
        <w:t>tigt att detta sker snarast. Konsekvenserna för Linköpings universitet blir annars att man får svårt att säkra kvaliteten i såväl grund- som forskarutbil</w:t>
      </w:r>
      <w:r w:rsidRPr="004E06CA">
        <w:rPr>
          <w:rStyle w:val="normaltindragchar"/>
          <w:rFonts w:ascii="Times New Roman" w:hAnsi="Times New Roman"/>
          <w:color w:val="000000"/>
        </w:rPr>
        <w:t>d</w:t>
      </w:r>
      <w:r w:rsidRPr="004E06CA">
        <w:rPr>
          <w:rStyle w:val="normaltindragchar"/>
          <w:rFonts w:ascii="Times New Roman" w:hAnsi="Times New Roman"/>
          <w:color w:val="000000"/>
        </w:rPr>
        <w:t>ningen och forskningen.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06CA">
        <w:trPr>
          <w:cantSplit/>
        </w:trPr>
        <w:tc>
          <w:tcPr>
            <w:tcW w:w="3046" w:type="dxa"/>
          </w:tcPr>
          <w:p w:rsidR="004E06CA" w:rsidRPr="004E06CA" w:rsidRDefault="004E06CA">
            <w:pPr>
              <w:pStyle w:val="UnderskriftDatum"/>
              <w:shd w:val="clear" w:color="000000" w:fill="auto"/>
              <w:spacing w:before="240"/>
            </w:pPr>
            <w:r w:rsidRPr="004E06CA">
              <w:t>Stockholm den 7 oktober 2008</w:t>
            </w:r>
          </w:p>
        </w:tc>
        <w:tc>
          <w:tcPr>
            <w:tcW w:w="3047" w:type="dxa"/>
          </w:tcPr>
          <w:p w:rsidR="004E06CA" w:rsidRPr="004E06CA" w:rsidRDefault="004E06CA">
            <w:pPr>
              <w:pStyle w:val="Underskrifter"/>
              <w:shd w:val="clear" w:color="000000" w:fill="auto"/>
              <w:spacing w:before="240"/>
            </w:pPr>
          </w:p>
        </w:tc>
      </w:tr>
      <w:tr w:rsidR="00000000" w:rsidRPr="004E06CA">
        <w:trPr>
          <w:cantSplit/>
        </w:trPr>
        <w:tc>
          <w:tcPr>
            <w:tcW w:w="3046" w:type="dxa"/>
          </w:tcPr>
          <w:p w:rsidR="004E06CA" w:rsidRPr="004E06CA" w:rsidRDefault="004E06CA">
            <w:pPr>
              <w:pStyle w:val="Underskrifter"/>
              <w:shd w:val="clear" w:color="000000" w:fill="auto"/>
            </w:pPr>
            <w:r w:rsidRPr="004E06CA">
              <w:t>Yvonne Andersson (kd)</w:t>
            </w:r>
          </w:p>
        </w:tc>
        <w:tc>
          <w:tcPr>
            <w:tcW w:w="3046" w:type="dxa"/>
          </w:tcPr>
          <w:p w:rsidR="004E06CA" w:rsidRPr="004E06CA" w:rsidRDefault="004E06CA">
            <w:pPr>
              <w:pStyle w:val="Underskrifter"/>
              <w:shd w:val="clear" w:color="000000" w:fill="auto"/>
            </w:pPr>
          </w:p>
        </w:tc>
      </w:tr>
      <w:tr w:rsidR="00000000" w:rsidRPr="004E06CA">
        <w:trPr>
          <w:cantSplit/>
        </w:trPr>
        <w:tc>
          <w:tcPr>
            <w:tcW w:w="3046" w:type="dxa"/>
          </w:tcPr>
          <w:p w:rsidR="004E06CA" w:rsidRPr="004E06CA" w:rsidRDefault="004E06CA">
            <w:pPr>
              <w:pStyle w:val="Underskrifter"/>
              <w:shd w:val="clear" w:color="000000" w:fill="auto"/>
            </w:pPr>
            <w:r w:rsidRPr="004E06CA">
              <w:t>Gunnar Axén (m)</w:t>
            </w:r>
          </w:p>
        </w:tc>
        <w:tc>
          <w:tcPr>
            <w:tcW w:w="3046" w:type="dxa"/>
          </w:tcPr>
          <w:p w:rsidR="004E06CA" w:rsidRPr="004E06CA" w:rsidRDefault="004E06CA">
            <w:pPr>
              <w:pStyle w:val="Underskrifter"/>
              <w:shd w:val="clear" w:color="000000" w:fill="auto"/>
            </w:pPr>
            <w:r w:rsidRPr="004E06CA">
              <w:t>Karin Granbom (fp)</w:t>
            </w:r>
          </w:p>
        </w:tc>
      </w:tr>
      <w:tr w:rsidR="00000000" w:rsidRPr="004E06CA">
        <w:trPr>
          <w:cantSplit/>
        </w:trPr>
        <w:tc>
          <w:tcPr>
            <w:tcW w:w="3046" w:type="dxa"/>
          </w:tcPr>
          <w:p w:rsidR="004E06CA" w:rsidRPr="004E06CA" w:rsidRDefault="004E06CA">
            <w:pPr>
              <w:pStyle w:val="Underskrifter"/>
              <w:shd w:val="clear" w:color="000000" w:fill="auto"/>
            </w:pPr>
            <w:r w:rsidRPr="004E06CA">
              <w:t>Betty Malmberg (m)</w:t>
            </w:r>
          </w:p>
        </w:tc>
        <w:tc>
          <w:tcPr>
            <w:tcW w:w="3046" w:type="dxa"/>
          </w:tcPr>
          <w:p w:rsidR="004E06CA" w:rsidRPr="004E06CA" w:rsidRDefault="004E06CA">
            <w:pPr>
              <w:pStyle w:val="Underskrifter"/>
              <w:shd w:val="clear" w:color="000000" w:fill="auto"/>
            </w:pPr>
            <w:r w:rsidRPr="004E06CA">
              <w:t>Staffan Danielsson (c)</w:t>
            </w:r>
          </w:p>
        </w:tc>
      </w:tr>
      <w:tr w:rsidR="00000000" w:rsidRPr="004E06CA">
        <w:trPr>
          <w:cantSplit/>
        </w:trPr>
        <w:tc>
          <w:tcPr>
            <w:tcW w:w="3046" w:type="dxa"/>
          </w:tcPr>
          <w:p w:rsidR="004E06CA" w:rsidRPr="004E06CA" w:rsidRDefault="004E06CA">
            <w:pPr>
              <w:pStyle w:val="Underskrifter"/>
              <w:shd w:val="clear" w:color="000000" w:fill="auto"/>
            </w:pPr>
            <w:r w:rsidRPr="004E06CA">
              <w:t>Andreas Norlén (m)</w:t>
            </w:r>
          </w:p>
        </w:tc>
        <w:tc>
          <w:tcPr>
            <w:tcW w:w="3046" w:type="dxa"/>
          </w:tcPr>
          <w:p w:rsidR="004E06CA" w:rsidRPr="004E06CA" w:rsidRDefault="004E06CA">
            <w:pPr>
              <w:pStyle w:val="Underskrifter"/>
              <w:shd w:val="clear" w:color="000000" w:fill="auto"/>
            </w:pPr>
            <w:r w:rsidRPr="004E06CA">
              <w:t>Finn Bengtsson (m)</w:t>
            </w:r>
          </w:p>
        </w:tc>
      </w:tr>
    </w:tbl>
    <w:p w:rsidR="004E06CA" w:rsidRPr="004E06CA" w:rsidRDefault="004E06CA">
      <w:pPr>
        <w:pStyle w:val="Normaltindrag"/>
        <w:shd w:val="clear" w:color="000000" w:fill="auto"/>
      </w:pPr>
    </w:p>
    <w:sectPr w:rsidR="00000000" w:rsidRPr="004E06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6CA" w:rsidRPr="004E06CA" w:rsidRDefault="004E06CA">
      <w:r w:rsidRPr="004E06CA">
        <w:separator/>
      </w:r>
    </w:p>
  </w:endnote>
  <w:endnote w:type="continuationSeparator" w:id="0">
    <w:p w:rsidR="004E06CA" w:rsidRPr="004E06CA" w:rsidRDefault="004E06CA">
      <w:r w:rsidRPr="004E06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fot"/>
    </w:pPr>
    <w:r w:rsidRPr="004E06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38297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06CA" w:rsidRDefault="004E06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fot"/>
    </w:pPr>
    <w:r w:rsidRPr="004E06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0250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06CA" w:rsidRDefault="004E06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fot"/>
    </w:pPr>
    <w:r w:rsidRPr="004E06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7403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06CA" w:rsidRDefault="004E06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6CA" w:rsidRPr="004E06CA" w:rsidRDefault="004E06CA">
      <w:r w:rsidRPr="004E06CA">
        <w:separator/>
      </w:r>
    </w:p>
  </w:footnote>
  <w:footnote w:type="continuationSeparator" w:id="0">
    <w:p w:rsidR="004E06CA" w:rsidRPr="004E06CA" w:rsidRDefault="004E06CA">
      <w:r w:rsidRPr="004E06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huvud"/>
    </w:pPr>
    <w:r w:rsidRPr="004E06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84283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06CA" w:rsidRDefault="004E06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huvud"/>
    </w:pPr>
    <w:r w:rsidRPr="004E06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10441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06CA" w:rsidRDefault="004E06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FSHNormal"/>
      <w:tabs>
        <w:tab w:val="right" w:pos="5840"/>
      </w:tabs>
    </w:pPr>
    <w:r w:rsidRPr="004E06CA">
      <w:br/>
    </w:r>
    <w:r w:rsidRPr="004E06CA">
      <w:fldChar w:fldCharType="begin" w:fldLock="1"/>
    </w:r>
    <w:r w:rsidRPr="004E06CA">
      <w:instrText xml:space="preserve"> DOCPROPERTY</w:instrText>
    </w:r>
    <w:r w:rsidRPr="004E06CA">
      <w:rPr>
        <w:sz w:val="18"/>
      </w:rPr>
      <w:instrText xml:space="preserve"> "YearUser" *\charformat </w:instrText>
    </w:r>
    <w:r w:rsidRPr="004E06CA">
      <w:fldChar w:fldCharType="separate"/>
    </w:r>
    <w:r w:rsidRPr="004E06CA">
      <w:t>2008/09</w:t>
    </w:r>
    <w:r w:rsidRPr="004E06CA">
      <w:fldChar w:fldCharType="end"/>
    </w:r>
    <w:r w:rsidRPr="004E06CA">
      <w:t xml:space="preserve"> </w:t>
    </w:r>
    <w:r w:rsidRPr="004E06CA">
      <w:tab/>
      <w:t xml:space="preserve">mnr: </w:t>
    </w:r>
    <w:r w:rsidRPr="004E06CA">
      <w:fldChar w:fldCharType="begin" w:fldLock="1"/>
    </w:r>
    <w:r w:rsidRPr="004E06CA">
      <w:instrText xml:space="preserve"> DOCPROPERTY</w:instrText>
    </w:r>
    <w:r w:rsidRPr="004E06CA">
      <w:rPr>
        <w:sz w:val="18"/>
      </w:rPr>
      <w:instrText xml:space="preserve"> "Motionsnummer" *\charformat </w:instrText>
    </w:r>
    <w:r w:rsidRPr="004E06CA">
      <w:fldChar w:fldCharType="separate"/>
    </w:r>
    <w:r w:rsidRPr="004E06CA">
      <w:t>Ub558</w:t>
    </w:r>
    <w:r w:rsidRPr="004E06CA">
      <w:fldChar w:fldCharType="end"/>
    </w:r>
    <w:r w:rsidRPr="004E06CA">
      <w:br/>
    </w:r>
    <w:r w:rsidRPr="004E06CA">
      <w:fldChar w:fldCharType="begin" w:fldLock="1"/>
    </w:r>
    <w:r w:rsidRPr="004E06CA">
      <w:instrText xml:space="preserve"> DOCPROPERTY</w:instrText>
    </w:r>
    <w:r w:rsidRPr="004E06CA">
      <w:rPr>
        <w:sz w:val="18"/>
      </w:rPr>
      <w:instrText xml:space="preserve"> "Samling" *\charformat </w:instrText>
    </w:r>
    <w:r w:rsidRPr="004E06CA">
      <w:fldChar w:fldCharType="end"/>
    </w:r>
    <w:r w:rsidRPr="004E06CA">
      <w:tab/>
      <w:t xml:space="preserve">pnr: </w:t>
    </w:r>
    <w:r w:rsidRPr="004E06CA">
      <w:fldChar w:fldCharType="begin" w:fldLock="1"/>
    </w:r>
    <w:r w:rsidRPr="004E06CA">
      <w:instrText xml:space="preserve"> DOCPROPERTY</w:instrText>
    </w:r>
    <w:r w:rsidRPr="004E06CA">
      <w:rPr>
        <w:sz w:val="18"/>
      </w:rPr>
      <w:instrText xml:space="preserve"> "Partinummer" *\charformat </w:instrText>
    </w:r>
    <w:r w:rsidRPr="004E06CA">
      <w:fldChar w:fldCharType="separate"/>
    </w:r>
    <w:r w:rsidRPr="004E06CA">
      <w:t>-kd408</w:t>
    </w:r>
    <w:r w:rsidRPr="004E06CA">
      <w:fldChar w:fldCharType="end"/>
    </w:r>
  </w:p>
  <w:p w:rsidR="004E06CA" w:rsidRPr="004E06CA" w:rsidRDefault="004E06CA">
    <w:pPr>
      <w:pStyle w:val="FSHRub1"/>
    </w:pPr>
    <w:r w:rsidRPr="004E06CA">
      <w:t>Motion till riksdagen</w:t>
    </w:r>
    <w:r w:rsidRPr="004E06CA">
      <w:br/>
    </w:r>
    <w:r w:rsidRPr="004E06CA">
      <w:fldChar w:fldCharType="begin" w:fldLock="1"/>
    </w:r>
    <w:r w:rsidRPr="004E06CA">
      <w:instrText xml:space="preserve"> DOCPROPERTY "YearUser" *\charformat </w:instrText>
    </w:r>
    <w:r w:rsidRPr="004E06CA">
      <w:fldChar w:fldCharType="separate"/>
    </w:r>
    <w:r w:rsidRPr="004E06CA">
      <w:t>2008/09</w:t>
    </w:r>
    <w:r w:rsidRPr="004E06CA">
      <w:fldChar w:fldCharType="end"/>
    </w:r>
    <w:r w:rsidRPr="004E06CA">
      <w:t>:</w:t>
    </w:r>
    <w:r w:rsidRPr="004E06CA">
      <w:fldChar w:fldCharType="begin" w:fldLock="1"/>
    </w:r>
    <w:r w:rsidRPr="004E06CA">
      <w:instrText xml:space="preserve"> DOCPROPERTY "Motionsnummer" *\charformat </w:instrText>
    </w:r>
    <w:r w:rsidRPr="004E06CA">
      <w:fldChar w:fldCharType="separate"/>
    </w:r>
    <w:r w:rsidRPr="004E06CA">
      <w:t>Ub558</w:t>
    </w:r>
    <w:r w:rsidRPr="004E06CA">
      <w:fldChar w:fldCharType="end"/>
    </w:r>
  </w:p>
  <w:p w:rsidR="004E06CA" w:rsidRPr="004E06CA" w:rsidRDefault="004E06CA">
    <w:pPr>
      <w:pStyle w:val="FSHNormalS5"/>
    </w:pPr>
    <w:r w:rsidRPr="004E06CA">
      <w:fldChar w:fldCharType="begin" w:fldLock="1"/>
    </w:r>
    <w:r w:rsidRPr="004E06CA">
      <w:instrText xml:space="preserve"> DOCPROPERTY "MotionarText" *\charformat </w:instrText>
    </w:r>
    <w:r w:rsidRPr="004E06CA">
      <w:fldChar w:fldCharType="separate"/>
    </w:r>
    <w:r w:rsidRPr="004E06CA">
      <w:t>av Yvonne Andersson m.fl. (kd, m, fp, c)</w:t>
    </w:r>
    <w:r w:rsidRPr="004E06CA">
      <w:fldChar w:fldCharType="end"/>
    </w:r>
    <w:r w:rsidRPr="004E06CA">
      <w:br/>
    </w:r>
    <w:r w:rsidRPr="004E06CA">
      <w:fldChar w:fldCharType="begin" w:fldLock="1"/>
    </w:r>
    <w:r w:rsidRPr="004E06CA">
      <w:instrText xml:space="preserve"> DOCPROPERTY "SvarFrasKort" *\charformat </w:instrText>
    </w:r>
    <w:r w:rsidRPr="004E06CA">
      <w:fldChar w:fldCharType="end"/>
    </w:r>
  </w:p>
  <w:p w:rsidR="004E06CA" w:rsidRPr="004E06CA" w:rsidRDefault="004E06CA">
    <w:pPr>
      <w:pStyle w:val="FSHTitel"/>
    </w:pPr>
    <w:r w:rsidRPr="004E06CA">
      <w:fldChar w:fldCharType="begin" w:fldLock="1"/>
    </w:r>
    <w:r w:rsidRPr="004E06CA">
      <w:instrText xml:space="preserve"> DOCPROPERTY</w:instrText>
    </w:r>
    <w:r w:rsidRPr="004E06CA">
      <w:rPr>
        <w:sz w:val="18"/>
      </w:rPr>
      <w:instrText xml:space="preserve"> "RubrikSvar" *\charformat </w:instrText>
    </w:r>
    <w:r w:rsidRPr="004E06CA">
      <w:fldChar w:fldCharType="separate"/>
    </w:r>
    <w:r w:rsidRPr="004E06CA">
      <w:t>Forskning vid Linköpings universitet</w:t>
    </w:r>
    <w:r w:rsidRPr="004E06CA">
      <w:fldChar w:fldCharType="end"/>
    </w:r>
  </w:p>
  <w:p w:rsidR="004E06CA" w:rsidRPr="004E06CA" w:rsidRDefault="004E06CA">
    <w:pPr>
      <w:pStyle w:val="Normal00"/>
    </w:pPr>
  </w:p>
  <w:p w:rsidR="004E06CA" w:rsidRPr="004E06CA" w:rsidRDefault="004E06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3923751">
    <w:abstractNumId w:val="8"/>
  </w:num>
  <w:num w:numId="2" w16cid:durableId="577055972">
    <w:abstractNumId w:val="9"/>
  </w:num>
  <w:num w:numId="3" w16cid:durableId="1598636891">
    <w:abstractNumId w:val="8"/>
  </w:num>
  <w:num w:numId="4" w16cid:durableId="801574962">
    <w:abstractNumId w:val="9"/>
  </w:num>
  <w:num w:numId="5" w16cid:durableId="280308801">
    <w:abstractNumId w:val="13"/>
  </w:num>
  <w:num w:numId="6" w16cid:durableId="1771310690">
    <w:abstractNumId w:val="10"/>
  </w:num>
  <w:num w:numId="7" w16cid:durableId="1730108951">
    <w:abstractNumId w:val="11"/>
  </w:num>
  <w:num w:numId="8" w16cid:durableId="1396588560">
    <w:abstractNumId w:val="12"/>
  </w:num>
  <w:num w:numId="9" w16cid:durableId="1689529538">
    <w:abstractNumId w:val="8"/>
  </w:num>
  <w:num w:numId="10" w16cid:durableId="1200050010">
    <w:abstractNumId w:val="3"/>
  </w:num>
  <w:num w:numId="11" w16cid:durableId="1825199310">
    <w:abstractNumId w:val="2"/>
  </w:num>
  <w:num w:numId="12" w16cid:durableId="464857290">
    <w:abstractNumId w:val="1"/>
  </w:num>
  <w:num w:numId="13" w16cid:durableId="2054885066">
    <w:abstractNumId w:val="0"/>
  </w:num>
  <w:num w:numId="14" w16cid:durableId="140318263">
    <w:abstractNumId w:val="9"/>
  </w:num>
  <w:num w:numId="15" w16cid:durableId="1912233865">
    <w:abstractNumId w:val="7"/>
  </w:num>
  <w:num w:numId="16" w16cid:durableId="1624115253">
    <w:abstractNumId w:val="6"/>
  </w:num>
  <w:num w:numId="17" w16cid:durableId="125248136">
    <w:abstractNumId w:val="5"/>
  </w:num>
  <w:num w:numId="18" w16cid:durableId="4408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A066DAED-97D6-488F-BBF6-2A057F85E055},{C656FFE8-36CD-4FEA-8D3E-76F574B357BC},{31D11CDE-5037-463B-B12F-20B7239C6A18},{B2A1B159-4F2F-49E5-97DD-6A3C421F893D},{A20657EE-46E1-40E4-A0AF-762B51729735},{AC164FE7-1929-4345-8562-8DC6ABBC0F41},{462B849A-C996-4406-ADE9-45FBBB1716FE}"/>
  </w:docVars>
  <w:rsids>
    <w:rsidRoot w:val="00872232"/>
    <w:rsid w:val="004E06CA"/>
    <w:rsid w:val="008722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BC4C345-5024-4DF7-A387-44A787B8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5377</Characters>
  <Application>Microsoft Office Word</Application>
  <DocSecurity>4</DocSecurity>
  <Lines>96</Lines>
  <Paragraphs>20</Paragraphs>
  <ScaleCrop>false</ScaleCrop>
  <HeadingPairs>
    <vt:vector size="2" baseType="variant">
      <vt:variant>
        <vt:lpstr>Rubrik</vt:lpstr>
      </vt:variant>
      <vt:variant>
        <vt:i4>1</vt:i4>
      </vt:variant>
    </vt:vector>
  </HeadingPairs>
  <TitlesOfParts>
    <vt:vector size="1" baseType="lpstr">
      <vt:lpstr>-kd408</vt:lpstr>
    </vt:vector>
  </TitlesOfParts>
  <Company>Riksdagen</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-kd408</dc:title>
  <dc:subject>-kd408</dc:subject>
  <dc:creator>Riksdagen</dc:creator>
  <cp:keywords>Riksdagen</cp:keywords>
  <dc:description>TKG-ktrl, MSMQ4mb, PersReg-Distribution mm</dc:description>
  <cp:lastModifiedBy>Lars Brink</cp:lastModifiedBy>
  <cp:revision>2</cp:revision>
  <cp:lastPrinted>2009-02-19T17:17:00Z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 vid Linköpings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vid Linköpings universitet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Yvonne Andersson m.fl. (kd, m, fp, c)</vt:lpwstr>
  </property>
  <property fmtid="{D5CDD505-2E9C-101B-9397-08002B2CF9AE}" pid="26" name="MotionarLista">
    <vt:lpwstr>Andersson, Yvonne (kd)\Axén, Gunnar (m)\Granbom, Karin (fp)\Malmberg, Betty (m)\Danielsson, Staffan (c)\Norlén, Andreas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Gunnar Axén (m), Karin Granbom (fp), Betty Malmberg (m), Staffan Danielsson (c), Andreas Norlén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151</vt:lpwstr>
  </property>
  <property fmtid="{D5CDD505-2E9C-101B-9397-08002B2CF9AE}" pid="35" name="Samling">
    <vt:lpwstr/>
  </property>
  <property fmtid="{D5CDD505-2E9C-101B-9397-08002B2CF9AE}" pid="36" name="SamlingPrint">
    <vt:lpwstr/>
  </property>
  <property fmtid="{D5CDD505-2E9C-101B-9397-08002B2CF9AE}" pid="37" name="Motionsnummer">
    <vt:lpwstr>Ub558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20082009000001070100000004080070</vt:lpwstr>
  </property>
  <property fmtid="{D5CDD505-2E9C-101B-9397-08002B2CF9AE}" pid="47" name="datum">
    <vt:lpwstr>081007</vt:lpwstr>
  </property>
  <property fmtid="{D5CDD505-2E9C-101B-9397-08002B2CF9AE}" pid="48" name="avsändar-e-post">
    <vt:lpwstr>martin.stahlgren@riksdagen.se</vt:lpwstr>
  </property>
  <property fmtid="{D5CDD505-2E9C-101B-9397-08002B2CF9AE}" pid="49" name="id">
    <vt:lpwstr>20082009000001070100000004080070</vt:lpwstr>
  </property>
  <property fmtid="{D5CDD505-2E9C-101B-9397-08002B2CF9AE}" pid="50" name="nummer">
    <vt:lpwstr>558</vt:lpwstr>
  </property>
  <property fmtid="{D5CDD505-2E9C-101B-9397-08002B2CF9AE}" pid="51" name="utskottsbeteckning">
    <vt:lpwstr>Ub</vt:lpwstr>
  </property>
  <property fmtid="{D5CDD505-2E9C-101B-9397-08002B2CF9AE}" pid="52" name="GlobalUID">
    <vt:lpwstr>{79319517-6436-49ED-AE18-133913756C67}</vt:lpwstr>
  </property>
  <property fmtid="{D5CDD505-2E9C-101B-9397-08002B2CF9AE}" pid="53" name="Överföringar">
    <vt:i4>0</vt:i4>
  </property>
  <property fmtid="{D5CDD505-2E9C-101B-9397-08002B2CF9AE}" pid="54" name="Checksum">
    <vt:lpwstr>*1000212984524*</vt:lpwstr>
  </property>
  <property fmtid="{D5CDD505-2E9C-101B-9397-08002B2CF9AE}" pid="55" name="skuggnummer">
    <vt:lpwstr>3377</vt:lpwstr>
  </property>
  <property fmtid="{D5CDD505-2E9C-101B-9397-08002B2CF9AE}" pid="56" name="urixVersion">
    <vt:lpwstr>3.2.0.8</vt:lpwstr>
  </property>
  <property fmtid="{D5CDD505-2E9C-101B-9397-08002B2CF9AE}" pid="57" name="urixOrigin">
    <vt:lpwstr>090402 19:13:28.655</vt:lpwstr>
  </property>
  <property fmtid="{D5CDD505-2E9C-101B-9397-08002B2CF9AE}" pid="58" name="urixGuid">
    <vt:lpwstr>{54DEF3E2-E802-491F-A459-0B53528A92AE}</vt:lpwstr>
  </property>
</Properties>
</file>