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15F" w:rsidRPr="002B552C" w:rsidRDefault="00CD015F" w:rsidP="00CD015F">
      <w:pPr>
        <w:pStyle w:val="Rubrik1"/>
      </w:pPr>
      <w:bookmarkStart w:id="0" w:name="_Toc134426753"/>
      <w:r w:rsidRPr="002B552C">
        <w:t>Innehåll</w:t>
      </w:r>
      <w:bookmarkEnd w:id="0"/>
    </w:p>
    <w:p w:rsidR="0094474C" w:rsidRPr="002B552C" w:rsidRDefault="00CD015F" w:rsidP="00D26430">
      <w:pPr>
        <w:pStyle w:val="Innehll1"/>
        <w:spacing w:before="125"/>
        <w:rPr>
          <w:szCs w:val="24"/>
        </w:rPr>
      </w:pPr>
      <w:r w:rsidRPr="002B552C">
        <w:rPr>
          <w:b/>
        </w:rPr>
        <w:fldChar w:fldCharType="begin" w:fldLock="1"/>
      </w:r>
      <w:r w:rsidRPr="002B552C">
        <w:rPr>
          <w:b/>
        </w:rPr>
        <w:instrText xml:space="preserve"> TOC \o "1-3" \h \z \u </w:instrText>
      </w:r>
      <w:r w:rsidRPr="002B552C">
        <w:rPr>
          <w:b/>
        </w:rPr>
        <w:fldChar w:fldCharType="separate"/>
      </w:r>
      <w:hyperlink w:anchor="_Toc134426754" w:history="1">
        <w:r w:rsidR="0094474C" w:rsidRPr="002B552C">
          <w:rPr>
            <w:rStyle w:val="Hyperlnk"/>
          </w:rPr>
          <w:t>Förslag till riksdagsbeslut</w:t>
        </w:r>
        <w:r w:rsidR="0094474C" w:rsidRPr="002B552C">
          <w:rPr>
            <w:webHidden/>
          </w:rPr>
          <w:tab/>
        </w:r>
        <w:r w:rsidR="0094474C" w:rsidRPr="002B552C">
          <w:rPr>
            <w:webHidden/>
          </w:rPr>
          <w:fldChar w:fldCharType="begin" w:fldLock="1"/>
        </w:r>
        <w:r w:rsidR="0094474C" w:rsidRPr="002B552C">
          <w:rPr>
            <w:webHidden/>
          </w:rPr>
          <w:instrText xml:space="preserve"> PAGEREF _Toc134426754 \h </w:instrText>
        </w:r>
        <w:r w:rsidR="0094474C" w:rsidRPr="002B552C">
          <w:rPr>
            <w:webHidden/>
          </w:rPr>
          <w:fldChar w:fldCharType="separate"/>
        </w:r>
        <w:r w:rsidR="00493723" w:rsidRPr="002B552C">
          <w:rPr>
            <w:webHidden/>
          </w:rPr>
          <w:t>2</w:t>
        </w:r>
        <w:r w:rsidR="0094474C" w:rsidRPr="002B552C">
          <w:rPr>
            <w:webHidden/>
          </w:rPr>
          <w:fldChar w:fldCharType="end"/>
        </w:r>
      </w:hyperlink>
    </w:p>
    <w:p w:rsidR="0094474C" w:rsidRPr="002B552C" w:rsidRDefault="0094474C">
      <w:pPr>
        <w:pStyle w:val="Innehll1"/>
        <w:rPr>
          <w:szCs w:val="24"/>
        </w:rPr>
      </w:pPr>
      <w:hyperlink w:anchor="_Toc134426755" w:history="1">
        <w:r w:rsidRPr="002B552C">
          <w:rPr>
            <w:rStyle w:val="Hyperlnk"/>
          </w:rPr>
          <w:t>Inledning</w:t>
        </w:r>
        <w:r w:rsidRPr="002B552C">
          <w:rPr>
            <w:webHidden/>
          </w:rPr>
          <w:tab/>
        </w:r>
        <w:r w:rsidRPr="002B552C">
          <w:rPr>
            <w:webHidden/>
          </w:rPr>
          <w:fldChar w:fldCharType="begin" w:fldLock="1"/>
        </w:r>
        <w:r w:rsidRPr="002B552C">
          <w:rPr>
            <w:webHidden/>
          </w:rPr>
          <w:instrText xml:space="preserve"> PAGEREF _Toc134426755 \h </w:instrText>
        </w:r>
        <w:r w:rsidRPr="002B552C">
          <w:rPr>
            <w:webHidden/>
          </w:rPr>
          <w:fldChar w:fldCharType="separate"/>
        </w:r>
        <w:r w:rsidR="00493723" w:rsidRPr="002B552C">
          <w:rPr>
            <w:webHidden/>
          </w:rPr>
          <w:t>2</w:t>
        </w:r>
        <w:r w:rsidRPr="002B552C">
          <w:rPr>
            <w:webHidden/>
          </w:rPr>
          <w:fldChar w:fldCharType="end"/>
        </w:r>
      </w:hyperlink>
    </w:p>
    <w:p w:rsidR="0094474C" w:rsidRPr="002B552C" w:rsidRDefault="0094474C" w:rsidP="00D26430">
      <w:pPr>
        <w:pStyle w:val="Innehll2"/>
        <w:ind w:hanging="94"/>
        <w:rPr>
          <w:szCs w:val="24"/>
        </w:rPr>
      </w:pPr>
      <w:hyperlink w:anchor="_Toc134426756" w:history="1">
        <w:r w:rsidRPr="002B552C">
          <w:rPr>
            <w:rStyle w:val="Hyperlnk"/>
          </w:rPr>
          <w:t>Riktade statsbidrag</w:t>
        </w:r>
        <w:r w:rsidRPr="002B552C">
          <w:rPr>
            <w:webHidden/>
          </w:rPr>
          <w:tab/>
        </w:r>
        <w:r w:rsidRPr="002B552C">
          <w:rPr>
            <w:webHidden/>
          </w:rPr>
          <w:fldChar w:fldCharType="begin" w:fldLock="1"/>
        </w:r>
        <w:r w:rsidRPr="002B552C">
          <w:rPr>
            <w:webHidden/>
          </w:rPr>
          <w:instrText xml:space="preserve"> PAGEREF _Toc134426756 \h </w:instrText>
        </w:r>
        <w:r w:rsidRPr="002B552C">
          <w:rPr>
            <w:webHidden/>
          </w:rPr>
          <w:fldChar w:fldCharType="separate"/>
        </w:r>
        <w:r w:rsidR="00493723" w:rsidRPr="002B552C">
          <w:rPr>
            <w:webHidden/>
          </w:rPr>
          <w:t>4</w:t>
        </w:r>
        <w:r w:rsidRPr="002B552C">
          <w:rPr>
            <w:webHidden/>
          </w:rPr>
          <w:fldChar w:fldCharType="end"/>
        </w:r>
      </w:hyperlink>
    </w:p>
    <w:p w:rsidR="0094474C" w:rsidRPr="002B552C" w:rsidRDefault="0094474C" w:rsidP="00D26430">
      <w:pPr>
        <w:pStyle w:val="Innehll2"/>
        <w:ind w:hanging="94"/>
        <w:rPr>
          <w:szCs w:val="24"/>
        </w:rPr>
      </w:pPr>
      <w:hyperlink w:anchor="_Toc134426757" w:history="1">
        <w:r w:rsidRPr="002B552C">
          <w:rPr>
            <w:rStyle w:val="Hyperlnk"/>
          </w:rPr>
          <w:t>Bredda skattebasen</w:t>
        </w:r>
        <w:r w:rsidRPr="002B552C">
          <w:rPr>
            <w:webHidden/>
          </w:rPr>
          <w:tab/>
        </w:r>
        <w:r w:rsidRPr="002B552C">
          <w:rPr>
            <w:webHidden/>
          </w:rPr>
          <w:fldChar w:fldCharType="begin" w:fldLock="1"/>
        </w:r>
        <w:r w:rsidRPr="002B552C">
          <w:rPr>
            <w:webHidden/>
          </w:rPr>
          <w:instrText xml:space="preserve"> PAGEREF _Toc134426757 \h </w:instrText>
        </w:r>
        <w:r w:rsidRPr="002B552C">
          <w:rPr>
            <w:webHidden/>
          </w:rPr>
          <w:fldChar w:fldCharType="separate"/>
        </w:r>
        <w:r w:rsidR="00493723" w:rsidRPr="002B552C">
          <w:rPr>
            <w:webHidden/>
          </w:rPr>
          <w:t>4</w:t>
        </w:r>
        <w:r w:rsidRPr="002B552C">
          <w:rPr>
            <w:webHidden/>
          </w:rPr>
          <w:fldChar w:fldCharType="end"/>
        </w:r>
      </w:hyperlink>
    </w:p>
    <w:p w:rsidR="0094474C" w:rsidRPr="002B552C" w:rsidRDefault="0094474C" w:rsidP="00D26430">
      <w:pPr>
        <w:pStyle w:val="Innehll2"/>
        <w:ind w:hanging="94"/>
        <w:rPr>
          <w:szCs w:val="24"/>
        </w:rPr>
      </w:pPr>
      <w:hyperlink w:anchor="_Toc134426758" w:history="1">
        <w:r w:rsidRPr="002B552C">
          <w:rPr>
            <w:rStyle w:val="Hyperlnk"/>
          </w:rPr>
          <w:t>Fler jobb bra för den kommunala ekonomin</w:t>
        </w:r>
        <w:r w:rsidRPr="002B552C">
          <w:rPr>
            <w:webHidden/>
          </w:rPr>
          <w:tab/>
        </w:r>
        <w:r w:rsidRPr="002B552C">
          <w:rPr>
            <w:webHidden/>
          </w:rPr>
          <w:fldChar w:fldCharType="begin" w:fldLock="1"/>
        </w:r>
        <w:r w:rsidRPr="002B552C">
          <w:rPr>
            <w:webHidden/>
          </w:rPr>
          <w:instrText xml:space="preserve"> PAGEREF _Toc134426758 \h </w:instrText>
        </w:r>
        <w:r w:rsidRPr="002B552C">
          <w:rPr>
            <w:webHidden/>
          </w:rPr>
          <w:fldChar w:fldCharType="separate"/>
        </w:r>
        <w:r w:rsidR="00493723" w:rsidRPr="002B552C">
          <w:rPr>
            <w:webHidden/>
          </w:rPr>
          <w:t>5</w:t>
        </w:r>
        <w:r w:rsidRPr="002B552C">
          <w:rPr>
            <w:webHidden/>
          </w:rPr>
          <w:fldChar w:fldCharType="end"/>
        </w:r>
      </w:hyperlink>
    </w:p>
    <w:p w:rsidR="0094474C" w:rsidRPr="002B552C" w:rsidRDefault="0094474C" w:rsidP="00D26430">
      <w:pPr>
        <w:pStyle w:val="Innehll2"/>
        <w:ind w:hanging="94"/>
        <w:rPr>
          <w:szCs w:val="24"/>
        </w:rPr>
      </w:pPr>
      <w:hyperlink w:anchor="_Toc134426759" w:history="1">
        <w:r w:rsidRPr="002B552C">
          <w:rPr>
            <w:rStyle w:val="Hyperlnk"/>
          </w:rPr>
          <w:t>Det kommunala utjämningssystemet</w:t>
        </w:r>
        <w:r w:rsidRPr="002B552C">
          <w:rPr>
            <w:webHidden/>
          </w:rPr>
          <w:tab/>
        </w:r>
        <w:r w:rsidRPr="002B552C">
          <w:rPr>
            <w:webHidden/>
          </w:rPr>
          <w:fldChar w:fldCharType="begin" w:fldLock="1"/>
        </w:r>
        <w:r w:rsidRPr="002B552C">
          <w:rPr>
            <w:webHidden/>
          </w:rPr>
          <w:instrText xml:space="preserve"> PAGEREF _Toc134426759 \h </w:instrText>
        </w:r>
        <w:r w:rsidRPr="002B552C">
          <w:rPr>
            <w:webHidden/>
          </w:rPr>
          <w:fldChar w:fldCharType="separate"/>
        </w:r>
        <w:r w:rsidR="00493723" w:rsidRPr="002B552C">
          <w:rPr>
            <w:webHidden/>
          </w:rPr>
          <w:t>5</w:t>
        </w:r>
        <w:r w:rsidRPr="002B552C">
          <w:rPr>
            <w:webHidden/>
          </w:rPr>
          <w:fldChar w:fldCharType="end"/>
        </w:r>
      </w:hyperlink>
    </w:p>
    <w:p w:rsidR="0094474C" w:rsidRPr="002B552C" w:rsidRDefault="0094474C" w:rsidP="00D26430">
      <w:pPr>
        <w:pStyle w:val="Innehll2"/>
        <w:ind w:hanging="94"/>
        <w:rPr>
          <w:szCs w:val="24"/>
        </w:rPr>
      </w:pPr>
      <w:hyperlink w:anchor="_Toc134426760" w:history="1">
        <w:r w:rsidRPr="002B552C">
          <w:rPr>
            <w:rStyle w:val="Hyperlnk"/>
          </w:rPr>
          <w:t>Lagen om stöd och service för funktionshindrade</w:t>
        </w:r>
        <w:r w:rsidRPr="002B552C">
          <w:rPr>
            <w:webHidden/>
          </w:rPr>
          <w:tab/>
        </w:r>
        <w:r w:rsidRPr="002B552C">
          <w:rPr>
            <w:webHidden/>
          </w:rPr>
          <w:fldChar w:fldCharType="begin" w:fldLock="1"/>
        </w:r>
        <w:r w:rsidRPr="002B552C">
          <w:rPr>
            <w:webHidden/>
          </w:rPr>
          <w:instrText xml:space="preserve"> PAGEREF _Toc134426760 \h </w:instrText>
        </w:r>
        <w:r w:rsidRPr="002B552C">
          <w:rPr>
            <w:webHidden/>
          </w:rPr>
          <w:fldChar w:fldCharType="separate"/>
        </w:r>
        <w:r w:rsidR="00493723" w:rsidRPr="002B552C">
          <w:rPr>
            <w:webHidden/>
          </w:rPr>
          <w:t>6</w:t>
        </w:r>
        <w:r w:rsidRPr="002B552C">
          <w:rPr>
            <w:webHidden/>
          </w:rPr>
          <w:fldChar w:fldCharType="end"/>
        </w:r>
      </w:hyperlink>
    </w:p>
    <w:p w:rsidR="0094474C" w:rsidRPr="002B552C" w:rsidRDefault="0094474C" w:rsidP="00D26430">
      <w:pPr>
        <w:pStyle w:val="Innehll2"/>
        <w:ind w:hanging="94"/>
        <w:rPr>
          <w:szCs w:val="24"/>
        </w:rPr>
      </w:pPr>
      <w:hyperlink w:anchor="_Toc134426761" w:history="1">
        <w:r w:rsidRPr="002B552C">
          <w:rPr>
            <w:rStyle w:val="Hyperlnk"/>
          </w:rPr>
          <w:t>Valfrihet i vården för den enskilde och mångfald i utförandet</w:t>
        </w:r>
        <w:r w:rsidRPr="002B552C">
          <w:rPr>
            <w:webHidden/>
          </w:rPr>
          <w:tab/>
        </w:r>
        <w:r w:rsidRPr="002B552C">
          <w:rPr>
            <w:webHidden/>
          </w:rPr>
          <w:fldChar w:fldCharType="begin" w:fldLock="1"/>
        </w:r>
        <w:r w:rsidRPr="002B552C">
          <w:rPr>
            <w:webHidden/>
          </w:rPr>
          <w:instrText xml:space="preserve"> PAGEREF _Toc134426761 \h </w:instrText>
        </w:r>
        <w:r w:rsidRPr="002B552C">
          <w:rPr>
            <w:webHidden/>
          </w:rPr>
          <w:fldChar w:fldCharType="separate"/>
        </w:r>
        <w:r w:rsidR="00493723" w:rsidRPr="002B552C">
          <w:rPr>
            <w:webHidden/>
          </w:rPr>
          <w:t>7</w:t>
        </w:r>
        <w:r w:rsidRPr="002B552C">
          <w:rPr>
            <w:webHidden/>
          </w:rPr>
          <w:fldChar w:fldCharType="end"/>
        </w:r>
      </w:hyperlink>
    </w:p>
    <w:p w:rsidR="0094474C" w:rsidRPr="002B552C" w:rsidRDefault="0094474C" w:rsidP="00D26430">
      <w:pPr>
        <w:pStyle w:val="Innehll2"/>
        <w:ind w:hanging="94"/>
        <w:rPr>
          <w:szCs w:val="24"/>
        </w:rPr>
      </w:pPr>
      <w:hyperlink w:anchor="_Toc134426762" w:history="1">
        <w:r w:rsidRPr="002B552C">
          <w:rPr>
            <w:rStyle w:val="Hyperlnk"/>
          </w:rPr>
          <w:t>Lagen om offentlig upphandling</w:t>
        </w:r>
        <w:r w:rsidRPr="002B552C">
          <w:rPr>
            <w:webHidden/>
          </w:rPr>
          <w:tab/>
        </w:r>
        <w:r w:rsidRPr="002B552C">
          <w:rPr>
            <w:webHidden/>
          </w:rPr>
          <w:fldChar w:fldCharType="begin" w:fldLock="1"/>
        </w:r>
        <w:r w:rsidRPr="002B552C">
          <w:rPr>
            <w:webHidden/>
          </w:rPr>
          <w:instrText xml:space="preserve"> PAGEREF _Toc134426762 \h </w:instrText>
        </w:r>
        <w:r w:rsidRPr="002B552C">
          <w:rPr>
            <w:webHidden/>
          </w:rPr>
          <w:fldChar w:fldCharType="separate"/>
        </w:r>
        <w:r w:rsidR="00493723" w:rsidRPr="002B552C">
          <w:rPr>
            <w:webHidden/>
          </w:rPr>
          <w:t>7</w:t>
        </w:r>
        <w:r w:rsidRPr="002B552C">
          <w:rPr>
            <w:webHidden/>
          </w:rPr>
          <w:fldChar w:fldCharType="end"/>
        </w:r>
      </w:hyperlink>
    </w:p>
    <w:p w:rsidR="0094474C" w:rsidRPr="002B552C" w:rsidRDefault="0094474C" w:rsidP="00D26430">
      <w:pPr>
        <w:pStyle w:val="Innehll2"/>
        <w:ind w:firstLine="1"/>
        <w:rPr>
          <w:szCs w:val="24"/>
        </w:rPr>
      </w:pPr>
      <w:hyperlink w:anchor="_Toc134426763" w:history="1">
        <w:r w:rsidRPr="002B552C">
          <w:rPr>
            <w:rStyle w:val="Hyperlnk"/>
          </w:rPr>
          <w:t>Starka regioner</w:t>
        </w:r>
        <w:r w:rsidRPr="002B552C">
          <w:rPr>
            <w:webHidden/>
          </w:rPr>
          <w:tab/>
        </w:r>
        <w:r w:rsidRPr="002B552C">
          <w:rPr>
            <w:webHidden/>
          </w:rPr>
          <w:fldChar w:fldCharType="begin" w:fldLock="1"/>
        </w:r>
        <w:r w:rsidRPr="002B552C">
          <w:rPr>
            <w:webHidden/>
          </w:rPr>
          <w:instrText xml:space="preserve"> PAGEREF _Toc134426763 \h </w:instrText>
        </w:r>
        <w:r w:rsidRPr="002B552C">
          <w:rPr>
            <w:webHidden/>
          </w:rPr>
          <w:fldChar w:fldCharType="separate"/>
        </w:r>
        <w:r w:rsidR="00493723" w:rsidRPr="002B552C">
          <w:rPr>
            <w:webHidden/>
          </w:rPr>
          <w:t>8</w:t>
        </w:r>
        <w:r w:rsidRPr="002B552C">
          <w:rPr>
            <w:webHidden/>
          </w:rPr>
          <w:fldChar w:fldCharType="end"/>
        </w:r>
      </w:hyperlink>
    </w:p>
    <w:p w:rsidR="00BD20A2" w:rsidRPr="002B552C" w:rsidRDefault="00CD015F" w:rsidP="00D26430">
      <w:pPr>
        <w:pStyle w:val="Hemstlrubrik"/>
        <w:pageBreakBefore/>
        <w:spacing w:before="0"/>
      </w:pPr>
      <w:r w:rsidRPr="002B552C">
        <w:lastRenderedPageBreak/>
        <w:fldChar w:fldCharType="end"/>
      </w:r>
      <w:bookmarkStart w:id="1" w:name="_Toc134426754"/>
      <w:r w:rsidR="00BD20A2" w:rsidRPr="002B552C">
        <w:t>Förslag till riksdagsbeslut</w:t>
      </w:r>
      <w:bookmarkEnd w:id="1"/>
    </w:p>
    <w:p w:rsidR="00CD015F" w:rsidRPr="002B552C" w:rsidRDefault="00CD015F" w:rsidP="00BD20A2">
      <w:pPr>
        <w:pStyle w:val="Hemstlatt"/>
      </w:pPr>
      <w:r w:rsidRPr="002B552C">
        <w:t>Riksdagen tillkänna</w:t>
      </w:r>
      <w:r w:rsidR="003B1724" w:rsidRPr="002B552C">
        <w:t>ger för regeringen som sin mening</w:t>
      </w:r>
      <w:r w:rsidRPr="002B552C">
        <w:t xml:space="preserve"> vad som i moti</w:t>
      </w:r>
      <w:r w:rsidRPr="002B552C">
        <w:t>o</w:t>
      </w:r>
      <w:r w:rsidRPr="002B552C">
        <w:t>nen anförs om finansieringsprincipen</w:t>
      </w:r>
      <w:r w:rsidR="00BD20A2" w:rsidRPr="002B552C">
        <w:t>.</w:t>
      </w:r>
    </w:p>
    <w:p w:rsidR="00CD015F" w:rsidRPr="002B552C" w:rsidRDefault="00CD015F" w:rsidP="00BD20A2">
      <w:pPr>
        <w:pStyle w:val="Hemstlatt"/>
      </w:pPr>
      <w:r w:rsidRPr="002B552C">
        <w:t>Riksdagen tillkänna</w:t>
      </w:r>
      <w:r w:rsidR="003B1724" w:rsidRPr="002B552C">
        <w:t>ger för regeringen som sin mening</w:t>
      </w:r>
      <w:r w:rsidRPr="002B552C">
        <w:t xml:space="preserve"> vad som i moti</w:t>
      </w:r>
      <w:r w:rsidRPr="002B552C">
        <w:t>o</w:t>
      </w:r>
      <w:r w:rsidRPr="002B552C">
        <w:t>nen anförs om att bredda kommunernas skattebas</w:t>
      </w:r>
      <w:r w:rsidR="00BD20A2" w:rsidRPr="002B552C">
        <w:t>.</w:t>
      </w:r>
    </w:p>
    <w:p w:rsidR="00CD015F" w:rsidRPr="002B552C" w:rsidRDefault="00CD015F" w:rsidP="00BD20A2">
      <w:pPr>
        <w:pStyle w:val="Hemstlatt"/>
      </w:pPr>
      <w:r w:rsidRPr="002B552C">
        <w:t>Riksdagen tillkänna</w:t>
      </w:r>
      <w:r w:rsidR="003B1724" w:rsidRPr="002B552C">
        <w:t>ger för regeringen som sin mening</w:t>
      </w:r>
      <w:r w:rsidRPr="002B552C">
        <w:t xml:space="preserve"> vad som i moti</w:t>
      </w:r>
      <w:r w:rsidRPr="002B552C">
        <w:t>o</w:t>
      </w:r>
      <w:r w:rsidRPr="002B552C">
        <w:t>nen anförs om ungdomsarbetslösheten och dess påverkan på den ko</w:t>
      </w:r>
      <w:r w:rsidRPr="002B552C">
        <w:t>m</w:t>
      </w:r>
      <w:r w:rsidRPr="002B552C">
        <w:t>munala ekonomin.</w:t>
      </w:r>
    </w:p>
    <w:p w:rsidR="00CD015F" w:rsidRPr="002B552C" w:rsidRDefault="00CD015F" w:rsidP="00BD20A2">
      <w:pPr>
        <w:pStyle w:val="Hemstlatt"/>
      </w:pPr>
      <w:r w:rsidRPr="002B552C">
        <w:t>Riksdagen tillkänna</w:t>
      </w:r>
      <w:r w:rsidR="003B1724" w:rsidRPr="002B552C">
        <w:t>ger för regeringen som sin mening</w:t>
      </w:r>
      <w:r w:rsidRPr="002B552C">
        <w:t xml:space="preserve"> vad som i moti</w:t>
      </w:r>
      <w:r w:rsidRPr="002B552C">
        <w:t>o</w:t>
      </w:r>
      <w:r w:rsidRPr="002B552C">
        <w:t>nen anförs om det kommunala skatteutjämningssystemet</w:t>
      </w:r>
      <w:r w:rsidR="00BD20A2" w:rsidRPr="002B552C">
        <w:t>.</w:t>
      </w:r>
    </w:p>
    <w:p w:rsidR="00CD015F" w:rsidRPr="002B552C" w:rsidRDefault="00CD015F" w:rsidP="00BD20A2">
      <w:pPr>
        <w:pStyle w:val="Hemstlatt"/>
      </w:pPr>
      <w:r w:rsidRPr="002B552C">
        <w:t>Riksdagen tillkänna</w:t>
      </w:r>
      <w:r w:rsidR="003B1724" w:rsidRPr="002B552C">
        <w:t>ger för regeringen som sin mening vad som i moti</w:t>
      </w:r>
      <w:r w:rsidR="003B1724" w:rsidRPr="002B552C">
        <w:t>o</w:t>
      </w:r>
      <w:r w:rsidR="003B1724" w:rsidRPr="002B552C">
        <w:t>nen anförs om l</w:t>
      </w:r>
      <w:r w:rsidRPr="002B552C">
        <w:t xml:space="preserve">agen om stöd och service </w:t>
      </w:r>
      <w:r w:rsidR="003B1724" w:rsidRPr="002B552C">
        <w:t>till vissa</w:t>
      </w:r>
      <w:r w:rsidRPr="002B552C">
        <w:t xml:space="preserve"> funktionshindrade</w:t>
      </w:r>
      <w:r w:rsidR="00BD20A2" w:rsidRPr="002B552C">
        <w:t>.</w:t>
      </w:r>
    </w:p>
    <w:p w:rsidR="00CD015F" w:rsidRPr="002B552C" w:rsidRDefault="00CD015F" w:rsidP="00BD20A2">
      <w:pPr>
        <w:pStyle w:val="Hemstlatt"/>
      </w:pPr>
      <w:r w:rsidRPr="002B552C">
        <w:t xml:space="preserve">Riksdagen tillkännager för regeringen som sin </w:t>
      </w:r>
      <w:r w:rsidR="003B1724" w:rsidRPr="002B552C">
        <w:t>mening</w:t>
      </w:r>
      <w:r w:rsidRPr="002B552C">
        <w:t xml:space="preserve"> vad som i moti</w:t>
      </w:r>
      <w:r w:rsidRPr="002B552C">
        <w:t>o</w:t>
      </w:r>
      <w:r w:rsidRPr="002B552C">
        <w:t>nen anförs om valfrihet i vården och mångfald i utförandet</w:t>
      </w:r>
      <w:r w:rsidR="00BD20A2" w:rsidRPr="002B552C">
        <w:t>.</w:t>
      </w:r>
    </w:p>
    <w:p w:rsidR="00CD015F" w:rsidRPr="002B552C" w:rsidRDefault="00CD015F" w:rsidP="00BD20A2">
      <w:pPr>
        <w:pStyle w:val="Hemstlatt"/>
      </w:pPr>
      <w:r w:rsidRPr="002B552C">
        <w:t xml:space="preserve">Riksdagen tillkännager för regeringen som sin </w:t>
      </w:r>
      <w:r w:rsidR="003B1724" w:rsidRPr="002B552C">
        <w:t>mening</w:t>
      </w:r>
      <w:r w:rsidRPr="002B552C">
        <w:t xml:space="preserve"> vad som i m</w:t>
      </w:r>
      <w:r w:rsidR="003B1724" w:rsidRPr="002B552C">
        <w:t>oti</w:t>
      </w:r>
      <w:r w:rsidR="003B1724" w:rsidRPr="002B552C">
        <w:t>o</w:t>
      </w:r>
      <w:r w:rsidR="003B1724" w:rsidRPr="002B552C">
        <w:t>nen anförs om översynen av l</w:t>
      </w:r>
      <w:r w:rsidRPr="002B552C">
        <w:t>agen om offentlig upphandling</w:t>
      </w:r>
      <w:r w:rsidR="00BD20A2" w:rsidRPr="002B552C">
        <w:t>.</w:t>
      </w:r>
    </w:p>
    <w:p w:rsidR="00CD015F" w:rsidRPr="002B552C" w:rsidRDefault="00CD015F" w:rsidP="00BD20A2">
      <w:pPr>
        <w:pStyle w:val="Hemstlatt"/>
      </w:pPr>
      <w:r w:rsidRPr="002B552C">
        <w:t xml:space="preserve">Riksdagen tillkännager för regeringen som sin </w:t>
      </w:r>
      <w:r w:rsidR="003B1724" w:rsidRPr="002B552C">
        <w:t>mening</w:t>
      </w:r>
      <w:r w:rsidRPr="002B552C">
        <w:t xml:space="preserve"> vad som i moti</w:t>
      </w:r>
      <w:r w:rsidRPr="002B552C">
        <w:t>o</w:t>
      </w:r>
      <w:r w:rsidRPr="002B552C">
        <w:t>nen anförs om ett stärkt tvärsektoriellt regionalt och lokalt inflytande</w:t>
      </w:r>
      <w:r w:rsidR="00BD20A2" w:rsidRPr="002B552C">
        <w:t>.</w:t>
      </w:r>
    </w:p>
    <w:p w:rsidR="00CD015F" w:rsidRPr="002B552C" w:rsidRDefault="00CD015F" w:rsidP="0064483C">
      <w:pPr>
        <w:pStyle w:val="Rubrik1"/>
      </w:pPr>
      <w:bookmarkStart w:id="2" w:name="_Toc134426755"/>
      <w:r w:rsidRPr="002B552C">
        <w:t>Inledning</w:t>
      </w:r>
      <w:bookmarkEnd w:id="2"/>
    </w:p>
    <w:p w:rsidR="00CD015F" w:rsidRPr="002B552C" w:rsidRDefault="00CD015F" w:rsidP="0064483C">
      <w:pPr>
        <w:pStyle w:val="Normaltindrag"/>
        <w:spacing w:before="125"/>
        <w:ind w:firstLine="0"/>
      </w:pPr>
      <w:r w:rsidRPr="002B552C">
        <w:t>Centerpartiet anser att det kommunala självstyret och självbestämmandet är viktigt och måste stärkas. Sveriges kommuner och landsting har under 2005 kraftigt förbättrat sina ekonomiska resultat. Detta är glädjande då vi haft en mångårig period av mycket ansträngd ekonomi och med varierande unde</w:t>
      </w:r>
      <w:r w:rsidRPr="002B552C">
        <w:t>r</w:t>
      </w:r>
      <w:r w:rsidRPr="002B552C">
        <w:t>skott. Fortfarande finns det dock ett flertal kommuner som har strukturella underliggande underskott, vilka enligt balanskravet måste jämnas ut i de nä</w:t>
      </w:r>
      <w:r w:rsidRPr="002B552C">
        <w:t>r</w:t>
      </w:r>
      <w:r w:rsidRPr="002B552C">
        <w:t xml:space="preserve">maste årens budgetarbete. </w:t>
      </w:r>
    </w:p>
    <w:p w:rsidR="00CD015F" w:rsidRPr="002B552C" w:rsidRDefault="00CD015F" w:rsidP="00125BE1">
      <w:pPr>
        <w:pStyle w:val="Normaltindrag"/>
      </w:pPr>
      <w:r w:rsidRPr="002B552C">
        <w:t>För att klara framtida pensionsåtaganden och investeringar krävs också att kommunerna har ett överskott i balansräkningen med cirka 2 procent. Inte minst pensionsåtagandena inger fortfarande stor oro. Den blandmodell som</w:t>
      </w:r>
      <w:r w:rsidR="00125BE1" w:rsidRPr="002B552C">
        <w:t xml:space="preserve"> det</w:t>
      </w:r>
      <w:r w:rsidRPr="002B552C">
        <w:t xml:space="preserve"> finns möjlighet att tillämpa för pensionsavsättningarna ger inte full kos</w:t>
      </w:r>
      <w:r w:rsidRPr="002B552C">
        <w:t>t</w:t>
      </w:r>
      <w:r w:rsidRPr="002B552C">
        <w:t>nadstäckning</w:t>
      </w:r>
      <w:r w:rsidR="00125BE1" w:rsidRPr="002B552C">
        <w:t>,</w:t>
      </w:r>
      <w:r w:rsidRPr="002B552C">
        <w:t xml:space="preserve"> vilket kommer att visa sig när trycket på pensionsutbetalnin</w:t>
      </w:r>
      <w:r w:rsidRPr="002B552C">
        <w:t>g</w:t>
      </w:r>
      <w:r w:rsidRPr="002B552C">
        <w:t>arna ökar.</w:t>
      </w:r>
    </w:p>
    <w:p w:rsidR="00CD015F" w:rsidRPr="002B552C" w:rsidRDefault="00CD015F" w:rsidP="00125BE1">
      <w:pPr>
        <w:pStyle w:val="Normaltindrag"/>
      </w:pPr>
      <w:r w:rsidRPr="002B552C">
        <w:t xml:space="preserve">Under innevarande år samt 2007 beräknas överskotten ligga på oförändrad nivå eller något högre. Men redan </w:t>
      </w:r>
      <w:r w:rsidR="00125BE1" w:rsidRPr="002B552C">
        <w:t>2008 väntas resultaten vända ned</w:t>
      </w:r>
      <w:r w:rsidRPr="002B552C">
        <w:t>åt. Situ</w:t>
      </w:r>
      <w:r w:rsidRPr="002B552C">
        <w:t>a</w:t>
      </w:r>
      <w:r w:rsidRPr="002B552C">
        <w:t>tionen med nuvarande resultat är helt beroende av att kostnadsutveckling</w:t>
      </w:r>
      <w:r w:rsidR="00125BE1" w:rsidRPr="002B552C">
        <w:t>en</w:t>
      </w:r>
      <w:r w:rsidRPr="002B552C">
        <w:t xml:space="preserve"> stannar på nuvarande nivå och att skatteunderlagsutvecklingen har en fortsatt gynnsam utveckling. Regeringen påtalar i vårbudgetproposi</w:t>
      </w:r>
      <w:r w:rsidR="00125BE1" w:rsidRPr="002B552C">
        <w:t>tionen att om tillväxten blir 0,</w:t>
      </w:r>
      <w:r w:rsidRPr="002B552C">
        <w:t>5 procentenhet</w:t>
      </w:r>
      <w:r w:rsidR="00125BE1" w:rsidRPr="002B552C">
        <w:t>er</w:t>
      </w:r>
      <w:r w:rsidRPr="002B552C">
        <w:t xml:space="preserve"> lägre per år, kommer överskotten näst intill att u</w:t>
      </w:r>
      <w:r w:rsidR="00125BE1" w:rsidRPr="002B552C">
        <w:t>traderas och samma händer med 0,</w:t>
      </w:r>
      <w:r w:rsidRPr="002B552C">
        <w:t>5 procentenhet</w:t>
      </w:r>
      <w:r w:rsidR="00125BE1" w:rsidRPr="002B552C">
        <w:t>er</w:t>
      </w:r>
      <w:r w:rsidRPr="002B552C">
        <w:t>s större nettokos</w:t>
      </w:r>
      <w:r w:rsidRPr="002B552C">
        <w:t>t</w:t>
      </w:r>
      <w:r w:rsidRPr="002B552C">
        <w:t>nadsökning. Den ekonomiska situationen för kommunsektorn är med andra ord inte stabil. Med tanke på uttalanden från regeringsföreträdare om att ytte</w:t>
      </w:r>
      <w:r w:rsidRPr="002B552C">
        <w:t>r</w:t>
      </w:r>
      <w:r w:rsidRPr="002B552C">
        <w:t>ligare löneutrymme skapats genom statliga insatser för kommun</w:t>
      </w:r>
      <w:r w:rsidR="00125BE1" w:rsidRPr="002B552C">
        <w:t>-</w:t>
      </w:r>
      <w:r w:rsidRPr="002B552C">
        <w:t xml:space="preserve"> och land</w:t>
      </w:r>
      <w:r w:rsidRPr="002B552C">
        <w:t>s</w:t>
      </w:r>
      <w:r w:rsidRPr="002B552C">
        <w:t>tingssektorn inger situation</w:t>
      </w:r>
      <w:r w:rsidR="00125BE1" w:rsidRPr="002B552C">
        <w:t>en</w:t>
      </w:r>
      <w:r w:rsidRPr="002B552C">
        <w:t xml:space="preserve"> oro. </w:t>
      </w:r>
    </w:p>
    <w:p w:rsidR="00CD015F" w:rsidRPr="002B552C" w:rsidRDefault="00CD015F" w:rsidP="00125BE1">
      <w:pPr>
        <w:pStyle w:val="Normaltindrag"/>
      </w:pPr>
      <w:r w:rsidRPr="002B552C">
        <w:t>En ytterligare fråga som inger oro för kommunsektorn är hushållens skul</w:t>
      </w:r>
      <w:r w:rsidRPr="002B552C">
        <w:t>d</w:t>
      </w:r>
      <w:r w:rsidRPr="002B552C">
        <w:t xml:space="preserve">sättning som ökat markant under senaste åren. Även små ränteökningar för den enskilde kan förorsaka stora problem och innebära följdverkningar som bidragsökningar för kommunerna. </w:t>
      </w:r>
    </w:p>
    <w:p w:rsidR="00CD015F" w:rsidRPr="002B552C" w:rsidRDefault="00CD015F" w:rsidP="00125BE1">
      <w:pPr>
        <w:pStyle w:val="Normaltindrag"/>
      </w:pPr>
      <w:r w:rsidRPr="002B552C">
        <w:t>I många kommuner och landsting har arbetet med en god ekonomisk hu</w:t>
      </w:r>
      <w:r w:rsidRPr="002B552C">
        <w:t>s</w:t>
      </w:r>
      <w:r w:rsidRPr="002B552C">
        <w:t>hållning kommit långt</w:t>
      </w:r>
      <w:r w:rsidR="00125BE1" w:rsidRPr="002B552C">
        <w:t>,</w:t>
      </w:r>
      <w:r w:rsidRPr="002B552C">
        <w:t xml:space="preserve"> även om det fortfarande är mycket kvar som behöver utvecklas innan tidigare års budgetunderskott har balanserats fullt ut i ko</w:t>
      </w:r>
      <w:r w:rsidRPr="002B552C">
        <w:t>m</w:t>
      </w:r>
      <w:r w:rsidRPr="002B552C">
        <w:t>munernas årsredovisningar. Det handlar i hög grad om att</w:t>
      </w:r>
      <w:r w:rsidR="00125BE1" w:rsidRPr="002B552C">
        <w:t xml:space="preserve"> fastställa mätbara verksamhetsmål</w:t>
      </w:r>
      <w:r w:rsidRPr="002B552C">
        <w:t xml:space="preserve"> och finansiella mål, fortsatta förbättringar vad gäller jämf</w:t>
      </w:r>
      <w:r w:rsidRPr="002B552C">
        <w:t>ö</w:t>
      </w:r>
      <w:r w:rsidRPr="002B552C">
        <w:t xml:space="preserve">rande nyckeltal och prognosuppföljningar i samband med halvårsboksluten. </w:t>
      </w:r>
    </w:p>
    <w:p w:rsidR="00CD015F" w:rsidRPr="002B552C" w:rsidRDefault="00CD015F" w:rsidP="00125BE1">
      <w:pPr>
        <w:pStyle w:val="Normaltindrag"/>
      </w:pPr>
      <w:r w:rsidRPr="002B552C">
        <w:t>Centerpartiet står fast vid att balanskravet på kommunerna måste vidhållas eftersom de är nödvändiga för att klara välfärden. Staten måste också ge kommunerna rimliga förutsättningar att kunna leva upp till en god ekonomisk hushållning. Kommuner och landsting skulle kunna använda sina resurser effektivare och bättre om de öronmärkta statsbidragen ersätts med generella bidrag. Riktade statsbidrag till skola, barn och omsorg gör att verksamheterna blir svåra att planera långsiktigt, framför</w:t>
      </w:r>
      <w:r w:rsidR="00125BE1" w:rsidRPr="002B552C">
        <w:t xml:space="preserve"> </w:t>
      </w:r>
      <w:r w:rsidRPr="002B552C">
        <w:t>allt vad gäller personalfrågorna.</w:t>
      </w:r>
    </w:p>
    <w:p w:rsidR="00CD015F" w:rsidRPr="002B552C" w:rsidRDefault="00CD015F" w:rsidP="00125BE1">
      <w:pPr>
        <w:pStyle w:val="Normaltindrag"/>
      </w:pPr>
      <w:r w:rsidRPr="002B552C">
        <w:t>Kommunerna är den närmaste politiska nivån för medborgarna och där en betydande del av välfärden beslutas och produceras. Vården, skolan och o</w:t>
      </w:r>
      <w:r w:rsidRPr="002B552C">
        <w:t>m</w:t>
      </w:r>
      <w:r w:rsidRPr="002B552C">
        <w:t>sorgen svarar för runt 80 procent av kommunens samlade kostnader.  Dem</w:t>
      </w:r>
      <w:r w:rsidRPr="002B552C">
        <w:t>o</w:t>
      </w:r>
      <w:r w:rsidRPr="002B552C">
        <w:t>kratin handlar i grunden om den enskilde medborgarens rättigheter och dela</w:t>
      </w:r>
      <w:r w:rsidRPr="002B552C">
        <w:t>k</w:t>
      </w:r>
      <w:r w:rsidRPr="002B552C">
        <w:t>tighet i samhället</w:t>
      </w:r>
      <w:r w:rsidR="00125BE1" w:rsidRPr="002B552C">
        <w:t>,</w:t>
      </w:r>
      <w:r w:rsidRPr="002B552C">
        <w:t xml:space="preserve"> och demokratin är beroende av förtroendet för politikerna. Ett viktigt skäl till ett stärkt kommunalt självstyre är att medborgarnas val faktiskt ska spela </w:t>
      </w:r>
      <w:r w:rsidR="00125BE1" w:rsidRPr="002B552C">
        <w:t xml:space="preserve">en </w:t>
      </w:r>
      <w:r w:rsidRPr="002B552C">
        <w:t>roll. Många, stora som små</w:t>
      </w:r>
      <w:r w:rsidR="00125BE1" w:rsidRPr="002B552C">
        <w:t>,</w:t>
      </w:r>
      <w:r w:rsidRPr="002B552C">
        <w:t xml:space="preserve"> kommuner har en unik och viktig roll i den formella demokratin genom sin närhet till medborgarna. </w:t>
      </w:r>
    </w:p>
    <w:p w:rsidR="00CD015F" w:rsidRPr="002B552C" w:rsidRDefault="00CD015F" w:rsidP="00125BE1">
      <w:pPr>
        <w:pStyle w:val="Normaltindrag"/>
      </w:pPr>
      <w:r w:rsidRPr="002B552C">
        <w:t>Kommuner och landsting behöver långsiktiga spelregler. En väl fungera</w:t>
      </w:r>
      <w:r w:rsidRPr="002B552C">
        <w:t>n</w:t>
      </w:r>
      <w:r w:rsidRPr="002B552C">
        <w:t>de kommunal skatteutjämning bidrar till grundläggande service i hela landet. Systemet måste utjämna såväl skillnader i skattekraft som strukturella skil</w:t>
      </w:r>
      <w:r w:rsidRPr="002B552C">
        <w:t>l</w:t>
      </w:r>
      <w:r w:rsidRPr="002B552C">
        <w:t xml:space="preserve">nader. </w:t>
      </w:r>
    </w:p>
    <w:p w:rsidR="00CD015F" w:rsidRPr="002B552C" w:rsidRDefault="00CD015F" w:rsidP="00125BE1">
      <w:pPr>
        <w:pStyle w:val="Normaltindrag"/>
      </w:pPr>
      <w:r w:rsidRPr="002B552C">
        <w:t>För att vitalisera det kommunala självstyret och självbestämmandet får inte statliga pekpinnar i form av riktade statsbidrag försvåra och hindra komm</w:t>
      </w:r>
      <w:r w:rsidRPr="002B552C">
        <w:t>u</w:t>
      </w:r>
      <w:r w:rsidRPr="002B552C">
        <w:t xml:space="preserve">nernas arbete. Kommunerna måste i högre utsträckning själva tillåtas </w:t>
      </w:r>
      <w:r w:rsidR="00125BE1" w:rsidRPr="002B552C">
        <w:t xml:space="preserve">att </w:t>
      </w:r>
      <w:r w:rsidRPr="002B552C">
        <w:t>b</w:t>
      </w:r>
      <w:r w:rsidRPr="002B552C">
        <w:t>e</w:t>
      </w:r>
      <w:r w:rsidRPr="002B552C">
        <w:t xml:space="preserve">sluta över sina skattebaser, avgifter och utgifter. Medborgarnas förväntningar på god kvalitet, valfrihet och ett brett utbud av kommunala tjänster är stora. För att nuvarande höga ambitionsnivå ska vara möjlig att bibehålla måste alternativa finansieringskällor sonderas. Detta kan ske genom att staten tillför kommunerna nya skattebaser. Centerpartiets förslag till inkomstskattereform med en skatterabatt gör att kommunernas skattebas förstärks och minskar samtidigt trycket på skatteutjämningssystemet.  </w:t>
      </w:r>
    </w:p>
    <w:p w:rsidR="00CD015F" w:rsidRPr="002B552C" w:rsidRDefault="00CD015F" w:rsidP="00125BE1">
      <w:pPr>
        <w:pStyle w:val="Rubrik1"/>
      </w:pPr>
      <w:bookmarkStart w:id="3" w:name="_Toc134426756"/>
      <w:r w:rsidRPr="002B552C">
        <w:t>Riktade statsbidrag</w:t>
      </w:r>
      <w:bookmarkEnd w:id="3"/>
    </w:p>
    <w:p w:rsidR="00CD015F" w:rsidRPr="002B552C" w:rsidRDefault="00CD015F" w:rsidP="0064483C">
      <w:pPr>
        <w:pStyle w:val="Normaltindrag"/>
        <w:spacing w:before="125"/>
        <w:ind w:firstLine="0"/>
      </w:pPr>
      <w:r w:rsidRPr="002B552C">
        <w:t>Det kommunala självstyret och medborgarnas möjligheter att utöva makt och kontroll över den lokala demokratin måste utvecklas. Det som i</w:t>
      </w:r>
      <w:r w:rsidR="00125BE1" w:rsidRPr="002B552C">
        <w:t xml:space="preserve"> </w:t>
      </w:r>
      <w:r w:rsidRPr="002B552C">
        <w:t>dag starkast bidrar till att inskränka kommunernas möjligheter och som försvagar självst</w:t>
      </w:r>
      <w:r w:rsidRPr="002B552C">
        <w:t>y</w:t>
      </w:r>
      <w:r w:rsidRPr="002B552C">
        <w:t>ret är att kommunmedborgarnas skattekronor omformas till riktade statsbidrag som i sin tur centraldirigerar kommunernas verksamheter. Därför måste sp</w:t>
      </w:r>
      <w:r w:rsidRPr="002B552C">
        <w:t>e</w:t>
      </w:r>
      <w:r w:rsidRPr="002B552C">
        <w:t xml:space="preserve">cialdestinerade statsbidrag göras om till generella bidrag, för att motverka statlig detaljstyrning och underlätta kommunernas ekonomiska planering. </w:t>
      </w:r>
    </w:p>
    <w:p w:rsidR="00CD015F" w:rsidRPr="002B552C" w:rsidRDefault="00CD015F" w:rsidP="00125BE1">
      <w:pPr>
        <w:pStyle w:val="Normaltindrag"/>
      </w:pPr>
      <w:r w:rsidRPr="002B552C">
        <w:t>Årets vårproposition utgör inget undantag</w:t>
      </w:r>
      <w:r w:rsidR="00125BE1" w:rsidRPr="002B552C">
        <w:t>,</w:t>
      </w:r>
      <w:r w:rsidRPr="002B552C">
        <w:t xml:space="preserve"> utan regeringen väljer att gå v</w:t>
      </w:r>
      <w:r w:rsidRPr="002B552C">
        <w:t>i</w:t>
      </w:r>
      <w:r w:rsidRPr="002B552C">
        <w:t>dare med fler inslag av riktade statsbidrag. Som exempel på detta kan nämnas satsningarna på äldrevården, där det särskilt nämns förebyggande av fa</w:t>
      </w:r>
      <w:r w:rsidR="00125BE1" w:rsidRPr="002B552C">
        <w:t>l</w:t>
      </w:r>
      <w:r w:rsidR="00125BE1" w:rsidRPr="002B552C">
        <w:t>l</w:t>
      </w:r>
      <w:r w:rsidR="00125BE1" w:rsidRPr="002B552C">
        <w:t>olyckor, personalsatsningar m.</w:t>
      </w:r>
      <w:r w:rsidRPr="002B552C">
        <w:t>m. En sådan centralstyrning intill klåfingrighet försvårar för verksamheten och skapar onödig byråkrati.</w:t>
      </w:r>
    </w:p>
    <w:p w:rsidR="00CD015F" w:rsidRPr="002B552C" w:rsidRDefault="00CD015F" w:rsidP="00125BE1">
      <w:pPr>
        <w:pStyle w:val="Normaltindrag"/>
      </w:pPr>
      <w:r w:rsidRPr="002B552C">
        <w:t>Underfinansierade statliga reformer är fortfarande en viktig orsak till i</w:t>
      </w:r>
      <w:r w:rsidRPr="002B552C">
        <w:t>n</w:t>
      </w:r>
      <w:r w:rsidRPr="002B552C">
        <w:t>stabila planeringsförutsättningar i kommunerna. Finansieringsprincipens tillämpning efter de överenskommelser Sveriges Kommuner och Landsting gör med regeringen måste vara vägledande. De nominella bidragssystemen kan slopas för att i</w:t>
      </w:r>
      <w:r w:rsidR="00125BE1" w:rsidRPr="002B552C">
        <w:t xml:space="preserve"> </w:t>
      </w:r>
      <w:r w:rsidRPr="002B552C">
        <w:t>stället indexreglera dem mellan åren. Riksdagen ska besl</w:t>
      </w:r>
      <w:r w:rsidRPr="002B552C">
        <w:t>u</w:t>
      </w:r>
      <w:r w:rsidRPr="002B552C">
        <w:t>ta om att finansieringsprincipen ska gälla mellan staten och den lok</w:t>
      </w:r>
      <w:r w:rsidRPr="002B552C">
        <w:t>a</w:t>
      </w:r>
      <w:r w:rsidRPr="002B552C">
        <w:t xml:space="preserve">la/regionala nivån. Regeringen ska överlägga om innehållet och förslag till beslut som påverkar </w:t>
      </w:r>
      <w:r w:rsidR="00125BE1" w:rsidRPr="002B552C">
        <w:t xml:space="preserve">Sveriges </w:t>
      </w:r>
      <w:r w:rsidRPr="002B552C">
        <w:t>Kommuner och Landsting, innan budgetprop</w:t>
      </w:r>
      <w:r w:rsidRPr="002B552C">
        <w:t>o</w:t>
      </w:r>
      <w:r w:rsidRPr="002B552C">
        <w:t xml:space="preserve">sitionen presenteras för </w:t>
      </w:r>
      <w:r w:rsidR="00125BE1" w:rsidRPr="002B552C">
        <w:t>riksdagen</w:t>
      </w:r>
      <w:r w:rsidRPr="002B552C">
        <w:t>. Vad som ovan anförts om finansiering</w:t>
      </w:r>
      <w:r w:rsidRPr="002B552C">
        <w:t>s</w:t>
      </w:r>
      <w:r w:rsidRPr="002B552C">
        <w:t>principen bör ges regeringen till känna.</w:t>
      </w:r>
    </w:p>
    <w:p w:rsidR="00CD015F" w:rsidRPr="002B552C" w:rsidRDefault="00CD015F" w:rsidP="00125BE1">
      <w:pPr>
        <w:pStyle w:val="Rubrik1"/>
      </w:pPr>
      <w:bookmarkStart w:id="4" w:name="_Toc134426757"/>
      <w:r w:rsidRPr="002B552C">
        <w:t>Bredda skattebasen</w:t>
      </w:r>
      <w:bookmarkEnd w:id="4"/>
    </w:p>
    <w:p w:rsidR="00CD015F" w:rsidRPr="002B552C" w:rsidRDefault="00CD015F" w:rsidP="0064483C">
      <w:pPr>
        <w:pStyle w:val="Normaltindrag"/>
        <w:spacing w:before="125"/>
        <w:ind w:firstLine="0"/>
      </w:pPr>
      <w:r w:rsidRPr="002B552C">
        <w:t>Kommunerna har det största ansvaret för åtaganden och tar samtidigt ut en väsentlig andel av människors inkomster för detta</w:t>
      </w:r>
      <w:r w:rsidR="00125BE1" w:rsidRPr="002B552C">
        <w:t xml:space="preserve"> –</w:t>
      </w:r>
      <w:r w:rsidRPr="002B552C">
        <w:t xml:space="preserve"> </w:t>
      </w:r>
      <w:r w:rsidR="00125BE1" w:rsidRPr="002B552C">
        <w:t>s</w:t>
      </w:r>
      <w:r w:rsidRPr="002B552C">
        <w:t>katteintäkter som mer än väl borde betala de kostnader som kommun</w:t>
      </w:r>
      <w:r w:rsidR="00125BE1" w:rsidRPr="002B552C">
        <w:t>erna</w:t>
      </w:r>
      <w:r w:rsidRPr="002B552C">
        <w:t xml:space="preserve"> har. Problemet är att framför</w:t>
      </w:r>
      <w:r w:rsidR="00125BE1" w:rsidRPr="002B552C">
        <w:t xml:space="preserve"> </w:t>
      </w:r>
      <w:r w:rsidRPr="002B552C">
        <w:t>allt grundavdrag men även andra avdrag räknas bort från den kommunala skattebasen. Kommunerna kompenseras</w:t>
      </w:r>
      <w:r w:rsidR="00125BE1" w:rsidRPr="002B552C">
        <w:t>,</w:t>
      </w:r>
      <w:r w:rsidRPr="002B552C">
        <w:t xml:space="preserve"> men eftersom statsbidragen är i nominella termer och räknas upp i takt med lönesummorna sker på sikt en urgröpning av kommunernas ekonomi. </w:t>
      </w:r>
    </w:p>
    <w:p w:rsidR="00CD015F" w:rsidRPr="002B552C" w:rsidRDefault="00CD015F" w:rsidP="00125BE1">
      <w:pPr>
        <w:pStyle w:val="Normaltindrag"/>
      </w:pPr>
      <w:r w:rsidRPr="002B552C">
        <w:t>Centerpartiet vill bredda kommune</w:t>
      </w:r>
      <w:r w:rsidR="00125BE1" w:rsidRPr="002B552C">
        <w:t>rnas skattebas och göra dem mer</w:t>
      </w:r>
      <w:r w:rsidRPr="002B552C">
        <w:t xml:space="preserve"> själ</w:t>
      </w:r>
      <w:r w:rsidRPr="002B552C">
        <w:t>v</w:t>
      </w:r>
      <w:r w:rsidRPr="002B552C">
        <w:t>ständiga gentemot staten. Vi vill genomföra en inkomstskattereform för att främst öka konsumtionsutrymmet för låg- och medelinkomsttagarna och u</w:t>
      </w:r>
      <w:r w:rsidRPr="002B552C">
        <w:t>n</w:t>
      </w:r>
      <w:r w:rsidRPr="002B552C">
        <w:t xml:space="preserve">danröja marginaleffekter för dessa inkomstgrupper. Med </w:t>
      </w:r>
      <w:r w:rsidR="00125BE1" w:rsidRPr="002B552C">
        <w:t xml:space="preserve">Centerpartiets </w:t>
      </w:r>
      <w:r w:rsidRPr="002B552C">
        <w:t>u</w:t>
      </w:r>
      <w:r w:rsidRPr="002B552C">
        <w:t>t</w:t>
      </w:r>
      <w:r w:rsidRPr="002B552C">
        <w:t>formning av jobbavdrag i form av en skatterabatt, i vår föreslagna inkoms</w:t>
      </w:r>
      <w:r w:rsidRPr="002B552C">
        <w:t>t</w:t>
      </w:r>
      <w:r w:rsidRPr="002B552C">
        <w:t>skattereform, får kommunerna behålla en väsentlig</w:t>
      </w:r>
      <w:r w:rsidR="00125BE1" w:rsidRPr="002B552C">
        <w:t>t</w:t>
      </w:r>
      <w:r w:rsidRPr="002B552C">
        <w:t xml:space="preserve"> större andel av sina ska</w:t>
      </w:r>
      <w:r w:rsidRPr="002B552C">
        <w:t>t</w:t>
      </w:r>
      <w:r w:rsidRPr="002B552C">
        <w:t xml:space="preserve">teinkomster och kan dessutom tillgodoräkna sig skatteintäkter på den ökande lönesumman. </w:t>
      </w:r>
    </w:p>
    <w:p w:rsidR="00CD015F" w:rsidRPr="002B552C" w:rsidRDefault="00CD015F" w:rsidP="00125BE1">
      <w:pPr>
        <w:pStyle w:val="Normaltindrag"/>
      </w:pPr>
      <w:r w:rsidRPr="002B552C">
        <w:t>När grundavdraget ersätts med en skatterabatt, lika för alla, minskas också belastningen på det kommunala utjämningssystemet. Med vårt inkomstskatt</w:t>
      </w:r>
      <w:r w:rsidRPr="002B552C">
        <w:t>e</w:t>
      </w:r>
      <w:r w:rsidRPr="002B552C">
        <w:t>förslag skulle kommuner och landsting med en skattekraft som överskrider den garanterade få betala en lägre avgift och kompensationsgraden kan sål</w:t>
      </w:r>
      <w:r w:rsidRPr="002B552C">
        <w:t>e</w:t>
      </w:r>
      <w:r w:rsidRPr="002B552C">
        <w:t>des sänkas för den överskjutande delen. Vad som ovan anförts om att bredda kommunernas skattebas genom en reformerad inkomstskattereform bör ges regeringen till känna.</w:t>
      </w:r>
    </w:p>
    <w:p w:rsidR="00CD015F" w:rsidRPr="002B552C" w:rsidRDefault="00CD015F" w:rsidP="0064483C">
      <w:pPr>
        <w:pStyle w:val="Rubrik1"/>
      </w:pPr>
      <w:bookmarkStart w:id="5" w:name="_Toc134426758"/>
      <w:r w:rsidRPr="002B552C">
        <w:t>Fler jobb bra för den kommunala ekonomin</w:t>
      </w:r>
      <w:bookmarkEnd w:id="5"/>
      <w:r w:rsidRPr="002B552C">
        <w:t xml:space="preserve">  </w:t>
      </w:r>
    </w:p>
    <w:p w:rsidR="00CD015F" w:rsidRPr="002B552C" w:rsidRDefault="00CD015F" w:rsidP="0064483C">
      <w:pPr>
        <w:pStyle w:val="Normaltindrag"/>
        <w:spacing w:before="125"/>
        <w:ind w:firstLine="0"/>
        <w:rPr>
          <w:rStyle w:val="standardarticlebody"/>
        </w:rPr>
      </w:pPr>
      <w:r w:rsidRPr="002B552C">
        <w:rPr>
          <w:rStyle w:val="standardarticlebody"/>
        </w:rPr>
        <w:t>Varje dag är det över en miljon svenskar som av olika anledni</w:t>
      </w:r>
      <w:r w:rsidR="00D26430" w:rsidRPr="002B552C">
        <w:rPr>
          <w:rStyle w:val="standardarticlebody"/>
        </w:rPr>
        <w:t xml:space="preserve">ngar inte går till ett arbete. </w:t>
      </w:r>
      <w:r w:rsidRPr="002B552C">
        <w:rPr>
          <w:rStyle w:val="standardarticlebody"/>
        </w:rPr>
        <w:t>Detta utanförskap tär på familjeekonomin och ställer krav på den kommunala ekonomin. Arbetsmarknaden måste reformeras så att fler männ</w:t>
      </w:r>
      <w:r w:rsidRPr="002B552C">
        <w:rPr>
          <w:rStyle w:val="standardarticlebody"/>
        </w:rPr>
        <w:t>i</w:t>
      </w:r>
      <w:r w:rsidRPr="002B552C">
        <w:rPr>
          <w:rStyle w:val="standardarticlebody"/>
        </w:rPr>
        <w:t>skor kommer i arbete. Kostnaden för arbetslöshet, långtidssjukskrivning och förtidspensioner är inte enbart en utgiftspost i statsbudgeten</w:t>
      </w:r>
      <w:r w:rsidR="00125BE1" w:rsidRPr="002B552C">
        <w:rPr>
          <w:rStyle w:val="standardarticlebody"/>
        </w:rPr>
        <w:t>,</w:t>
      </w:r>
      <w:r w:rsidRPr="002B552C">
        <w:rPr>
          <w:rStyle w:val="standardarticlebody"/>
        </w:rPr>
        <w:t xml:space="preserve"> utan kostnaderna återspe</w:t>
      </w:r>
      <w:r w:rsidR="0064483C" w:rsidRPr="002B552C">
        <w:rPr>
          <w:rStyle w:val="standardarticlebody"/>
        </w:rPr>
        <w:t>g</w:t>
      </w:r>
      <w:r w:rsidRPr="002B552C">
        <w:rPr>
          <w:rStyle w:val="standardarticlebody"/>
        </w:rPr>
        <w:t>las även i den kommunala ekonomin, bl</w:t>
      </w:r>
      <w:r w:rsidR="00125BE1" w:rsidRPr="002B552C">
        <w:rPr>
          <w:rStyle w:val="standardarticlebody"/>
        </w:rPr>
        <w:t>.</w:t>
      </w:r>
      <w:r w:rsidRPr="002B552C">
        <w:rPr>
          <w:rStyle w:val="standardarticlebody"/>
        </w:rPr>
        <w:t>a</w:t>
      </w:r>
      <w:r w:rsidR="00125BE1" w:rsidRPr="002B552C">
        <w:rPr>
          <w:rStyle w:val="standardarticlebody"/>
        </w:rPr>
        <w:t>.</w:t>
      </w:r>
      <w:r w:rsidRPr="002B552C">
        <w:rPr>
          <w:rStyle w:val="standardarticlebody"/>
        </w:rPr>
        <w:t xml:space="preserve"> i form av ökade socialb</w:t>
      </w:r>
      <w:r w:rsidRPr="002B552C">
        <w:rPr>
          <w:rStyle w:val="standardarticlebody"/>
        </w:rPr>
        <w:t>i</w:t>
      </w:r>
      <w:r w:rsidRPr="002B552C">
        <w:rPr>
          <w:rStyle w:val="standardarticlebody"/>
        </w:rPr>
        <w:t>dragskostnader.</w:t>
      </w:r>
    </w:p>
    <w:p w:rsidR="00CD015F" w:rsidRPr="002B552C" w:rsidRDefault="00CD015F" w:rsidP="00125BE1">
      <w:pPr>
        <w:pStyle w:val="Normaltindrag"/>
      </w:pPr>
      <w:r w:rsidRPr="002B552C">
        <w:rPr>
          <w:rStyle w:val="standardarticlebody"/>
        </w:rPr>
        <w:t>T</w:t>
      </w:r>
      <w:r w:rsidRPr="002B552C">
        <w:t>rots rådande högkonjunktur har vi 170 000 arbetslösa ungdomar</w:t>
      </w:r>
      <w:r w:rsidRPr="002B552C">
        <w:rPr>
          <w:rStyle w:val="Fotnotsreferens"/>
        </w:rPr>
        <w:footnoteReference w:id="2"/>
      </w:r>
      <w:r w:rsidRPr="002B552C">
        <w:t xml:space="preserve"> och kommunerna har ett speciellt ansvar för dessa ungdomar. Studier visar att ungdomar, som knappt etablerat sig på arbetsmarknaden, löper en större risk att bli bidragsberoende och utslagna om inte arbetslösheten bryts. Regerin</w:t>
      </w:r>
      <w:r w:rsidRPr="002B552C">
        <w:t>g</w:t>
      </w:r>
      <w:r w:rsidRPr="002B552C">
        <w:t>ens plus</w:t>
      </w:r>
      <w:r w:rsidR="00125BE1" w:rsidRPr="002B552C">
        <w:t>-</w:t>
      </w:r>
      <w:r w:rsidRPr="002B552C">
        <w:t xml:space="preserve">jobb-satsningar kommer inte att få den effekt på arbetslösheten som framhålls i budgetpropositionen.  </w:t>
      </w:r>
    </w:p>
    <w:p w:rsidR="00CD015F" w:rsidRPr="002B552C" w:rsidRDefault="00CD015F" w:rsidP="00125BE1">
      <w:pPr>
        <w:pStyle w:val="Normaltindrag"/>
      </w:pPr>
      <w:r w:rsidRPr="002B552C">
        <w:t xml:space="preserve">Den största friheten är att kunna </w:t>
      </w:r>
      <w:r w:rsidR="00125BE1" w:rsidRPr="002B552C">
        <w:t>leva på den lön som eget arbete</w:t>
      </w:r>
      <w:r w:rsidRPr="002B552C">
        <w:t xml:space="preserve"> ger och det är bra mycket bättre att få in en fot på arbetsmarknaden än att stå med båda utanför. Ingen vinner på att vi föser in våra unga i bidragsberoende. Grunden för att bryta ungdomsarbetslösheten är att ska</w:t>
      </w:r>
      <w:r w:rsidR="00125BE1" w:rsidRPr="002B552C">
        <w:t>pa förutsättningar för nya jobb samt att göra ungdomar mer</w:t>
      </w:r>
      <w:r w:rsidRPr="002B552C">
        <w:t xml:space="preserve"> attraktiva på arbetsmarknaden. Arbet</w:t>
      </w:r>
      <w:r w:rsidR="00125BE1" w:rsidRPr="002B552C">
        <w:t>s</w:t>
      </w:r>
      <w:r w:rsidR="00125BE1" w:rsidRPr="002B552C">
        <w:t>marknadspolitik kan inte ensam</w:t>
      </w:r>
      <w:r w:rsidRPr="002B552C">
        <w:t xml:space="preserve"> lösa problemen. </w:t>
      </w:r>
    </w:p>
    <w:p w:rsidR="00CD015F" w:rsidRPr="002B552C" w:rsidRDefault="00CD015F" w:rsidP="00125BE1">
      <w:pPr>
        <w:pStyle w:val="Normaltindrag"/>
        <w:rPr>
          <w:b/>
        </w:rPr>
      </w:pPr>
      <w:r w:rsidRPr="002B552C">
        <w:t>Centerpartiet har för</w:t>
      </w:r>
      <w:r w:rsidR="00125BE1" w:rsidRPr="002B552C">
        <w:t>e</w:t>
      </w:r>
      <w:r w:rsidRPr="002B552C">
        <w:t>slagit särskilda ungdomsavtal. Centerpartiets förslag om frivilliga ungdomsavtal, innebär till skillnad från plus</w:t>
      </w:r>
      <w:r w:rsidR="00125BE1" w:rsidRPr="002B552C">
        <w:t>-</w:t>
      </w:r>
      <w:r w:rsidRPr="002B552C">
        <w:t>jobben att den a</w:t>
      </w:r>
      <w:r w:rsidRPr="002B552C">
        <w:t>r</w:t>
      </w:r>
      <w:r w:rsidRPr="002B552C">
        <w:t>betslöse som är under 26 år får fast anställning efter de två provanställning</w:t>
      </w:r>
      <w:r w:rsidRPr="002B552C">
        <w:t>s</w:t>
      </w:r>
      <w:r w:rsidRPr="002B552C">
        <w:t>åren. Anställning via särskilda ungdomsavtal ska till skillnad från regeringens förslag om plus</w:t>
      </w:r>
      <w:r w:rsidR="00125BE1" w:rsidRPr="002B552C">
        <w:t>-</w:t>
      </w:r>
      <w:r w:rsidRPr="002B552C">
        <w:t>jobb kunna ske i såväl offentlig som privat sektor.  Vad som ovan anförts om ungdomsarbetslösheten</w:t>
      </w:r>
      <w:r w:rsidR="00125BE1" w:rsidRPr="002B552C">
        <w:t>s</w:t>
      </w:r>
      <w:r w:rsidRPr="002B552C">
        <w:t xml:space="preserve"> påverkan på den kommunala ek</w:t>
      </w:r>
      <w:r w:rsidRPr="002B552C">
        <w:t>o</w:t>
      </w:r>
      <w:r w:rsidRPr="002B552C">
        <w:t>nomi</w:t>
      </w:r>
      <w:r w:rsidR="00125BE1" w:rsidRPr="002B552C">
        <w:t>n bör ges regeringen till känna.</w:t>
      </w:r>
    </w:p>
    <w:p w:rsidR="00CD015F" w:rsidRPr="002B552C" w:rsidRDefault="00CD015F" w:rsidP="00125BE1">
      <w:pPr>
        <w:pStyle w:val="Rubrik1"/>
      </w:pPr>
      <w:bookmarkStart w:id="6" w:name="_Toc134426759"/>
      <w:r w:rsidRPr="002B552C">
        <w:t>Det kommunala utjämningssystemet</w:t>
      </w:r>
      <w:bookmarkEnd w:id="6"/>
    </w:p>
    <w:p w:rsidR="00CD015F" w:rsidRPr="002B552C" w:rsidRDefault="00CD015F" w:rsidP="0064483C">
      <w:pPr>
        <w:pStyle w:val="Normaltindrag"/>
        <w:spacing w:before="125"/>
        <w:ind w:firstLine="0"/>
      </w:pPr>
      <w:r w:rsidRPr="002B552C">
        <w:t>En väl fungerande kommunal skatteutjämning bidrar till en god grundlägga</w:t>
      </w:r>
      <w:r w:rsidRPr="002B552C">
        <w:t>n</w:t>
      </w:r>
      <w:r w:rsidRPr="002B552C">
        <w:t xml:space="preserve">de service </w:t>
      </w:r>
      <w:r w:rsidR="00125BE1" w:rsidRPr="002B552C">
        <w:t xml:space="preserve">och </w:t>
      </w:r>
      <w:r w:rsidRPr="002B552C">
        <w:t>likvärdiga förutsättningar för tillväxt i hela landet. Alla me</w:t>
      </w:r>
      <w:r w:rsidRPr="002B552C">
        <w:t>d</w:t>
      </w:r>
      <w:r w:rsidRPr="002B552C">
        <w:t>borgare har samma rätt till skola, vård och omsorg. Ett kommunalt skatteu</w:t>
      </w:r>
      <w:r w:rsidRPr="002B552C">
        <w:t>t</w:t>
      </w:r>
      <w:r w:rsidRPr="002B552C">
        <w:t>jämningssystem ska utjämna skillnader i skattekraften och ett kostnadsutjä</w:t>
      </w:r>
      <w:r w:rsidRPr="002B552C">
        <w:t>m</w:t>
      </w:r>
      <w:r w:rsidRPr="002B552C">
        <w:t>ningssystem de strukturella skillnaderna. Dagens utformning av utjämning</w:t>
      </w:r>
      <w:r w:rsidRPr="002B552C">
        <w:t>s</w:t>
      </w:r>
      <w:r w:rsidRPr="002B552C">
        <w:t>systemet har uppenbara brister. Det är svårt att överblicka och motverkar i hög grad det kommunala självbestämmandet. Skatteutjämningssystemet ska baseras på principer som stärker det kommunala självstyret. Det ska också ge förutsättningar för likartade förutsättningar för att kunna hålla en skälig grundläggande service till medborgarna</w:t>
      </w:r>
      <w:r w:rsidR="00125BE1" w:rsidRPr="002B552C">
        <w:t>,</w:t>
      </w:r>
      <w:r w:rsidRPr="002B552C">
        <w:t xml:space="preserve"> oavsett i vilken kommun de är bosa</w:t>
      </w:r>
      <w:r w:rsidRPr="002B552C">
        <w:t>t</w:t>
      </w:r>
      <w:r w:rsidRPr="002B552C">
        <w:t>ta. I utjämningssystemet ska det också finnas incitament för ekonomisk til</w:t>
      </w:r>
      <w:r w:rsidRPr="002B552C">
        <w:t>l</w:t>
      </w:r>
      <w:r w:rsidRPr="002B552C">
        <w:t>växt i hela landet och stimulans för ökade skattebaser. Vad som ovan anförts om det kommunala skatteutjämningssystemet bör ges regeringen till känna.</w:t>
      </w:r>
    </w:p>
    <w:p w:rsidR="00CD015F" w:rsidRPr="002B552C" w:rsidRDefault="00CD015F" w:rsidP="00125BE1">
      <w:pPr>
        <w:pStyle w:val="Rubrik1"/>
      </w:pPr>
      <w:bookmarkStart w:id="7" w:name="_Toc134426760"/>
      <w:r w:rsidRPr="002B552C">
        <w:t>Lagen om stöd och service för funktionshindrade</w:t>
      </w:r>
      <w:bookmarkEnd w:id="7"/>
      <w:r w:rsidRPr="002B552C">
        <w:t xml:space="preserve"> </w:t>
      </w:r>
    </w:p>
    <w:p w:rsidR="00CD015F" w:rsidRPr="002B552C" w:rsidRDefault="00CD015F" w:rsidP="00125BE1">
      <w:r w:rsidRPr="002B552C">
        <w:t>Samhället måste vara tillgängligt för alla så att vi som medborgare kan delta i samhället på lika villkor. Centerpartiet anser att även personer med fun</w:t>
      </w:r>
      <w:r w:rsidRPr="002B552C">
        <w:t>k</w:t>
      </w:r>
      <w:r w:rsidRPr="002B552C">
        <w:t xml:space="preserve">tionshinder ska ha möjligheter att påverka sin omgivning och sin vardag. Enligt </w:t>
      </w:r>
      <w:r w:rsidR="00125BE1" w:rsidRPr="002B552C">
        <w:t xml:space="preserve">lagen </w:t>
      </w:r>
      <w:r w:rsidRPr="002B552C">
        <w:t>om stöd och service för funktionshindrade (LSS) måste komm</w:t>
      </w:r>
      <w:r w:rsidRPr="002B552C">
        <w:t>u</w:t>
      </w:r>
      <w:r w:rsidRPr="002B552C">
        <w:t>nerna tillhandahålla de tjänster som funktionshindrade är berättigade till. LSS är en mycket viktig rättighetsreform som har stor betydelse för dem som b</w:t>
      </w:r>
      <w:r w:rsidRPr="002B552C">
        <w:t>e</w:t>
      </w:r>
      <w:r w:rsidRPr="002B552C">
        <w:t>höver stöd och hjälp</w:t>
      </w:r>
      <w:r w:rsidR="00125BE1" w:rsidRPr="002B552C">
        <w:t>,</w:t>
      </w:r>
      <w:r w:rsidRPr="002B552C">
        <w:t xml:space="preserve"> </w:t>
      </w:r>
      <w:r w:rsidR="00125BE1" w:rsidRPr="002B552C">
        <w:t xml:space="preserve">och </w:t>
      </w:r>
      <w:r w:rsidRPr="002B552C">
        <w:t>därför är det viktigt att reformen finns och att den värderas och utvecklas.</w:t>
      </w:r>
    </w:p>
    <w:p w:rsidR="00CD015F" w:rsidRPr="002B552C" w:rsidRDefault="00CD015F" w:rsidP="00125BE1">
      <w:pPr>
        <w:pStyle w:val="Normaltindrag"/>
      </w:pPr>
      <w:r w:rsidRPr="002B552C">
        <w:t>Kostnaderna för LSS-verksamheten har dock blivit en tung utgiftspost i kommunernas budget. Behovet av reformen har underskattats</w:t>
      </w:r>
      <w:r w:rsidR="00125BE1" w:rsidRPr="002B552C">
        <w:t>,</w:t>
      </w:r>
      <w:r w:rsidRPr="002B552C">
        <w:t xml:space="preserve"> och till viss del har lagstiftningen ändrats</w:t>
      </w:r>
      <w:r w:rsidR="00125BE1" w:rsidRPr="002B552C">
        <w:t>,</w:t>
      </w:r>
      <w:r w:rsidRPr="002B552C">
        <w:t xml:space="preserve"> vilket inneburit ökade kostnader. Detta har medfört att LSS-verksamheten expanderat kraftigt under de senaste åren. Nettokos</w:t>
      </w:r>
      <w:r w:rsidRPr="002B552C">
        <w:t>t</w:t>
      </w:r>
      <w:r w:rsidRPr="002B552C">
        <w:t>nadsökningen har varit cirka 10 procent per år, medan statsbidragen har varit nominella. Till detta kommer stora brister i utjämningssystemet. Användandet av basår som inte står i relation till det verkliga utfallet har medfört en ma</w:t>
      </w:r>
      <w:r w:rsidRPr="002B552C">
        <w:t>r</w:t>
      </w:r>
      <w:r w:rsidRPr="002B552C">
        <w:t>kant snedfördelning inom systemet. Vissa kommuner har fått en orimlig ek</w:t>
      </w:r>
      <w:r w:rsidRPr="002B552C">
        <w:t>o</w:t>
      </w:r>
      <w:r w:rsidRPr="002B552C">
        <w:t>nomisk belastning</w:t>
      </w:r>
      <w:r w:rsidR="00125BE1" w:rsidRPr="002B552C">
        <w:t>,</w:t>
      </w:r>
      <w:r w:rsidRPr="002B552C">
        <w:t xml:space="preserve"> medan andra komm</w:t>
      </w:r>
      <w:r w:rsidR="00D26430" w:rsidRPr="002B552C">
        <w:t>un</w:t>
      </w:r>
      <w:r w:rsidRPr="002B552C">
        <w:t>er fått mer resurser än det reella behovet. Utfallet av utjämningssystemet styrker behovet av en översyn av systemet.</w:t>
      </w:r>
    </w:p>
    <w:p w:rsidR="00CD015F" w:rsidRPr="002B552C" w:rsidRDefault="00CD015F" w:rsidP="00D26430">
      <w:pPr>
        <w:pStyle w:val="Normaltindrag"/>
      </w:pPr>
      <w:r w:rsidRPr="002B552C">
        <w:t>Vid sidan av de ekonomiskt svåra situationer som många kommuner for</w:t>
      </w:r>
      <w:r w:rsidRPr="002B552C">
        <w:t>t</w:t>
      </w:r>
      <w:r w:rsidRPr="002B552C">
        <w:t>farande har medför den kommunala hanteringen av LSS även ett hot mot individers integritet. I små kommuner med ett fåtal personer som berörs av LSS, kan kommunens utgifter direkt kopplas till och</w:t>
      </w:r>
      <w:r w:rsidR="00D26430" w:rsidRPr="002B552C">
        <w:t xml:space="preserve"> att</w:t>
      </w:r>
      <w:r w:rsidRPr="002B552C">
        <w:t xml:space="preserve"> identifiera enskilda individer, vilket är djupt olyckligt. Centerpartiet eftersträvar att hanteringen av LSS blir acceptabel för de berörda personerna både ur ett kvalitets- och </w:t>
      </w:r>
      <w:r w:rsidR="0064483C" w:rsidRPr="002B552C">
        <w:t>ett</w:t>
      </w:r>
      <w:r w:rsidR="00D26430" w:rsidRPr="002B552C">
        <w:t xml:space="preserve"> </w:t>
      </w:r>
      <w:r w:rsidRPr="002B552C">
        <w:t xml:space="preserve">integritetsperspektiv. </w:t>
      </w:r>
      <w:r w:rsidRPr="002B552C">
        <w:rPr>
          <w:color w:val="000000"/>
        </w:rPr>
        <w:t>Dessa förhållanden föranleder en översyn av huvu</w:t>
      </w:r>
      <w:r w:rsidRPr="002B552C">
        <w:rPr>
          <w:color w:val="000000"/>
        </w:rPr>
        <w:t>d</w:t>
      </w:r>
      <w:r w:rsidRPr="002B552C">
        <w:rPr>
          <w:color w:val="000000"/>
        </w:rPr>
        <w:t>mannaskap och att den av riksdagen begärda utredning</w:t>
      </w:r>
      <w:r w:rsidR="00D26430" w:rsidRPr="002B552C">
        <w:rPr>
          <w:color w:val="000000"/>
        </w:rPr>
        <w:t>en</w:t>
      </w:r>
      <w:r w:rsidRPr="002B552C">
        <w:rPr>
          <w:color w:val="000000"/>
        </w:rPr>
        <w:t xml:space="preserve"> </w:t>
      </w:r>
      <w:r w:rsidR="00D26430" w:rsidRPr="002B552C">
        <w:rPr>
          <w:color w:val="000000"/>
        </w:rPr>
        <w:t>om</w:t>
      </w:r>
      <w:r w:rsidRPr="002B552C">
        <w:rPr>
          <w:color w:val="000000"/>
        </w:rPr>
        <w:t xml:space="preserve"> konsekvenserna av en statlig finansiering snarast måste verkställas. Vad som ovan anförs om en översyn av huvudmannaskapet för LSS-verksamheten och en statlig fina</w:t>
      </w:r>
      <w:r w:rsidRPr="002B552C">
        <w:rPr>
          <w:color w:val="000000"/>
        </w:rPr>
        <w:t>n</w:t>
      </w:r>
      <w:r w:rsidRPr="002B552C">
        <w:rPr>
          <w:color w:val="000000"/>
        </w:rPr>
        <w:t>siering bör ges regeringen till känna.</w:t>
      </w:r>
      <w:r w:rsidRPr="002B552C">
        <w:t xml:space="preserve"> </w:t>
      </w:r>
    </w:p>
    <w:p w:rsidR="00CD015F" w:rsidRPr="002B552C" w:rsidRDefault="00CD015F" w:rsidP="00D26430">
      <w:pPr>
        <w:pStyle w:val="Rubrik1"/>
      </w:pPr>
      <w:bookmarkStart w:id="8" w:name="_Toc134426761"/>
      <w:r w:rsidRPr="002B552C">
        <w:t>Valfrihet i vården för den enskilde och mångfald i utförandet</w:t>
      </w:r>
      <w:bookmarkEnd w:id="8"/>
    </w:p>
    <w:p w:rsidR="00CD015F" w:rsidRPr="002B552C" w:rsidRDefault="00CD015F" w:rsidP="0064483C">
      <w:pPr>
        <w:pStyle w:val="Normaltindrag"/>
        <w:spacing w:before="125"/>
        <w:ind w:firstLine="0"/>
      </w:pPr>
      <w:r w:rsidRPr="002B552C">
        <w:t xml:space="preserve">Hälso- och sjukvården och äldreomsorgen i Sverige </w:t>
      </w:r>
      <w:r w:rsidR="00D26430" w:rsidRPr="002B552C">
        <w:t>är generellt sett av god kvalitet</w:t>
      </w:r>
      <w:r w:rsidRPr="002B552C">
        <w:t xml:space="preserve">. Det finns dock mer att göra för att säkerställa detta inför framtiden. Många äldre oroar sig för en hårdare ransonering av såväl hemtjänst som trygga boenden. Kraven om att få välja själv ökar. Kommande generationer kommer inte att låta sig nöjas med att någon annan anvisar vilken service den enskilde får tillgång till. Centerpartiet föreslår en strategi för en ekonomiskt hållbar äldreomsorg och vill ha en genomlysning av vad som behöver göras för att fler trygga äldreboenden med service ska kunna växa fram. </w:t>
      </w:r>
    </w:p>
    <w:p w:rsidR="00CD015F" w:rsidRPr="002B552C" w:rsidRDefault="00CD015F" w:rsidP="00D26430">
      <w:pPr>
        <w:pStyle w:val="Normaltindrag"/>
      </w:pPr>
      <w:r w:rsidRPr="002B552C">
        <w:t xml:space="preserve">Den äldre som behöver omsorg och boende måste ges möjlighet att välja. Centerpartiet </w:t>
      </w:r>
      <w:r w:rsidR="00D26430" w:rsidRPr="002B552C">
        <w:t>lägger förslag på en Fritt val-</w:t>
      </w:r>
      <w:r w:rsidRPr="002B552C">
        <w:t xml:space="preserve">reform och kraftigt sänkt pris på hushållsnära tjänster efter mönster från bland annat Finland. </w:t>
      </w:r>
    </w:p>
    <w:p w:rsidR="00CD015F" w:rsidRPr="002B552C" w:rsidRDefault="00CD015F" w:rsidP="00D26430">
      <w:pPr>
        <w:pStyle w:val="Normaltindrag"/>
      </w:pPr>
      <w:r w:rsidRPr="002B552C">
        <w:t>Personalen i äldreomsorgen måste få högre status och bättre arbetsvillkor och karriärvägar. De offentligt anställda inom vårdsektorn ska ges möjlighet att starta eget. Centerpartiet vill öppna för entreprenör</w:t>
      </w:r>
      <w:r w:rsidR="00D26430" w:rsidRPr="002B552C">
        <w:t>er</w:t>
      </w:r>
      <w:r w:rsidRPr="002B552C">
        <w:t xml:space="preserve"> i äldreomsorgen.</w:t>
      </w:r>
      <w:r w:rsidRPr="002B552C">
        <w:rPr>
          <w:color w:val="000000"/>
        </w:rPr>
        <w:t xml:space="preserve"> För att få en ökad valfrihet och mångfald inom såväl hälso- och sjukvården som äldreomsorgen är det nödvändigt att stimulera fler privata</w:t>
      </w:r>
      <w:r w:rsidRPr="002B552C">
        <w:t>, kooperativa och ideella alternativ</w:t>
      </w:r>
      <w:r w:rsidRPr="002B552C">
        <w:rPr>
          <w:color w:val="000000"/>
        </w:rPr>
        <w:t xml:space="preserve">. </w:t>
      </w:r>
      <w:r w:rsidRPr="002B552C">
        <w:t xml:space="preserve">Vad som ovan anförts om valfrihet i vården och mångfald i utförandet bör ges regeringen till känna. </w:t>
      </w:r>
    </w:p>
    <w:p w:rsidR="00CD015F" w:rsidRPr="002B552C" w:rsidRDefault="00CD015F" w:rsidP="00D26430">
      <w:pPr>
        <w:pStyle w:val="Rubrik1"/>
      </w:pPr>
      <w:bookmarkStart w:id="9" w:name="_Toc134426762"/>
      <w:r w:rsidRPr="002B552C">
        <w:t>Lagen om offentlig upphandling</w:t>
      </w:r>
      <w:bookmarkEnd w:id="9"/>
    </w:p>
    <w:p w:rsidR="00CD015F" w:rsidRPr="002B552C" w:rsidRDefault="00CD015F" w:rsidP="0064483C">
      <w:pPr>
        <w:pStyle w:val="Normaltindrag"/>
        <w:spacing w:before="125"/>
        <w:ind w:firstLine="0"/>
      </w:pPr>
      <w:r w:rsidRPr="002B552C">
        <w:t>Offentlig sektor upp</w:t>
      </w:r>
      <w:r w:rsidR="00D26430" w:rsidRPr="002B552C">
        <w:t>h</w:t>
      </w:r>
      <w:r w:rsidRPr="002B552C">
        <w:t>andlar årligen varor och tjänster i nivån 500 miljarder kronor. Sektorn framstår därmed som en viktig aktör för företagandet i hela landet. Det är därför viktigt att upphandlingar sker på ett formellt riktigt sätt där ett otal parametrar vägs in i bedömningen vid upphandling.  Lagen om offentlig upphandling, LOU, har i stor omfattning effektiviserat den ko</w:t>
      </w:r>
      <w:r w:rsidRPr="002B552C">
        <w:t>m</w:t>
      </w:r>
      <w:r w:rsidRPr="002B552C">
        <w:t>munalt bedrivna verksamheten. LOU är för närvarande under omarbetning, vilket medför att möjligheten till förändring är stor.</w:t>
      </w:r>
    </w:p>
    <w:p w:rsidR="00CD015F" w:rsidRPr="002B552C" w:rsidRDefault="00CD015F" w:rsidP="00D26430">
      <w:pPr>
        <w:pStyle w:val="Normaltindrag"/>
      </w:pPr>
      <w:r w:rsidRPr="002B552C">
        <w:t>Många kommuner har valt att bedriva traditionell kommunal förvaltning i bolagsform. Skälet kan vara en bättre effektivitet, tydliggörande av utförar</w:t>
      </w:r>
      <w:r w:rsidRPr="002B552C">
        <w:t>e</w:t>
      </w:r>
      <w:r w:rsidRPr="002B552C">
        <w:t>modellen inom kommunen samt en inomkommunal affärsverksamhet. Mode</w:t>
      </w:r>
      <w:r w:rsidRPr="002B552C">
        <w:t>l</w:t>
      </w:r>
      <w:r w:rsidRPr="002B552C">
        <w:t>len skapas utifrån respektive kommuns förutsättningar. Trots att verksamh</w:t>
      </w:r>
      <w:r w:rsidRPr="002B552C">
        <w:t>e</w:t>
      </w:r>
      <w:r w:rsidRPr="002B552C">
        <w:t>ten bedrivs i annan associationsform innefattas verksamheten i bedömningen av det kommunala balanskravet. Verksamheten omfattas alltså av såväl akti</w:t>
      </w:r>
      <w:r w:rsidRPr="002B552C">
        <w:t>e</w:t>
      </w:r>
      <w:r w:rsidRPr="002B552C">
        <w:t>bolagslagen som kommunallagen, vilket innebär att verksamheten inte är att betrakta som gängse bolagsform. Mot den bakgrunden är det inte rimligt att verksamheter i dessa bolag, som utförs till ägarekommunen, ska omfattas av lagen om offentlig upphandling.</w:t>
      </w:r>
    </w:p>
    <w:p w:rsidR="00CD015F" w:rsidRPr="002B552C" w:rsidRDefault="00CD015F" w:rsidP="00D26430">
      <w:pPr>
        <w:pStyle w:val="Normaltindrag"/>
      </w:pPr>
      <w:r w:rsidRPr="002B552C">
        <w:t>Andra effekter som bör ses över är rimligheten vid mindre upphandlingar där utarbetandet av förfrågningsunderlag ofta kostar mer än själva arbetet. En rimlig ram för direktupphandling</w:t>
      </w:r>
      <w:r w:rsidR="00D26430" w:rsidRPr="002B552C">
        <w:t>,</w:t>
      </w:r>
      <w:r w:rsidRPr="002B552C">
        <w:t xml:space="preserve"> följd av en rimlig ram för en enklare up</w:t>
      </w:r>
      <w:r w:rsidRPr="002B552C">
        <w:t>p</w:t>
      </w:r>
      <w:r w:rsidRPr="002B552C">
        <w:t>handlingsform</w:t>
      </w:r>
      <w:r w:rsidR="00D26430" w:rsidRPr="002B552C">
        <w:t>,</w:t>
      </w:r>
      <w:r w:rsidRPr="002B552C">
        <w:t xml:space="preserve"> bör skapas i utrymmet under traditionell EU-upphandling. </w:t>
      </w:r>
    </w:p>
    <w:p w:rsidR="00CD015F" w:rsidRPr="002B552C" w:rsidRDefault="00CD015F" w:rsidP="00D26430">
      <w:pPr>
        <w:pStyle w:val="Normaltindrag"/>
      </w:pPr>
      <w:r w:rsidRPr="002B552C">
        <w:t>En översyn av upphandlingsformer inom vården bör dessutom göras</w:t>
      </w:r>
      <w:r w:rsidR="00D26430" w:rsidRPr="002B552C">
        <w:t>,</w:t>
      </w:r>
      <w:r w:rsidRPr="002B552C">
        <w:t xml:space="preserve"> där relationen mellan läkare och patient tydliggörs i relationen mellan de affär</w:t>
      </w:r>
      <w:r w:rsidRPr="002B552C">
        <w:t>s</w:t>
      </w:r>
      <w:r w:rsidRPr="002B552C">
        <w:t>upphandlande parterna. Inom primärvården kan annars absurda effekter up</w:t>
      </w:r>
      <w:r w:rsidRPr="002B552C">
        <w:t>p</w:t>
      </w:r>
      <w:r w:rsidRPr="002B552C">
        <w:t>stå.</w:t>
      </w:r>
    </w:p>
    <w:p w:rsidR="00CD015F" w:rsidRPr="002B552C" w:rsidRDefault="00CD015F" w:rsidP="00D26430">
      <w:pPr>
        <w:pStyle w:val="Normaltindrag"/>
      </w:pPr>
      <w:r w:rsidRPr="002B552C">
        <w:t>Det finns även ett stort behov av en översyn av lagstiftning, regelverk och institutioner så att konkurrensneutralitet skapas mellan vårdens olika aktörer. I dag slås</w:t>
      </w:r>
      <w:r w:rsidR="00D26430" w:rsidRPr="002B552C">
        <w:t xml:space="preserve"> till </w:t>
      </w:r>
      <w:r w:rsidRPr="002B552C">
        <w:t>ex</w:t>
      </w:r>
      <w:r w:rsidR="00D26430" w:rsidRPr="002B552C">
        <w:t>empel</w:t>
      </w:r>
      <w:r w:rsidRPr="002B552C">
        <w:t xml:space="preserve"> ideella vårdaktörer ofta ut på grund av alltför korta avtalstider, vilket försvårar finansieringen och hämmar framväxten av nya vårdgivare. Lagen om offentlig upphandling (LOU) bör ses över så att tjän</w:t>
      </w:r>
      <w:r w:rsidRPr="002B552C">
        <w:t>s</w:t>
      </w:r>
      <w:r w:rsidRPr="002B552C">
        <w:t>tehandel inom vården kan underlättas. Konkurrensbegreppet bör förutom pris även avse kvalitet och resultat. Med dagens system</w:t>
      </w:r>
      <w:r w:rsidR="00D26430" w:rsidRPr="002B552C">
        <w:t>,</w:t>
      </w:r>
      <w:r w:rsidRPr="002B552C">
        <w:t xml:space="preserve"> där man enbart konkurr</w:t>
      </w:r>
      <w:r w:rsidRPr="002B552C">
        <w:t>e</w:t>
      </w:r>
      <w:r w:rsidRPr="002B552C">
        <w:t xml:space="preserve">rar med pris, väljs i regel det billigaste anbudet och medborgarna får därmed inte information om kvalitet och resultat och förlorar möjligheten att själva välja. Praxis måste därmed utvecklas för mätning av kvalitet och resultat om LOU ska kunna användas för upphandling av vård- och omsorgstjänster. Det är därför viktigt att utarbeta sociala kriterier och göra dem obligatoriska vid all upphandling. </w:t>
      </w:r>
    </w:p>
    <w:p w:rsidR="00CD015F" w:rsidRPr="002B552C" w:rsidRDefault="00CD015F" w:rsidP="00D26430">
      <w:pPr>
        <w:pStyle w:val="Normaltindrag"/>
      </w:pPr>
      <w:r w:rsidRPr="002B552C">
        <w:t>LOU har på ett positivt sätt bidragit till effektivisering av offentlig sektor. Upphandlingsförfarandet kan dock effektiviseras än mer genom ett rimligt styrsystem inom ramen för LOU. Dessutom måste upphandling av vård- och omsorgstjänster lagregleras på nytt sätt så att alla vårdaktörer kan konkurrera på lika villkor. Pågående översyn av LOU bör kompletteras med ovan näm</w:t>
      </w:r>
      <w:r w:rsidRPr="002B552C">
        <w:t>n</w:t>
      </w:r>
      <w:r w:rsidRPr="002B552C">
        <w:t>da förslag till förändringar. Vad som ovan anförts om den pågående övers</w:t>
      </w:r>
      <w:r w:rsidRPr="002B552C">
        <w:t>y</w:t>
      </w:r>
      <w:r w:rsidRPr="002B552C">
        <w:t xml:space="preserve">nen av LOU bör ges regeringen till känna. </w:t>
      </w:r>
    </w:p>
    <w:p w:rsidR="00CD015F" w:rsidRPr="002B552C" w:rsidRDefault="00CD015F" w:rsidP="00D26430">
      <w:pPr>
        <w:pStyle w:val="Rubrik1"/>
      </w:pPr>
      <w:bookmarkStart w:id="10" w:name="_Toc134426763"/>
      <w:r w:rsidRPr="002B552C">
        <w:t>Starka regioner</w:t>
      </w:r>
      <w:bookmarkEnd w:id="10"/>
    </w:p>
    <w:p w:rsidR="00CD015F" w:rsidRPr="002B552C" w:rsidRDefault="00CD015F" w:rsidP="0064483C">
      <w:pPr>
        <w:pStyle w:val="Normaltindrag"/>
        <w:spacing w:before="125"/>
        <w:ind w:firstLine="0"/>
      </w:pPr>
      <w:r w:rsidRPr="002B552C">
        <w:t>Lika möjl</w:t>
      </w:r>
      <w:r w:rsidR="00D26430" w:rsidRPr="002B552C">
        <w:t>igheter</w:t>
      </w:r>
      <w:r w:rsidRPr="002B552C">
        <w:t xml:space="preserve"> varken kan eller ska göra hela Sverige likformigt. Välfärden och servicen till medborgarna utvecklas bäst när det finns möjligheter till lokala/regionala lösningar, och då måste vi tillåta olikheter över landet. Ce</w:t>
      </w:r>
      <w:r w:rsidRPr="002B552C">
        <w:t>n</w:t>
      </w:r>
      <w:r w:rsidRPr="002B552C">
        <w:t>terpartiet anser att det ska vara tydligt mellan vad staten och de politiska n</w:t>
      </w:r>
      <w:r w:rsidRPr="002B552C">
        <w:t>i</w:t>
      </w:r>
      <w:r w:rsidRPr="002B552C">
        <w:t xml:space="preserve">våerna bestämmer över och vad medborgarna själva ska ta ansvar för och bestämma över. </w:t>
      </w:r>
    </w:p>
    <w:p w:rsidR="00CD015F" w:rsidRPr="002B552C" w:rsidRDefault="00CD015F" w:rsidP="00D26430">
      <w:pPr>
        <w:pStyle w:val="Normaltindrag"/>
      </w:pPr>
      <w:r w:rsidRPr="002B552C">
        <w:t>Regionerna i Sverige är viktiga motorer i samhällsutvecklingen. Om reg</w:t>
      </w:r>
      <w:r w:rsidRPr="002B552C">
        <w:t>i</w:t>
      </w:r>
      <w:r w:rsidRPr="002B552C">
        <w:t>onerna tillåts behålla mera av skattekraften och återinvestera den i regionens näringsliv och arbetsmarknad skulle detta ge stora fördelar. Starka självstä</w:t>
      </w:r>
      <w:r w:rsidRPr="002B552C">
        <w:t>n</w:t>
      </w:r>
      <w:r w:rsidRPr="002B552C">
        <w:t xml:space="preserve">diga regioner är en förutsättning för att stärka den kommunala nivån, där kommunpolitikerna får lättare att driva tillväxtfrågorna både i sina egna kommuner och i samarbete över kommungränserna. </w:t>
      </w:r>
    </w:p>
    <w:p w:rsidR="00CD015F" w:rsidRPr="002B552C" w:rsidRDefault="00CD015F" w:rsidP="00D26430">
      <w:pPr>
        <w:pStyle w:val="Normaltindrag"/>
      </w:pPr>
      <w:r w:rsidRPr="002B552C">
        <w:t>Framtiden behöver moderna regioner med direktvalda politiker</w:t>
      </w:r>
      <w:r w:rsidR="00D26430" w:rsidRPr="002B552C">
        <w:t xml:space="preserve"> –</w:t>
      </w:r>
      <w:r w:rsidRPr="002B552C">
        <w:t xml:space="preserve"> </w:t>
      </w:r>
      <w:r w:rsidR="00D26430" w:rsidRPr="002B552C">
        <w:t>f</w:t>
      </w:r>
      <w:r w:rsidRPr="002B552C">
        <w:t>örtroe</w:t>
      </w:r>
      <w:r w:rsidRPr="002B552C">
        <w:t>n</w:t>
      </w:r>
      <w:r w:rsidRPr="002B552C">
        <w:t>devalda som kan tillvara</w:t>
      </w:r>
      <w:r w:rsidR="0064483C" w:rsidRPr="002B552C">
        <w:t>ta</w:t>
      </w:r>
      <w:r w:rsidRPr="002B552C">
        <w:t xml:space="preserve"> kraften och viljan hos medborgarna att utveckla landets olika delar och som kan hantera regionens skattekraft och ta ett direkt ansvar inför sina väljare.</w:t>
      </w:r>
    </w:p>
    <w:p w:rsidR="00CD015F" w:rsidRPr="002B552C" w:rsidRDefault="00CD015F" w:rsidP="00D26430">
      <w:pPr>
        <w:pStyle w:val="Normaltindrag"/>
      </w:pPr>
      <w:r w:rsidRPr="002B552C">
        <w:t>En viktig förutsättning för att öka tillväxten är att den statliga maktko</w:t>
      </w:r>
      <w:r w:rsidRPr="002B552C">
        <w:t>n</w:t>
      </w:r>
      <w:r w:rsidRPr="002B552C">
        <w:t>centrationen får stå tillbaka för ett ökat tvärsektoriellt regionalt/lokalt infl</w:t>
      </w:r>
      <w:r w:rsidRPr="002B552C">
        <w:t>y</w:t>
      </w:r>
      <w:r w:rsidRPr="002B552C">
        <w:t>tande. Det finns allt</w:t>
      </w:r>
      <w:r w:rsidR="00D26430" w:rsidRPr="002B552C">
        <w:t>för många statliga ”stuprör” ned</w:t>
      </w:r>
      <w:r w:rsidRPr="002B552C">
        <w:t xml:space="preserve"> på den regionala och lokala nivån som hindrar och fördröjer all utveckling. Centerpartiet vill o</w:t>
      </w:r>
      <w:r w:rsidRPr="002B552C">
        <w:t>m</w:t>
      </w:r>
      <w:r w:rsidRPr="002B552C">
        <w:t>orientera politiken från ett uppifrånperspektiv till ett lokalt perspektiv och fokusera utvecklingsmöjligheterna utifrån regionens egna förutsättningar. Vad som ovan anförts om stärkt tvärsektoriellt regionalt och lokalt inflytande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6430" w:rsidRPr="002B552C">
        <w:tblPrEx>
          <w:tblCellMar>
            <w:top w:w="0" w:type="dxa"/>
            <w:bottom w:w="0" w:type="dxa"/>
          </w:tblCellMar>
        </w:tblPrEx>
        <w:trPr>
          <w:cantSplit/>
        </w:trPr>
        <w:tc>
          <w:tcPr>
            <w:tcW w:w="3046" w:type="dxa"/>
          </w:tcPr>
          <w:p w:rsidR="00D26430" w:rsidRPr="002B552C" w:rsidRDefault="00D26430" w:rsidP="00D26430">
            <w:pPr>
              <w:pStyle w:val="UnderskriftDatum"/>
              <w:spacing w:before="240"/>
            </w:pPr>
            <w:r w:rsidRPr="002B552C">
              <w:t>Stockholm den 3 maj 2006</w:t>
            </w:r>
          </w:p>
        </w:tc>
        <w:tc>
          <w:tcPr>
            <w:tcW w:w="3047" w:type="dxa"/>
          </w:tcPr>
          <w:p w:rsidR="00D26430" w:rsidRPr="002B552C" w:rsidRDefault="00D26430" w:rsidP="00D26430">
            <w:pPr>
              <w:pStyle w:val="Underskrifter"/>
              <w:spacing w:before="240"/>
            </w:pPr>
          </w:p>
        </w:tc>
      </w:tr>
      <w:tr w:rsidR="00D26430" w:rsidRPr="002B552C">
        <w:tblPrEx>
          <w:tblCellMar>
            <w:top w:w="0" w:type="dxa"/>
            <w:bottom w:w="0" w:type="dxa"/>
          </w:tblCellMar>
        </w:tblPrEx>
        <w:trPr>
          <w:cantSplit/>
        </w:trPr>
        <w:tc>
          <w:tcPr>
            <w:tcW w:w="3046" w:type="dxa"/>
          </w:tcPr>
          <w:p w:rsidR="00D26430" w:rsidRPr="002B552C" w:rsidRDefault="00D26430" w:rsidP="00D26430">
            <w:pPr>
              <w:pStyle w:val="Underskrifter"/>
            </w:pPr>
            <w:r w:rsidRPr="002B552C">
              <w:t>Jörgen Johansson (c)</w:t>
            </w:r>
          </w:p>
        </w:tc>
        <w:tc>
          <w:tcPr>
            <w:tcW w:w="3047" w:type="dxa"/>
          </w:tcPr>
          <w:p w:rsidR="00D26430" w:rsidRPr="002B552C" w:rsidRDefault="00D26430" w:rsidP="00D26430">
            <w:pPr>
              <w:pStyle w:val="Underskrifter"/>
            </w:pPr>
          </w:p>
        </w:tc>
      </w:tr>
      <w:tr w:rsidR="00D26430" w:rsidRPr="002B552C">
        <w:tblPrEx>
          <w:tblCellMar>
            <w:top w:w="0" w:type="dxa"/>
            <w:bottom w:w="0" w:type="dxa"/>
          </w:tblCellMar>
        </w:tblPrEx>
        <w:trPr>
          <w:cantSplit/>
        </w:trPr>
        <w:tc>
          <w:tcPr>
            <w:tcW w:w="3046" w:type="dxa"/>
          </w:tcPr>
          <w:p w:rsidR="00D26430" w:rsidRPr="002B552C" w:rsidRDefault="00D26430" w:rsidP="00D26430">
            <w:pPr>
              <w:pStyle w:val="Underskrifter"/>
            </w:pPr>
            <w:r w:rsidRPr="002B552C">
              <w:t>Roger Tiefensee (c)</w:t>
            </w:r>
          </w:p>
        </w:tc>
        <w:tc>
          <w:tcPr>
            <w:tcW w:w="3047" w:type="dxa"/>
          </w:tcPr>
          <w:p w:rsidR="00D26430" w:rsidRPr="002B552C" w:rsidRDefault="00D26430" w:rsidP="00D26430">
            <w:pPr>
              <w:pStyle w:val="Underskrifter"/>
            </w:pPr>
            <w:r w:rsidRPr="002B552C">
              <w:t>Åsa Torstensson (c)</w:t>
            </w:r>
          </w:p>
        </w:tc>
      </w:tr>
      <w:tr w:rsidR="00D26430" w:rsidRPr="002B552C">
        <w:tblPrEx>
          <w:tblCellMar>
            <w:top w:w="0" w:type="dxa"/>
            <w:bottom w:w="0" w:type="dxa"/>
          </w:tblCellMar>
        </w:tblPrEx>
        <w:trPr>
          <w:cantSplit/>
        </w:trPr>
        <w:tc>
          <w:tcPr>
            <w:tcW w:w="3046" w:type="dxa"/>
          </w:tcPr>
          <w:p w:rsidR="00D26430" w:rsidRPr="002B552C" w:rsidRDefault="00D26430" w:rsidP="00D26430">
            <w:pPr>
              <w:pStyle w:val="Underskrifter"/>
            </w:pPr>
            <w:r w:rsidRPr="002B552C">
              <w:t>Rigmor Stenmark (c)</w:t>
            </w:r>
          </w:p>
        </w:tc>
        <w:tc>
          <w:tcPr>
            <w:tcW w:w="3047" w:type="dxa"/>
          </w:tcPr>
          <w:p w:rsidR="00D26430" w:rsidRPr="002B552C" w:rsidRDefault="00D26430" w:rsidP="00D26430">
            <w:pPr>
              <w:pStyle w:val="Underskrifter"/>
            </w:pPr>
            <w:r w:rsidRPr="002B552C">
              <w:t>Sven Bergström (c)</w:t>
            </w:r>
          </w:p>
        </w:tc>
      </w:tr>
    </w:tbl>
    <w:p w:rsidR="00E84F25" w:rsidRPr="002B552C" w:rsidRDefault="00E84F25" w:rsidP="00D26430">
      <w:pPr>
        <w:pStyle w:val="Normaltindrag"/>
      </w:pPr>
    </w:p>
    <w:sectPr w:rsidR="00E84F25" w:rsidRPr="002B552C" w:rsidSect="00D264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C7B" w:rsidRPr="002B552C" w:rsidRDefault="00545C7B">
      <w:r w:rsidRPr="002B552C">
        <w:separator/>
      </w:r>
    </w:p>
  </w:endnote>
  <w:endnote w:type="continuationSeparator" w:id="0">
    <w:p w:rsidR="00545C7B" w:rsidRPr="002B552C" w:rsidRDefault="00545C7B">
      <w:r w:rsidRPr="002B55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23" w:rsidRPr="002B552C" w:rsidRDefault="002B552C" w:rsidP="00D26430">
    <w:pPr>
      <w:pStyle w:val="Sidfot"/>
    </w:pPr>
    <w:r w:rsidRPr="002B55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916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723" w:rsidRDefault="004937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3723" w:rsidRDefault="004937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23" w:rsidRPr="002B552C" w:rsidRDefault="002B552C" w:rsidP="00D26430">
    <w:pPr>
      <w:pStyle w:val="Sidfot"/>
    </w:pPr>
    <w:r w:rsidRPr="002B55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666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723" w:rsidRDefault="00493723">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3723" w:rsidRDefault="00493723">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23" w:rsidRPr="002B552C" w:rsidRDefault="002B552C" w:rsidP="00D26430">
    <w:pPr>
      <w:pStyle w:val="Sidfot"/>
    </w:pPr>
    <w:r w:rsidRPr="002B55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466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723" w:rsidRDefault="004937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3723" w:rsidRDefault="004937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C7B" w:rsidRPr="002B552C" w:rsidRDefault="00545C7B" w:rsidP="00125BE1">
      <w:pPr>
        <w:pStyle w:val="Sidfot"/>
      </w:pPr>
    </w:p>
  </w:footnote>
  <w:footnote w:type="continuationSeparator" w:id="0">
    <w:p w:rsidR="00545C7B" w:rsidRPr="002B552C" w:rsidRDefault="00545C7B" w:rsidP="00125BE1">
      <w:pPr>
        <w:pStyle w:val="Sidfot"/>
      </w:pPr>
    </w:p>
  </w:footnote>
  <w:footnote w:type="continuationNotice" w:id="1">
    <w:p w:rsidR="00545C7B" w:rsidRPr="002B552C" w:rsidRDefault="00545C7B"/>
  </w:footnote>
  <w:footnote w:id="2">
    <w:p w:rsidR="00493723" w:rsidRPr="002B552C" w:rsidRDefault="00493723" w:rsidP="00CD015F">
      <w:pPr>
        <w:pStyle w:val="Fotnotstext"/>
        <w:rPr>
          <w:sz w:val="16"/>
          <w:szCs w:val="16"/>
        </w:rPr>
      </w:pPr>
      <w:r w:rsidRPr="002B552C">
        <w:rPr>
          <w:rStyle w:val="Fotnotsreferens"/>
          <w:sz w:val="19"/>
          <w:szCs w:val="19"/>
        </w:rPr>
        <w:footnoteRef/>
      </w:r>
      <w:r w:rsidRPr="002B552C">
        <w:t xml:space="preserve"> </w:t>
      </w:r>
      <w:r w:rsidRPr="002B552C">
        <w:rPr>
          <w:sz w:val="16"/>
          <w:szCs w:val="16"/>
        </w:rPr>
        <w:t>Siffran 170 000 omfattar alla öppet arbetslösa ungdomar samt dem som är arbetssökande och studerar på heltid.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23" w:rsidRPr="002B552C" w:rsidRDefault="002B552C" w:rsidP="00D26430">
    <w:pPr>
      <w:pStyle w:val="Sidhuvud"/>
    </w:pPr>
    <w:r w:rsidRPr="002B55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143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723" w:rsidRDefault="004937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3723" w:rsidRDefault="004937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23" w:rsidRPr="002B552C" w:rsidRDefault="002B552C" w:rsidP="00D26430">
    <w:pPr>
      <w:pStyle w:val="Sidhuvud"/>
    </w:pPr>
    <w:r w:rsidRPr="002B55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715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723" w:rsidRDefault="004937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3723" w:rsidRDefault="004937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23" w:rsidRPr="002B552C" w:rsidRDefault="00493723">
    <w:pPr>
      <w:pStyle w:val="FSHNormal"/>
      <w:tabs>
        <w:tab w:val="right" w:pos="5840"/>
      </w:tabs>
    </w:pPr>
    <w:r w:rsidRPr="002B552C">
      <w:br/>
    </w:r>
    <w:r w:rsidRPr="002B552C">
      <w:fldChar w:fldCharType="begin" w:fldLock="1"/>
    </w:r>
    <w:r w:rsidRPr="002B552C">
      <w:instrText xml:space="preserve"> DOCPROPERTY</w:instrText>
    </w:r>
    <w:r w:rsidRPr="002B552C">
      <w:rPr>
        <w:sz w:val="18"/>
      </w:rPr>
      <w:instrText xml:space="preserve"> "YearUser" *\charformat </w:instrText>
    </w:r>
    <w:r w:rsidRPr="002B552C">
      <w:fldChar w:fldCharType="separate"/>
    </w:r>
    <w:r w:rsidRPr="002B552C">
      <w:t>2005/06</w:t>
    </w:r>
    <w:r w:rsidRPr="002B552C">
      <w:fldChar w:fldCharType="end"/>
    </w:r>
    <w:r w:rsidRPr="002B552C">
      <w:t xml:space="preserve"> </w:t>
    </w:r>
    <w:r w:rsidRPr="002B552C">
      <w:tab/>
      <w:t xml:space="preserve">mnr: </w:t>
    </w:r>
    <w:r w:rsidRPr="002B552C">
      <w:fldChar w:fldCharType="begin" w:fldLock="1"/>
    </w:r>
    <w:r w:rsidRPr="002B552C">
      <w:instrText xml:space="preserve"> DOCPROPERTY</w:instrText>
    </w:r>
    <w:r w:rsidRPr="002B552C">
      <w:rPr>
        <w:sz w:val="18"/>
      </w:rPr>
      <w:instrText xml:space="preserve"> "Motionsnummer" *\charformat </w:instrText>
    </w:r>
    <w:r w:rsidRPr="002B552C">
      <w:fldChar w:fldCharType="separate"/>
    </w:r>
    <w:r w:rsidRPr="002B552C">
      <w:t>Fi16</w:t>
    </w:r>
    <w:r w:rsidRPr="002B552C">
      <w:fldChar w:fldCharType="end"/>
    </w:r>
    <w:r w:rsidRPr="002B552C">
      <w:br/>
    </w:r>
    <w:r w:rsidRPr="002B552C">
      <w:fldChar w:fldCharType="begin" w:fldLock="1"/>
    </w:r>
    <w:r w:rsidRPr="002B552C">
      <w:instrText xml:space="preserve"> DOCPROPERTY</w:instrText>
    </w:r>
    <w:r w:rsidRPr="002B552C">
      <w:rPr>
        <w:sz w:val="18"/>
      </w:rPr>
      <w:instrText xml:space="preserve"> "Samling" *\charformat </w:instrText>
    </w:r>
    <w:r w:rsidRPr="002B552C">
      <w:fldChar w:fldCharType="end"/>
    </w:r>
    <w:r w:rsidRPr="002B552C">
      <w:tab/>
      <w:t xml:space="preserve">pnr: </w:t>
    </w:r>
    <w:r w:rsidRPr="002B552C">
      <w:fldChar w:fldCharType="begin" w:fldLock="1"/>
    </w:r>
    <w:r w:rsidRPr="002B552C">
      <w:instrText xml:space="preserve"> DOCPROPERTY</w:instrText>
    </w:r>
    <w:r w:rsidRPr="002B552C">
      <w:rPr>
        <w:sz w:val="18"/>
      </w:rPr>
      <w:instrText xml:space="preserve"> "Partinummer" *\charformat </w:instrText>
    </w:r>
    <w:r w:rsidRPr="002B552C">
      <w:fldChar w:fldCharType="separate"/>
    </w:r>
    <w:r w:rsidRPr="002B552C">
      <w:t>c198</w:t>
    </w:r>
    <w:r w:rsidRPr="002B552C">
      <w:fldChar w:fldCharType="end"/>
    </w:r>
  </w:p>
  <w:p w:rsidR="00493723" w:rsidRPr="002B552C" w:rsidRDefault="00493723">
    <w:pPr>
      <w:pStyle w:val="FSHRub1"/>
    </w:pPr>
    <w:r w:rsidRPr="002B552C">
      <w:t>Motion till riksdagen</w:t>
    </w:r>
    <w:r w:rsidRPr="002B552C">
      <w:br/>
    </w:r>
    <w:r w:rsidRPr="002B552C">
      <w:fldChar w:fldCharType="begin" w:fldLock="1"/>
    </w:r>
    <w:r w:rsidRPr="002B552C">
      <w:instrText xml:space="preserve"> DOCPROPERTY "YearUser" *\charformat </w:instrText>
    </w:r>
    <w:r w:rsidRPr="002B552C">
      <w:fldChar w:fldCharType="separate"/>
    </w:r>
    <w:r w:rsidRPr="002B552C">
      <w:t>2005/06</w:t>
    </w:r>
    <w:r w:rsidRPr="002B552C">
      <w:fldChar w:fldCharType="end"/>
    </w:r>
    <w:r w:rsidRPr="002B552C">
      <w:t>:</w:t>
    </w:r>
    <w:r w:rsidRPr="002B552C">
      <w:fldChar w:fldCharType="begin" w:fldLock="1"/>
    </w:r>
    <w:r w:rsidRPr="002B552C">
      <w:instrText xml:space="preserve"> DOCPROPERTY "Motionsnummer" *\charformat </w:instrText>
    </w:r>
    <w:r w:rsidRPr="002B552C">
      <w:fldChar w:fldCharType="separate"/>
    </w:r>
    <w:r w:rsidRPr="002B552C">
      <w:t>Fi16</w:t>
    </w:r>
    <w:r w:rsidRPr="002B552C">
      <w:fldChar w:fldCharType="end"/>
    </w:r>
  </w:p>
  <w:p w:rsidR="00493723" w:rsidRPr="002B552C" w:rsidRDefault="00493723">
    <w:pPr>
      <w:pStyle w:val="FSHNormalS5"/>
    </w:pPr>
    <w:r w:rsidRPr="002B552C">
      <w:fldChar w:fldCharType="begin" w:fldLock="1"/>
    </w:r>
    <w:r w:rsidRPr="002B552C">
      <w:instrText xml:space="preserve"> DOCPROPERTY "MotionarText" *\charformat </w:instrText>
    </w:r>
    <w:r w:rsidRPr="002B552C">
      <w:fldChar w:fldCharType="separate"/>
    </w:r>
    <w:r w:rsidRPr="002B552C">
      <w:t>av Jörgen Johansson m.fl. (c)</w:t>
    </w:r>
    <w:r w:rsidRPr="002B552C">
      <w:fldChar w:fldCharType="end"/>
    </w:r>
    <w:r w:rsidRPr="002B552C">
      <w:br/>
    </w:r>
    <w:r w:rsidRPr="002B552C">
      <w:fldChar w:fldCharType="begin" w:fldLock="1"/>
    </w:r>
    <w:r w:rsidRPr="002B552C">
      <w:instrText xml:space="preserve"> DOCPROPERTY "SvarFrasKort" *\charformat </w:instrText>
    </w:r>
    <w:r w:rsidRPr="002B552C">
      <w:fldChar w:fldCharType="separate"/>
    </w:r>
    <w:r w:rsidRPr="002B552C">
      <w:t>med anledning av skr. 2005/06:102</w:t>
    </w:r>
    <w:r w:rsidRPr="002B552C">
      <w:fldChar w:fldCharType="end"/>
    </w:r>
  </w:p>
  <w:p w:rsidR="00493723" w:rsidRPr="002B552C" w:rsidRDefault="00493723">
    <w:pPr>
      <w:pStyle w:val="FSHTitel"/>
    </w:pPr>
    <w:r w:rsidRPr="002B552C">
      <w:fldChar w:fldCharType="begin" w:fldLock="1"/>
    </w:r>
    <w:r w:rsidRPr="002B552C">
      <w:instrText xml:space="preserve"> DOCPROPERTY</w:instrText>
    </w:r>
    <w:r w:rsidRPr="002B552C">
      <w:rPr>
        <w:sz w:val="18"/>
      </w:rPr>
      <w:instrText xml:space="preserve"> "RubrikSvar" *\charformat </w:instrText>
    </w:r>
    <w:r w:rsidRPr="002B552C">
      <w:fldChar w:fldCharType="separate"/>
    </w:r>
    <w:r w:rsidRPr="002B552C">
      <w:t>Utvecklingen inom den kommunala sektorn</w:t>
    </w:r>
    <w:r w:rsidRPr="002B552C">
      <w:fldChar w:fldCharType="end"/>
    </w:r>
  </w:p>
  <w:p w:rsidR="00493723" w:rsidRPr="002B552C" w:rsidRDefault="00493723" w:rsidP="00D264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BF400D"/>
    <w:multiLevelType w:val="hybridMultilevel"/>
    <w:tmpl w:val="075CB3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12F1C62"/>
    <w:multiLevelType w:val="hybridMultilevel"/>
    <w:tmpl w:val="C08A0DE0"/>
    <w:lvl w:ilvl="0" w:tplc="12F0EA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7755159">
    <w:abstractNumId w:val="14"/>
  </w:num>
  <w:num w:numId="2" w16cid:durableId="940145151">
    <w:abstractNumId w:val="10"/>
  </w:num>
  <w:num w:numId="3" w16cid:durableId="2100440141">
    <w:abstractNumId w:val="11"/>
  </w:num>
  <w:num w:numId="4" w16cid:durableId="1072892125">
    <w:abstractNumId w:val="12"/>
  </w:num>
  <w:num w:numId="5" w16cid:durableId="845093565">
    <w:abstractNumId w:val="8"/>
  </w:num>
  <w:num w:numId="6" w16cid:durableId="207692872">
    <w:abstractNumId w:val="3"/>
  </w:num>
  <w:num w:numId="7" w16cid:durableId="360329291">
    <w:abstractNumId w:val="2"/>
  </w:num>
  <w:num w:numId="8" w16cid:durableId="1765489298">
    <w:abstractNumId w:val="1"/>
  </w:num>
  <w:num w:numId="9" w16cid:durableId="987830249">
    <w:abstractNumId w:val="0"/>
  </w:num>
  <w:num w:numId="10" w16cid:durableId="2137407708">
    <w:abstractNumId w:val="9"/>
  </w:num>
  <w:num w:numId="11" w16cid:durableId="11154714">
    <w:abstractNumId w:val="7"/>
  </w:num>
  <w:num w:numId="12" w16cid:durableId="1866362206">
    <w:abstractNumId w:val="6"/>
  </w:num>
  <w:num w:numId="13" w16cid:durableId="1824925235">
    <w:abstractNumId w:val="5"/>
  </w:num>
  <w:num w:numId="14" w16cid:durableId="1028339382">
    <w:abstractNumId w:val="4"/>
  </w:num>
  <w:num w:numId="15" w16cid:durableId="743379474">
    <w:abstractNumId w:val="13"/>
  </w:num>
  <w:num w:numId="16" w16cid:durableId="47193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CD015F"/>
    <w:rsid w:val="00040D14"/>
    <w:rsid w:val="0004381F"/>
    <w:rsid w:val="00064BC3"/>
    <w:rsid w:val="000665E6"/>
    <w:rsid w:val="00066775"/>
    <w:rsid w:val="00072FB9"/>
    <w:rsid w:val="000E48DA"/>
    <w:rsid w:val="000F5ADD"/>
    <w:rsid w:val="00100531"/>
    <w:rsid w:val="0010382E"/>
    <w:rsid w:val="00125BE1"/>
    <w:rsid w:val="001E0043"/>
    <w:rsid w:val="00201DFB"/>
    <w:rsid w:val="00204A63"/>
    <w:rsid w:val="00212FF1"/>
    <w:rsid w:val="00230193"/>
    <w:rsid w:val="0025068A"/>
    <w:rsid w:val="002818D3"/>
    <w:rsid w:val="002943C8"/>
    <w:rsid w:val="00295E6D"/>
    <w:rsid w:val="002B552C"/>
    <w:rsid w:val="002C2373"/>
    <w:rsid w:val="002D11A8"/>
    <w:rsid w:val="003866EC"/>
    <w:rsid w:val="003B1724"/>
    <w:rsid w:val="003F100A"/>
    <w:rsid w:val="00445271"/>
    <w:rsid w:val="00447A04"/>
    <w:rsid w:val="00493723"/>
    <w:rsid w:val="004A0504"/>
    <w:rsid w:val="004E38D9"/>
    <w:rsid w:val="00517A3C"/>
    <w:rsid w:val="00545C7B"/>
    <w:rsid w:val="005B145B"/>
    <w:rsid w:val="0064483C"/>
    <w:rsid w:val="006E2C05"/>
    <w:rsid w:val="00740D6D"/>
    <w:rsid w:val="00743F76"/>
    <w:rsid w:val="00794149"/>
    <w:rsid w:val="007B67A7"/>
    <w:rsid w:val="007C6092"/>
    <w:rsid w:val="00846903"/>
    <w:rsid w:val="0094474C"/>
    <w:rsid w:val="00A053C6"/>
    <w:rsid w:val="00AB5000"/>
    <w:rsid w:val="00B13BF0"/>
    <w:rsid w:val="00B33C81"/>
    <w:rsid w:val="00B44726"/>
    <w:rsid w:val="00B44E2D"/>
    <w:rsid w:val="00B67E5B"/>
    <w:rsid w:val="00BA6BE0"/>
    <w:rsid w:val="00BB6D75"/>
    <w:rsid w:val="00BD20A2"/>
    <w:rsid w:val="00C1285C"/>
    <w:rsid w:val="00C27B7D"/>
    <w:rsid w:val="00CD015F"/>
    <w:rsid w:val="00CE3037"/>
    <w:rsid w:val="00CF7A43"/>
    <w:rsid w:val="00D01775"/>
    <w:rsid w:val="00D1174F"/>
    <w:rsid w:val="00D26430"/>
    <w:rsid w:val="00D53D04"/>
    <w:rsid w:val="00DC326D"/>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8CB4C9-63EC-4590-99AB-B17A288A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standardarticlebody">
    <w:name w:val="standardarticlebody"/>
    <w:basedOn w:val="Standardstycketeckensnitt"/>
    <w:rsid w:val="00B44726"/>
  </w:style>
  <w:style w:type="character" w:customStyle="1" w:styleId="Rubrik1Char">
    <w:name w:val="Rubrik 1 Char"/>
    <w:basedOn w:val="Standardstycketeckensnitt"/>
    <w:link w:val="Rubrik1"/>
    <w:rsid w:val="00B44726"/>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26430"/>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CD015F"/>
    <w:pPr>
      <w:spacing w:line="240" w:lineRule="auto"/>
    </w:pPr>
    <w:rPr>
      <w:sz w:val="20"/>
    </w:rPr>
  </w:style>
  <w:style w:type="character" w:styleId="Fotnotsreferens">
    <w:name w:val="footnote reference"/>
    <w:basedOn w:val="Standardstycketeckensnitt"/>
    <w:semiHidden/>
    <w:rsid w:val="00CD015F"/>
    <w:rPr>
      <w:vertAlign w:val="superscript"/>
    </w:rPr>
  </w:style>
  <w:style w:type="paragraph" w:styleId="Ballongtext">
    <w:name w:val="Balloon Text"/>
    <w:basedOn w:val="Normal"/>
    <w:semiHidden/>
    <w:rsid w:val="00944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2917</Words>
  <Characters>18002</Characters>
  <Application>Microsoft Office Word</Application>
  <DocSecurity>4</DocSecurity>
  <Lines>327</Lines>
  <Paragraphs>85</Paragraphs>
  <ScaleCrop>false</ScaleCrop>
  <HeadingPairs>
    <vt:vector size="2" baseType="variant">
      <vt:variant>
        <vt:lpstr>Rubrik</vt:lpstr>
      </vt:variant>
      <vt:variant>
        <vt:i4>1</vt:i4>
      </vt:variant>
    </vt:vector>
  </HeadingPairs>
  <TitlesOfParts>
    <vt:vector size="1" baseType="lpstr">
      <vt:lpstr>Fi16</vt:lpstr>
    </vt:vector>
  </TitlesOfParts>
  <Company>Riksdagen</Company>
  <LinksUpToDate>false</LinksUpToDate>
  <CharactersWithSpaces>20834</CharactersWithSpaces>
  <SharedDoc>false</SharedDoc>
  <HLinks>
    <vt:vector size="60" baseType="variant">
      <vt:variant>
        <vt:i4>1048624</vt:i4>
      </vt:variant>
      <vt:variant>
        <vt:i4>56</vt:i4>
      </vt:variant>
      <vt:variant>
        <vt:i4>0</vt:i4>
      </vt:variant>
      <vt:variant>
        <vt:i4>5</vt:i4>
      </vt:variant>
      <vt:variant>
        <vt:lpwstr/>
      </vt:variant>
      <vt:variant>
        <vt:lpwstr>_Toc134426763</vt:lpwstr>
      </vt:variant>
      <vt:variant>
        <vt:i4>1048624</vt:i4>
      </vt:variant>
      <vt:variant>
        <vt:i4>50</vt:i4>
      </vt:variant>
      <vt:variant>
        <vt:i4>0</vt:i4>
      </vt:variant>
      <vt:variant>
        <vt:i4>5</vt:i4>
      </vt:variant>
      <vt:variant>
        <vt:lpwstr/>
      </vt:variant>
      <vt:variant>
        <vt:lpwstr>_Toc134426762</vt:lpwstr>
      </vt:variant>
      <vt:variant>
        <vt:i4>1048624</vt:i4>
      </vt:variant>
      <vt:variant>
        <vt:i4>44</vt:i4>
      </vt:variant>
      <vt:variant>
        <vt:i4>0</vt:i4>
      </vt:variant>
      <vt:variant>
        <vt:i4>5</vt:i4>
      </vt:variant>
      <vt:variant>
        <vt:lpwstr/>
      </vt:variant>
      <vt:variant>
        <vt:lpwstr>_Toc134426761</vt:lpwstr>
      </vt:variant>
      <vt:variant>
        <vt:i4>1048624</vt:i4>
      </vt:variant>
      <vt:variant>
        <vt:i4>38</vt:i4>
      </vt:variant>
      <vt:variant>
        <vt:i4>0</vt:i4>
      </vt:variant>
      <vt:variant>
        <vt:i4>5</vt:i4>
      </vt:variant>
      <vt:variant>
        <vt:lpwstr/>
      </vt:variant>
      <vt:variant>
        <vt:lpwstr>_Toc134426760</vt:lpwstr>
      </vt:variant>
      <vt:variant>
        <vt:i4>1245232</vt:i4>
      </vt:variant>
      <vt:variant>
        <vt:i4>32</vt:i4>
      </vt:variant>
      <vt:variant>
        <vt:i4>0</vt:i4>
      </vt:variant>
      <vt:variant>
        <vt:i4>5</vt:i4>
      </vt:variant>
      <vt:variant>
        <vt:lpwstr/>
      </vt:variant>
      <vt:variant>
        <vt:lpwstr>_Toc134426759</vt:lpwstr>
      </vt:variant>
      <vt:variant>
        <vt:i4>1245232</vt:i4>
      </vt:variant>
      <vt:variant>
        <vt:i4>26</vt:i4>
      </vt:variant>
      <vt:variant>
        <vt:i4>0</vt:i4>
      </vt:variant>
      <vt:variant>
        <vt:i4>5</vt:i4>
      </vt:variant>
      <vt:variant>
        <vt:lpwstr/>
      </vt:variant>
      <vt:variant>
        <vt:lpwstr>_Toc134426758</vt:lpwstr>
      </vt:variant>
      <vt:variant>
        <vt:i4>1245232</vt:i4>
      </vt:variant>
      <vt:variant>
        <vt:i4>20</vt:i4>
      </vt:variant>
      <vt:variant>
        <vt:i4>0</vt:i4>
      </vt:variant>
      <vt:variant>
        <vt:i4>5</vt:i4>
      </vt:variant>
      <vt:variant>
        <vt:lpwstr/>
      </vt:variant>
      <vt:variant>
        <vt:lpwstr>_Toc134426757</vt:lpwstr>
      </vt:variant>
      <vt:variant>
        <vt:i4>1245232</vt:i4>
      </vt:variant>
      <vt:variant>
        <vt:i4>14</vt:i4>
      </vt:variant>
      <vt:variant>
        <vt:i4>0</vt:i4>
      </vt:variant>
      <vt:variant>
        <vt:i4>5</vt:i4>
      </vt:variant>
      <vt:variant>
        <vt:lpwstr/>
      </vt:variant>
      <vt:variant>
        <vt:lpwstr>_Toc134426756</vt:lpwstr>
      </vt:variant>
      <vt:variant>
        <vt:i4>1245232</vt:i4>
      </vt:variant>
      <vt:variant>
        <vt:i4>8</vt:i4>
      </vt:variant>
      <vt:variant>
        <vt:i4>0</vt:i4>
      </vt:variant>
      <vt:variant>
        <vt:i4>5</vt:i4>
      </vt:variant>
      <vt:variant>
        <vt:lpwstr/>
      </vt:variant>
      <vt:variant>
        <vt:lpwstr>_Toc134426755</vt:lpwstr>
      </vt:variant>
      <vt:variant>
        <vt:i4>1245232</vt:i4>
      </vt:variant>
      <vt:variant>
        <vt:i4>2</vt:i4>
      </vt:variant>
      <vt:variant>
        <vt:i4>0</vt:i4>
      </vt:variant>
      <vt:variant>
        <vt:i4>5</vt:i4>
      </vt:variant>
      <vt:variant>
        <vt:lpwstr/>
      </vt:variant>
      <vt:variant>
        <vt:lpwstr>_Toc134426754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Fi16</dc:title>
  <dc:subject>Fi16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2006-05-15T05:02:00Z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mot2000_433_2006-05-01</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2005/06:102 Utvecklingen inom den kommunala sektorn</vt:lpwstr>
  </property>
  <property fmtid="{D5CDD505-2E9C-101B-9397-08002B2CF9AE}" pid="11" name="SvarFrasKort">
    <vt:lpwstr>med anledning av skr. 2005/06:102</vt:lpwstr>
  </property>
  <property fmtid="{D5CDD505-2E9C-101B-9397-08002B2CF9AE}" pid="12" name="Svar">
    <vt:lpwstr>skrivelse</vt:lpwstr>
  </property>
  <property fmtid="{D5CDD505-2E9C-101B-9397-08002B2CF9AE}" pid="13" name="SvarNr">
    <vt:lpwstr>2005/06:102</vt:lpwstr>
  </property>
  <property fmtid="{D5CDD505-2E9C-101B-9397-08002B2CF9AE}" pid="14" name="RubrikSvar">
    <vt:lpwstr>Utvecklingen inom den kommunala 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Jörgen Johansson m.fl. (c)</vt:lpwstr>
  </property>
  <property fmtid="{D5CDD505-2E9C-101B-9397-08002B2CF9AE}" pid="26" name="MotionarLista">
    <vt:lpwstr>Johansson, Jörgen (c)\Tiefensee, Roger (c)\Torstensson, Åsa (c)\Stenmark, Rigmor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Roger Tiefensee (c), Åsa Torstensson (c), Rigmor Stenmark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20052006000000000099000001980075</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20052006000000000099000001980075</vt:lpwstr>
  </property>
  <property fmtid="{D5CDD505-2E9C-101B-9397-08002B2CF9AE}" pid="50" name="nummer">
    <vt:lpwstr>16</vt:lpwstr>
  </property>
  <property fmtid="{D5CDD505-2E9C-101B-9397-08002B2CF9AE}" pid="51" name="utskottsbeteckning">
    <vt:lpwstr>Fi</vt:lpwstr>
  </property>
  <property fmtid="{D5CDD505-2E9C-101B-9397-08002B2CF9AE}" pid="52" name="GlobalUID">
    <vt:lpwstr>{7FD8E48F-3075-4AD5-A8F2-732AF91E8EBF}</vt:lpwstr>
  </property>
  <property fmtid="{D5CDD505-2E9C-101B-9397-08002B2CF9AE}" pid="53" name="Överföringar">
    <vt:i4>1</vt:i4>
  </property>
  <property fmtid="{D5CDD505-2E9C-101B-9397-08002B2CF9AE}" pid="54" name="Checksum">
    <vt:lpwstr>1011211174199</vt:lpwstr>
  </property>
</Properties>
</file>