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0A7" w:rsidRPr="006340A7" w:rsidRDefault="006340A7">
      <w:pPr>
        <w:pStyle w:val="Frslagsrubrik"/>
        <w:shd w:val="clear" w:color="000000" w:fill="auto"/>
      </w:pPr>
      <w:r w:rsidRPr="006340A7">
        <w:t>Förslag till riksdagsbeslut</w:t>
      </w:r>
    </w:p>
    <w:p w:rsidR="006340A7" w:rsidRPr="006340A7" w:rsidRDefault="006340A7">
      <w:pPr>
        <w:pStyle w:val="Hemstlatt"/>
        <w:numPr>
          <w:ilvl w:val="0"/>
          <w:numId w:val="1"/>
        </w:numPr>
        <w:shd w:val="clear" w:color="000000" w:fill="auto"/>
      </w:pPr>
      <w:r w:rsidRPr="006340A7">
        <w:t>Riksdagen avslår regeringens förslag till ny 13 kap. 18 § plan- och bygglagen.</w:t>
      </w:r>
    </w:p>
    <w:p w:rsidR="006340A7" w:rsidRPr="006340A7" w:rsidRDefault="006340A7">
      <w:pPr>
        <w:pStyle w:val="Hemstlatt"/>
        <w:numPr>
          <w:ilvl w:val="0"/>
          <w:numId w:val="1"/>
        </w:numPr>
        <w:shd w:val="clear" w:color="000000" w:fill="auto"/>
      </w:pPr>
      <w:r w:rsidRPr="006340A7">
        <w:t>Riksdagen tillkännager för regeringen som sin mening vad som anförs i motionen om att regeringen bör återkomma till riksd</w:t>
      </w:r>
      <w:r w:rsidRPr="006340A7">
        <w:t>a</w:t>
      </w:r>
      <w:r w:rsidRPr="006340A7">
        <w:t>gen med förslag till en utvidgad talerätt för miljöorganisati</w:t>
      </w:r>
      <w:r w:rsidRPr="006340A7">
        <w:t>o</w:t>
      </w:r>
      <w:r w:rsidRPr="006340A7">
        <w:t>ner.</w:t>
      </w:r>
    </w:p>
    <w:p w:rsidR="006340A7" w:rsidRPr="006340A7" w:rsidRDefault="006340A7">
      <w:pPr>
        <w:pStyle w:val="Hemstlatt"/>
        <w:numPr>
          <w:ilvl w:val="0"/>
          <w:numId w:val="1"/>
        </w:numPr>
        <w:shd w:val="clear" w:color="000000" w:fill="auto"/>
      </w:pPr>
      <w:r w:rsidRPr="006340A7">
        <w:t>Riksdagen tillkännager för regeringen som sin mening vad som anförs i motionen om att regeringen ska beakta konsekvenserna för att miljökvalitetsnormer för vatten uppfylls i samband med det fortsatta arbetet med regionfrågan.</w:t>
      </w:r>
    </w:p>
    <w:p w:rsidR="006340A7" w:rsidRPr="006340A7" w:rsidRDefault="006340A7">
      <w:pPr>
        <w:pStyle w:val="Hemstlatt"/>
        <w:numPr>
          <w:ilvl w:val="0"/>
          <w:numId w:val="1"/>
        </w:numPr>
        <w:shd w:val="clear" w:color="000000" w:fill="auto"/>
      </w:pPr>
      <w:r w:rsidRPr="006340A7">
        <w:t>Riksdagen tillkännager för regeringen som sin mening vad som anförs i motionen om behovet av en ändamålsenlig samordning av mark- och miljödomstolarnas insatser för att uppfylla miljökval</w:t>
      </w:r>
      <w:r w:rsidRPr="006340A7">
        <w:t>i</w:t>
      </w:r>
      <w:r w:rsidRPr="006340A7">
        <w:t>tetsnormerna för vatten.</w:t>
      </w:r>
    </w:p>
    <w:p w:rsidR="006340A7" w:rsidRPr="006340A7" w:rsidRDefault="006340A7">
      <w:pPr>
        <w:pStyle w:val="Hemstlatt"/>
        <w:numPr>
          <w:ilvl w:val="0"/>
          <w:numId w:val="1"/>
        </w:numPr>
        <w:shd w:val="clear" w:color="000000" w:fill="auto"/>
      </w:pPr>
      <w:r w:rsidRPr="006340A7">
        <w:rPr>
          <w:color w:val="000000"/>
        </w:rPr>
        <w:t xml:space="preserve">Riksdagen </w:t>
      </w:r>
      <w:r w:rsidRPr="006340A7">
        <w:t>avslår regeringens förslag till 5 kap. 1 § lagen om mark- och miljödomstolar.</w:t>
      </w:r>
    </w:p>
    <w:p w:rsidR="006340A7" w:rsidRPr="006340A7" w:rsidRDefault="006340A7">
      <w:pPr>
        <w:pStyle w:val="Hemstlatt"/>
        <w:numPr>
          <w:ilvl w:val="0"/>
          <w:numId w:val="1"/>
        </w:numPr>
        <w:shd w:val="clear" w:color="000000" w:fill="auto"/>
      </w:pPr>
      <w:r w:rsidRPr="006340A7">
        <w:t>Riksdagen begär att regeringen lägger fram ett förslag till ny lydelse av 5 kap. 1 § lagen om mark- och miljödomstolar med i</w:t>
      </w:r>
      <w:r w:rsidRPr="006340A7">
        <w:t>n</w:t>
      </w:r>
      <w:r w:rsidRPr="006340A7">
        <w:t>nebörden att mål enligt miljöbalken samt plan- och bygglagen som överklagats till mark- och miljödomstol i första hand bör handläggas enligt förvaltningsprocesslagen.</w:t>
      </w:r>
    </w:p>
    <w:p w:rsidR="006340A7" w:rsidRPr="006340A7" w:rsidRDefault="006340A7">
      <w:pPr>
        <w:pStyle w:val="Rubrik1"/>
        <w:shd w:val="clear" w:color="000000" w:fill="auto"/>
      </w:pPr>
      <w:r w:rsidRPr="006340A7">
        <w:t>Inledning</w:t>
      </w:r>
    </w:p>
    <w:p w:rsidR="006340A7" w:rsidRPr="006340A7" w:rsidRDefault="006340A7">
      <w:pPr>
        <w:shd w:val="clear" w:color="000000" w:fill="auto"/>
      </w:pPr>
      <w:r w:rsidRPr="006340A7">
        <w:t>Regeringen föreslår att det bildas nya domstolar för att hantera fastighetsmål, mål enligt miljöbalken och mål enligt plan- och bygglagen. Syftet anges vara bl.a. ”att skapa en effektiv och rättssäker sammanhållen organisation”. ”E</w:t>
      </w:r>
      <w:r w:rsidRPr="006340A7">
        <w:t>f</w:t>
      </w:r>
      <w:r w:rsidRPr="006340A7">
        <w:t xml:space="preserve">fektiv” kan förstås på två sätt. Det kan syfta på att en organisation är effektiv på så sätt att den gör att man verkligen når målen, eller att man når målen på </w:t>
      </w:r>
      <w:r w:rsidRPr="006340A7">
        <w:lastRenderedPageBreak/>
        <w:t>ett effektivt sätt. Regeringens förslag är inte effektivt i den första betydelsen. Vägledande bör vara att bestämmelserna ska främja att miljökvalitetsmålen och miljökvalitetsnormerna uppfylls. Regeringens förslag skapar vidare såd</w:t>
      </w:r>
      <w:r w:rsidRPr="006340A7">
        <w:t>a</w:t>
      </w:r>
      <w:r w:rsidRPr="006340A7">
        <w:t>na oklarheter att det kan ifrågasättas om det är rättssäkert.</w:t>
      </w:r>
    </w:p>
    <w:p w:rsidR="006340A7" w:rsidRPr="006340A7" w:rsidRDefault="006340A7">
      <w:pPr>
        <w:pStyle w:val="Rubrik1"/>
        <w:shd w:val="clear" w:color="000000" w:fill="auto"/>
      </w:pPr>
      <w:r w:rsidRPr="006340A7">
        <w:t>Domstolarnas resurser</w:t>
      </w:r>
    </w:p>
    <w:p w:rsidR="006340A7" w:rsidRPr="006340A7" w:rsidRDefault="006340A7">
      <w:pPr>
        <w:shd w:val="clear" w:color="000000" w:fill="auto"/>
      </w:pPr>
      <w:r w:rsidRPr="006340A7">
        <w:t>Regeringen föreslår att de flesta av länsstyrelsens beslut enligt plan- och bygglagen fortsättningsvis överklagas hos en miljödomstol. Remissinstanse</w:t>
      </w:r>
      <w:r w:rsidRPr="006340A7">
        <w:t>r</w:t>
      </w:r>
      <w:r w:rsidRPr="006340A7">
        <w:t>na är positiva, men både Sveriges Kommuner och Landsting och ett flertal näringslivsorganisationer påtalar behovet av att mark- och miljödomstolarna får tillräckligt med resurser.</w:t>
      </w:r>
    </w:p>
    <w:p w:rsidR="006340A7" w:rsidRPr="006340A7" w:rsidRDefault="006340A7">
      <w:pPr>
        <w:pStyle w:val="Normaltindrag"/>
        <w:shd w:val="clear" w:color="000000" w:fill="auto"/>
      </w:pPr>
      <w:r w:rsidRPr="006340A7">
        <w:t>Vi vill understryka betydelsen av att domstolarna får tillräckligt med resu</w:t>
      </w:r>
      <w:r w:rsidRPr="006340A7">
        <w:t>r</w:t>
      </w:r>
      <w:r w:rsidRPr="006340A7">
        <w:t>ser. Det är viktigt för en snabb och ändamålsenlig hantering av målen.</w:t>
      </w:r>
    </w:p>
    <w:p w:rsidR="006340A7" w:rsidRPr="006340A7" w:rsidRDefault="006340A7">
      <w:pPr>
        <w:pStyle w:val="Rubrik1"/>
        <w:shd w:val="clear" w:color="000000" w:fill="auto"/>
      </w:pPr>
      <w:r w:rsidRPr="006340A7">
        <w:t>Inskränkning i överprövningen av detaljplaner och områdesbestämmelser</w:t>
      </w:r>
    </w:p>
    <w:p w:rsidR="006340A7" w:rsidRPr="006340A7" w:rsidRDefault="006340A7">
      <w:pPr>
        <w:shd w:val="clear" w:color="000000" w:fill="auto"/>
      </w:pPr>
      <w:r w:rsidRPr="006340A7">
        <w:t>Regeringen föreslår att den myndighet som prövar ett överklagande av ett beslut om detaljplan eller områdesbestämmelser enligt plan- och bygglagen (PBL) endast ska pröva om det överklagade beslutet strider mot någon rätt</w:t>
      </w:r>
      <w:r w:rsidRPr="006340A7">
        <w:t>s</w:t>
      </w:r>
      <w:r w:rsidRPr="006340A7">
        <w:t>regel. Detta görs i form av ett förslag till ändring av PBL 13 kap. 18 § i det lagförslag som regeringen lämnade till riksdagen så sent som i mars 2010 i proposition 2009/10:170. Regeringen vill nu ersätta den föreslagna 13 kap. 18 § med en 13 kap. 17 § med annan innebörd.</w:t>
      </w:r>
    </w:p>
    <w:p w:rsidR="006340A7" w:rsidRPr="006340A7" w:rsidRDefault="006340A7">
      <w:pPr>
        <w:pStyle w:val="Rubrik2"/>
        <w:shd w:val="clear" w:color="000000" w:fill="auto"/>
      </w:pPr>
      <w:r w:rsidRPr="006340A7">
        <w:t>Förslaget är dåligt berett</w:t>
      </w:r>
    </w:p>
    <w:p w:rsidR="006340A7" w:rsidRPr="006340A7" w:rsidRDefault="006340A7">
      <w:pPr>
        <w:shd w:val="clear" w:color="000000" w:fill="auto"/>
      </w:pPr>
      <w:r w:rsidRPr="006340A7">
        <w:t>Ett förslag till inskränkning av överprövningen, liknande det som regeringen nu lägger fram, framfördes av PBL-kommittén. PBL-kommitténs förslag avvisades av flera remissinstanser. Regeringen anger i propositionen att detta delvis berodde på att kommittén föreslog att överprövningen skulle begränsas i fler ärenden än vad regeringen nu föreslår.</w:t>
      </w:r>
    </w:p>
    <w:p w:rsidR="006340A7" w:rsidRPr="006340A7" w:rsidRDefault="006340A7">
      <w:pPr>
        <w:pStyle w:val="Normaltindrag"/>
        <w:shd w:val="clear" w:color="000000" w:fill="auto"/>
      </w:pPr>
      <w:r w:rsidRPr="006340A7">
        <w:t>Vi vill påpeka att invändningarna var allvarligare än så. En del remissi</w:t>
      </w:r>
      <w:r w:rsidRPr="006340A7">
        <w:t>n</w:t>
      </w:r>
      <w:r w:rsidRPr="006340A7">
        <w:t>stanser ansåg t.ex. att förslaget var för dåligt berett. Redan i utredningen p</w:t>
      </w:r>
      <w:r w:rsidRPr="006340A7">
        <w:t>å</w:t>
      </w:r>
      <w:r w:rsidRPr="006340A7">
        <w:t>pekades att förslaget stred mot utredningens direktiv att deltagandet i beslut</w:t>
      </w:r>
      <w:r w:rsidRPr="006340A7">
        <w:t>s</w:t>
      </w:r>
      <w:r w:rsidRPr="006340A7">
        <w:t>fattande ska breddas.</w:t>
      </w:r>
    </w:p>
    <w:p w:rsidR="006340A7" w:rsidRPr="006340A7" w:rsidRDefault="006340A7">
      <w:pPr>
        <w:pStyle w:val="Normaltindrag"/>
        <w:shd w:val="clear" w:color="000000" w:fill="auto"/>
      </w:pPr>
      <w:r w:rsidRPr="006340A7">
        <w:t>Miljöprocessutredningen övervägde en inskränkning av överprövningen i linje med det som regeringen nu föreslår. Utredningen avvisade en sådan inskränkning. Något sådant förslag fanns inte heller i det utkast till lagråd</w:t>
      </w:r>
      <w:r w:rsidRPr="006340A7">
        <w:t>s</w:t>
      </w:r>
      <w:r w:rsidRPr="006340A7">
        <w:t>remiss som regeringen cirkulerade till remissinstanser (bilaga 8 i regeringens proposition). Förslaget är således fortfarande dåligt berett.</w:t>
      </w:r>
    </w:p>
    <w:p w:rsidR="006340A7" w:rsidRPr="006340A7" w:rsidRDefault="006340A7">
      <w:pPr>
        <w:pStyle w:val="Rubrik2"/>
        <w:shd w:val="clear" w:color="000000" w:fill="auto"/>
      </w:pPr>
      <w:r w:rsidRPr="006340A7">
        <w:t>Förslaget är dåligt i sak</w:t>
      </w:r>
    </w:p>
    <w:p w:rsidR="006340A7" w:rsidRPr="006340A7" w:rsidRDefault="006340A7">
      <w:pPr>
        <w:shd w:val="clear" w:color="000000" w:fill="auto"/>
      </w:pPr>
      <w:r w:rsidRPr="006340A7">
        <w:t>Vi anser dessutom att förslaget är dåligt i sak. Propositionens redogörelse för förslaget i avsnitt 5.2. och i författningskommentarerna är mycket otydlig. Propositionen lämnar stor oklarhet – och stort utrymme för domstolstolknin</w:t>
      </w:r>
      <w:r w:rsidRPr="006340A7">
        <w:t>g</w:t>
      </w:r>
      <w:r w:rsidRPr="006340A7">
        <w:t>ar – i frågan om vad som kan anses ”strida mot någon rättsregel”. Detta han</w:t>
      </w:r>
      <w:r w:rsidRPr="006340A7">
        <w:t>d</w:t>
      </w:r>
      <w:r w:rsidRPr="006340A7">
        <w:t>lar om viktiga frågor, som områden av riksintresse enligt miljöbalken, milj</w:t>
      </w:r>
      <w:r w:rsidRPr="006340A7">
        <w:t>ö</w:t>
      </w:r>
      <w:r w:rsidRPr="006340A7">
        <w:t>kvalitetsnormer och strandskydd.</w:t>
      </w:r>
    </w:p>
    <w:p w:rsidR="006340A7" w:rsidRPr="006340A7" w:rsidRDefault="006340A7">
      <w:pPr>
        <w:pStyle w:val="Normaltindrag"/>
        <w:shd w:val="clear" w:color="000000" w:fill="auto"/>
      </w:pPr>
      <w:r w:rsidRPr="006340A7">
        <w:t>Oklarheten ökar genom förslagen i den proposition om åtgärdsprogram och tillämpningen av miljökvalitetsnormer (prop. 2009/10:184) som regerin</w:t>
      </w:r>
      <w:r w:rsidRPr="006340A7">
        <w:t>g</w:t>
      </w:r>
      <w:r w:rsidRPr="006340A7">
        <w:t>en överlämnade till riksdagen i slutet av mars. Där föreslår regeringen än</w:t>
      </w:r>
      <w:r w:rsidRPr="006340A7">
        <w:t>d</w:t>
      </w:r>
      <w:r w:rsidRPr="006340A7">
        <w:t>ringar av 2 kap. 7 § miljöbalken. I ett läge där miljökvalitetsnormer inte up</w:t>
      </w:r>
      <w:r w:rsidRPr="006340A7">
        <w:t>p</w:t>
      </w:r>
      <w:r w:rsidRPr="006340A7">
        <w:t>fylls blir det med dessa ändringar möjligt att bevilja tillstånd till en verksa</w:t>
      </w:r>
      <w:r w:rsidRPr="006340A7">
        <w:t>m</w:t>
      </w:r>
      <w:r w:rsidRPr="006340A7">
        <w:t>het som ytterligare försämrar uppfyllelsen. Ett exempel är om en verksamhet är förenlig med ett åtgärdsprogram. Till saken hör att åtgärds</w:t>
      </w:r>
      <w:r w:rsidRPr="006340A7">
        <w:softHyphen/>
        <w:t>programmen ofta är mycket översiktligt formulerade. Ett annat exempel är om en åtgärd endast marginellt bidrar till överskridandet av en mi</w:t>
      </w:r>
      <w:r w:rsidRPr="006340A7">
        <w:t>ljökvalitetsnorm. Regeringen anger i författningskommentarerna som exempel en verksamhet som alstrar trafik. Detta kan vara verksamheter som prövas i samband med detaljplaner.</w:t>
      </w:r>
    </w:p>
    <w:p w:rsidR="006340A7" w:rsidRPr="006340A7" w:rsidRDefault="006340A7">
      <w:pPr>
        <w:pStyle w:val="Normaltindrag"/>
        <w:shd w:val="clear" w:color="000000" w:fill="auto"/>
      </w:pPr>
      <w:r w:rsidRPr="006340A7">
        <w:t>Vi har i en separat motion diskuterat dessa förslag. Här räcker det med att påpeka att det blir mycket oklart vad som är ”rättsregeln” som ett överklaga</w:t>
      </w:r>
      <w:r w:rsidRPr="006340A7">
        <w:t>n</w:t>
      </w:r>
      <w:r w:rsidRPr="006340A7">
        <w:t>de kan strida mot.</w:t>
      </w:r>
    </w:p>
    <w:p w:rsidR="006340A7" w:rsidRPr="006340A7" w:rsidRDefault="006340A7">
      <w:pPr>
        <w:pStyle w:val="Normaltindrag"/>
        <w:shd w:val="clear" w:color="000000" w:fill="auto"/>
      </w:pPr>
      <w:r w:rsidRPr="006340A7">
        <w:t>Ytterligare en komplikation uppstår i och med vattenfrågor. Områdesb</w:t>
      </w:r>
      <w:r w:rsidRPr="006340A7">
        <w:t>e</w:t>
      </w:r>
      <w:r w:rsidRPr="006340A7">
        <w:t>stämmelser är en planform för en översiktlig reglering av mark- och vatte</w:t>
      </w:r>
      <w:r w:rsidRPr="006340A7">
        <w:t>n</w:t>
      </w:r>
      <w:r w:rsidRPr="006340A7">
        <w:t>användningen och av bebyggelsen. De kan således få betydelse för möjligh</w:t>
      </w:r>
      <w:r w:rsidRPr="006340A7">
        <w:t>e</w:t>
      </w:r>
      <w:r w:rsidRPr="006340A7">
        <w:t>ten att nå miljökvalitetsnormer för vatten enligt EU:s vattendirektiv. Även åtgärdsprogrammen för att uppfylla dessa normer är dock rätt allmänt hållna. Regeringens förslag lämnar för stort tolknings</w:t>
      </w:r>
      <w:r w:rsidRPr="006340A7">
        <w:softHyphen/>
        <w:t>utrymme också i detta avsee</w:t>
      </w:r>
      <w:r w:rsidRPr="006340A7">
        <w:t>n</w:t>
      </w:r>
      <w:r w:rsidRPr="006340A7">
        <w:t>de.</w:t>
      </w:r>
    </w:p>
    <w:p w:rsidR="006340A7" w:rsidRPr="006340A7" w:rsidRDefault="006340A7">
      <w:pPr>
        <w:pStyle w:val="Normaltindrag"/>
        <w:shd w:val="clear" w:color="000000" w:fill="auto"/>
      </w:pPr>
      <w:r w:rsidRPr="006340A7">
        <w:t>Om regeringens förslag går igenom aktualiseras för övrigt ett förslag som Miljöpartiet tidigare framfört (t.ex. i PBL-kommittén), nä</w:t>
      </w:r>
      <w:r w:rsidRPr="006340A7">
        <w:t>mligen att miljökv</w:t>
      </w:r>
      <w:r w:rsidRPr="006340A7">
        <w:t>a</w:t>
      </w:r>
      <w:r w:rsidRPr="006340A7">
        <w:t>litetsmålen bör få en starkare rättslig ställning.</w:t>
      </w:r>
    </w:p>
    <w:p w:rsidR="006340A7" w:rsidRPr="006340A7" w:rsidRDefault="006340A7">
      <w:pPr>
        <w:pStyle w:val="Normaltindrag"/>
        <w:shd w:val="clear" w:color="000000" w:fill="auto"/>
      </w:pPr>
      <w:r w:rsidRPr="006340A7">
        <w:t>Regeringens förslag lägger oklarhet till oklarhet. Detta kan knappast öka rättssäkerheten. Vidare kan man ifrågasätta om den föreslagna ordningen är förenlig med EU-rätten om miljökvalitetsnormer.</w:t>
      </w:r>
    </w:p>
    <w:p w:rsidR="006340A7" w:rsidRPr="006340A7" w:rsidRDefault="006340A7">
      <w:pPr>
        <w:pStyle w:val="Normaltindrag"/>
        <w:shd w:val="clear" w:color="000000" w:fill="auto"/>
      </w:pPr>
      <w:r w:rsidRPr="006340A7">
        <w:t>Det kan också ifrågasättas om regeringens förslag är förenligt med Århu</w:t>
      </w:r>
      <w:r w:rsidRPr="006340A7">
        <w:t>s</w:t>
      </w:r>
      <w:r w:rsidRPr="006340A7">
        <w:t>konventionens krav rörande miljöorganisationers rätt till rättslig prövning. Regeringen har tidigare aviserat en generell översyn av talerätten. En sådan översyn bör överväga en utvidgning av talerätten, till exempel till beslut om tillsynsärenden (inklusive beslut i samband med anmälan av anmälningspli</w:t>
      </w:r>
      <w:r w:rsidRPr="006340A7">
        <w:t>k</w:t>
      </w:r>
      <w:r w:rsidRPr="006340A7">
        <w:t>tig verksamhet) eller beslut om strandskyddsdispenser. Regeringens förslag om mark- och miljödomstolar aktualiserar behovet ännu en gång.</w:t>
      </w:r>
    </w:p>
    <w:p w:rsidR="006340A7" w:rsidRPr="006340A7" w:rsidRDefault="006340A7">
      <w:pPr>
        <w:pStyle w:val="Normaltindrag"/>
        <w:shd w:val="clear" w:color="000000" w:fill="auto"/>
      </w:pPr>
      <w:r w:rsidRPr="006340A7">
        <w:t>Sammantaget avvisar vi regeringens förslag till ändring av regeringe</w:t>
      </w:r>
      <w:r w:rsidRPr="006340A7">
        <w:t>ns fö</w:t>
      </w:r>
      <w:r w:rsidRPr="006340A7">
        <w:t>r</w:t>
      </w:r>
      <w:r w:rsidRPr="006340A7">
        <w:t>slag till ny 13 kap. 18 §. Vi anser att regeringen bör återkomma till riksdagen med förslag till en utvidgat talerätt för miljöorganisationer.</w:t>
      </w:r>
    </w:p>
    <w:p w:rsidR="006340A7" w:rsidRPr="006340A7" w:rsidRDefault="006340A7">
      <w:pPr>
        <w:pStyle w:val="Rubrik1"/>
        <w:shd w:val="clear" w:color="000000" w:fill="auto"/>
      </w:pPr>
      <w:r w:rsidRPr="006340A7">
        <w:t>Indelning i domsområden och åtgärdsprogram för vattenkvalitet</w:t>
      </w:r>
    </w:p>
    <w:p w:rsidR="006340A7" w:rsidRPr="006340A7" w:rsidRDefault="006340A7">
      <w:pPr>
        <w:shd w:val="clear" w:color="000000" w:fill="auto"/>
      </w:pPr>
      <w:r w:rsidRPr="006340A7">
        <w:t>Miljöprocessutredningen föreslog att huvudavrinningsområden, i likhet med vad som gäller för de nuvarande miljödomstolarna, bör ligga till grund för indelningen i domsområden. Regeringen föreslår i stället att de nya mark- och miljödomstolarnas domsområden bör anpassas till den administrativa inde</w:t>
      </w:r>
      <w:r w:rsidRPr="006340A7">
        <w:t>l</w:t>
      </w:r>
      <w:r w:rsidRPr="006340A7">
        <w:t>ningen av landet.</w:t>
      </w:r>
    </w:p>
    <w:p w:rsidR="006340A7" w:rsidRPr="006340A7" w:rsidRDefault="006340A7">
      <w:pPr>
        <w:pStyle w:val="Normaltindrag"/>
        <w:shd w:val="clear" w:color="000000" w:fill="auto"/>
      </w:pPr>
      <w:r w:rsidRPr="006340A7">
        <w:t>Remissinstanserna är klart splittrade. Det är uppenbart att det finns goda skäl både för en administrativ indelning och för en indelning enligt avri</w:t>
      </w:r>
      <w:r w:rsidRPr="006340A7">
        <w:t>n</w:t>
      </w:r>
      <w:r w:rsidRPr="006340A7">
        <w:t>ningsområde. Det finns också goda skäl för att det ska vara samma indelning för alla mål.</w:t>
      </w:r>
    </w:p>
    <w:p w:rsidR="006340A7" w:rsidRPr="006340A7" w:rsidRDefault="006340A7">
      <w:pPr>
        <w:pStyle w:val="Normaltindrag"/>
        <w:shd w:val="clear" w:color="000000" w:fill="auto"/>
      </w:pPr>
      <w:r w:rsidRPr="006340A7">
        <w:t>Enligt vår mening har regeringen underskattat betydelsen av EU:s ramd</w:t>
      </w:r>
      <w:r w:rsidRPr="006340A7">
        <w:t>i</w:t>
      </w:r>
      <w:r w:rsidRPr="006340A7">
        <w:t>rektiv för vatten och de nya åtgärdsprogrammen för att klara direktivets krav. Särskilt det förhållandet att åtgärdsprogrammen är allmänt hållna gör det angeläget med en sammanhållen bedömning av olika verksamheter inom respektive vattenområde.</w:t>
      </w:r>
    </w:p>
    <w:p w:rsidR="006340A7" w:rsidRPr="006340A7" w:rsidRDefault="006340A7">
      <w:pPr>
        <w:pStyle w:val="Normaltindrag"/>
        <w:shd w:val="clear" w:color="000000" w:fill="auto"/>
      </w:pPr>
      <w:r w:rsidRPr="006340A7">
        <w:t>Samtidigt är det viktigt att domstolsindelningen känns naturlig ur ett me</w:t>
      </w:r>
      <w:r w:rsidRPr="006340A7">
        <w:t>d</w:t>
      </w:r>
      <w:r w:rsidRPr="006340A7">
        <w:t>borgarperspektiv.</w:t>
      </w:r>
    </w:p>
    <w:p w:rsidR="006340A7" w:rsidRPr="006340A7" w:rsidRDefault="006340A7">
      <w:pPr>
        <w:pStyle w:val="Normaltindrag"/>
        <w:shd w:val="clear" w:color="000000" w:fill="auto"/>
      </w:pPr>
      <w:r w:rsidRPr="006340A7">
        <w:t>Regeringen bör beakta dessa aspekter i det fortsatta arbetet med Ansvar</w:t>
      </w:r>
      <w:r w:rsidRPr="006340A7">
        <w:t>s</w:t>
      </w:r>
      <w:r w:rsidRPr="006340A7">
        <w:t>kommitténs förslag om bl.a. regional indelning samt Organisationsutrednin</w:t>
      </w:r>
      <w:r w:rsidRPr="006340A7">
        <w:t>g</w:t>
      </w:r>
      <w:r w:rsidRPr="006340A7">
        <w:t>ens arbete med bl.a. länsstyrelsernas framtida uppgifter.</w:t>
      </w:r>
    </w:p>
    <w:p w:rsidR="006340A7" w:rsidRPr="006340A7" w:rsidRDefault="006340A7">
      <w:pPr>
        <w:pStyle w:val="Normaltindrag"/>
        <w:shd w:val="clear" w:color="000000" w:fill="auto"/>
      </w:pPr>
      <w:r w:rsidRPr="006340A7">
        <w:t>Regeringen bör också återkomma till riksdagen med förslag på hur en ä</w:t>
      </w:r>
      <w:r w:rsidRPr="006340A7">
        <w:t>n</w:t>
      </w:r>
      <w:r w:rsidRPr="006340A7">
        <w:t>damålsenlig samordning av insatser för att genomföra åtgärdsprogrammen för vattenområden kan göras med den föreslagna indelningen i domsområden. En möjlighet kan vara att mark- och miljödomstolen regelmässigt ska få yttra sig över mål som påverkar vattenområden inom domstolens ansvarsområde.</w:t>
      </w:r>
    </w:p>
    <w:p w:rsidR="006340A7" w:rsidRPr="006340A7" w:rsidRDefault="006340A7">
      <w:pPr>
        <w:pStyle w:val="Rubrik1"/>
        <w:shd w:val="clear" w:color="000000" w:fill="auto"/>
      </w:pPr>
      <w:r w:rsidRPr="006340A7">
        <w:t>Förfarande i mål som överklagas till mark- och miljödomstol</w:t>
      </w:r>
    </w:p>
    <w:p w:rsidR="006340A7" w:rsidRPr="006340A7" w:rsidRDefault="006340A7">
      <w:pPr>
        <w:shd w:val="clear" w:color="000000" w:fill="auto"/>
      </w:pPr>
      <w:r w:rsidRPr="006340A7">
        <w:t>Regeringen föreslår att ärendelagen (lagen om domstolsärenden) normalt ska tillämpas för de mål som inleds i mark- och miljödomstolarna genom öve</w:t>
      </w:r>
      <w:r w:rsidRPr="006340A7">
        <w:t>r</w:t>
      </w:r>
      <w:r w:rsidRPr="006340A7">
        <w:t>klagande. Förslaget framgår av regeringens förslag till 5 kap. 1 § lagen om mark- och miljödomstolar. Flera tunga remissinstanser, som Naturvårdsve</w:t>
      </w:r>
      <w:r w:rsidRPr="006340A7">
        <w:t>r</w:t>
      </w:r>
      <w:r w:rsidRPr="006340A7">
        <w:t>ket, Sveriges Kommuner och Landsting, Uppsala universitet och delvis Kammarkollegiet, har avstyrkt regeringens förslag när det gäller mål enligt miljöbalken samt plan- och bygglagen. Dessa mål har hittills handlagts enligt förvaltningsprocesslagen.</w:t>
      </w:r>
    </w:p>
    <w:p w:rsidR="006340A7" w:rsidRPr="006340A7" w:rsidRDefault="006340A7">
      <w:pPr>
        <w:pStyle w:val="Normaltindrag"/>
        <w:shd w:val="clear" w:color="000000" w:fill="auto"/>
      </w:pPr>
      <w:r w:rsidRPr="006340A7">
        <w:t>Miljöpartiet instämmer med de remissinstanser som anser att den nuvara</w:t>
      </w:r>
      <w:r w:rsidRPr="006340A7">
        <w:t>n</w:t>
      </w:r>
      <w:r w:rsidRPr="006340A7">
        <w:t>de ordningen bör behållas för mål enligt miljöbalken och mål enligt plan- och bygglagen. Dels är det en rimlig utgångspunkt att de processregler som ger de materiella reglerna maximalt genomslag ska väljas, dels har en omfattande praxis bildats enligt den nuvarande ordningen. Inga vägande skäl har anförts för att byta den ordningen. Ett byte skulle, som remissinstanser påpekat, sk</w:t>
      </w:r>
      <w:r w:rsidRPr="006340A7">
        <w:t>a</w:t>
      </w:r>
      <w:r w:rsidRPr="006340A7">
        <w:t>pa oklarhet. Uppsala universitet har dessutom påpekat att ett byte kan få bet</w:t>
      </w:r>
      <w:r w:rsidRPr="006340A7">
        <w:t>y</w:t>
      </w:r>
      <w:r w:rsidRPr="006340A7">
        <w:t>delse för miljöorganisationers möjligheter att ag</w:t>
      </w:r>
      <w:r w:rsidRPr="006340A7">
        <w:t>era rättsligt och därmed för Sveriges åtaganden enligt Århuskonventionen.</w:t>
      </w:r>
    </w:p>
    <w:p w:rsidR="006340A7" w:rsidRPr="006340A7" w:rsidRDefault="006340A7">
      <w:pPr>
        <w:pStyle w:val="Normaltindrag"/>
        <w:shd w:val="clear" w:color="000000" w:fill="auto"/>
      </w:pPr>
      <w:r w:rsidRPr="006340A7">
        <w:t>Riksdagen bör därför avslå regeringens förslag till 5 kap. 1 § lagen om mark- och miljödomstolar.</w:t>
      </w:r>
    </w:p>
    <w:p w:rsidR="006340A7" w:rsidRPr="006340A7" w:rsidRDefault="006340A7">
      <w:pPr>
        <w:pStyle w:val="Normaltindrag"/>
        <w:shd w:val="clear" w:color="000000" w:fill="auto"/>
      </w:pPr>
      <w:r w:rsidRPr="006340A7">
        <w:t>Regeringen bör skyndsamt återkomma till riksdagen med ett förslag till ny lydelse av 5 kap. 1 § med innebörden att mål enligt miljöbalken samt plan- och bygglagen som överklagats till mark- och miljödomstol i första hand bör handläggas enligt förvaltnings</w:t>
      </w:r>
      <w:r w:rsidRPr="006340A7">
        <w:softHyphen/>
        <w:t>processlagen.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0A7">
        <w:trPr>
          <w:cantSplit/>
        </w:trPr>
        <w:tc>
          <w:tcPr>
            <w:tcW w:w="3046" w:type="dxa"/>
          </w:tcPr>
          <w:p w:rsidR="006340A7" w:rsidRPr="006340A7" w:rsidRDefault="006340A7">
            <w:pPr>
              <w:pStyle w:val="UnderskriftDatum"/>
              <w:shd w:val="clear" w:color="000000" w:fill="auto"/>
              <w:spacing w:before="240"/>
            </w:pPr>
            <w:r w:rsidRPr="006340A7">
              <w:t>Stockholm den 5 maj 2010</w:t>
            </w:r>
          </w:p>
        </w:tc>
        <w:tc>
          <w:tcPr>
            <w:tcW w:w="3047" w:type="dxa"/>
          </w:tcPr>
          <w:p w:rsidR="006340A7" w:rsidRPr="006340A7" w:rsidRDefault="006340A7">
            <w:pPr>
              <w:pStyle w:val="Underskrifter"/>
              <w:shd w:val="clear" w:color="000000" w:fill="auto"/>
              <w:spacing w:before="240"/>
            </w:pPr>
          </w:p>
        </w:tc>
      </w:tr>
      <w:tr w:rsidR="00000000" w:rsidRPr="006340A7">
        <w:trPr>
          <w:cantSplit/>
        </w:trPr>
        <w:tc>
          <w:tcPr>
            <w:tcW w:w="3046" w:type="dxa"/>
          </w:tcPr>
          <w:p w:rsidR="006340A7" w:rsidRPr="006340A7" w:rsidRDefault="006340A7">
            <w:pPr>
              <w:pStyle w:val="Underskrifter"/>
              <w:shd w:val="clear" w:color="000000" w:fill="auto"/>
            </w:pPr>
            <w:r w:rsidRPr="006340A7">
              <w:t>Mehmet Kaplan (mp)</w:t>
            </w:r>
          </w:p>
        </w:tc>
        <w:tc>
          <w:tcPr>
            <w:tcW w:w="3046" w:type="dxa"/>
          </w:tcPr>
          <w:p w:rsidR="006340A7" w:rsidRPr="006340A7" w:rsidRDefault="006340A7">
            <w:pPr>
              <w:pStyle w:val="Underskrifter"/>
              <w:shd w:val="clear" w:color="000000" w:fill="auto"/>
            </w:pPr>
          </w:p>
        </w:tc>
      </w:tr>
      <w:tr w:rsidR="00000000" w:rsidRPr="006340A7">
        <w:trPr>
          <w:cantSplit/>
        </w:trPr>
        <w:tc>
          <w:tcPr>
            <w:tcW w:w="3046" w:type="dxa"/>
          </w:tcPr>
          <w:p w:rsidR="006340A7" w:rsidRPr="006340A7" w:rsidRDefault="006340A7">
            <w:pPr>
              <w:pStyle w:val="Underskrifter"/>
              <w:shd w:val="clear" w:color="000000" w:fill="auto"/>
            </w:pPr>
            <w:r w:rsidRPr="006340A7">
              <w:t>Jan Lindholm (mp)</w:t>
            </w:r>
          </w:p>
        </w:tc>
        <w:tc>
          <w:tcPr>
            <w:tcW w:w="3046" w:type="dxa"/>
          </w:tcPr>
          <w:p w:rsidR="006340A7" w:rsidRPr="006340A7" w:rsidRDefault="006340A7">
            <w:pPr>
              <w:pStyle w:val="Underskrifter"/>
              <w:shd w:val="clear" w:color="000000" w:fill="auto"/>
            </w:pPr>
            <w:r w:rsidRPr="006340A7">
              <w:t>Ulf Holm (mp)</w:t>
            </w:r>
          </w:p>
        </w:tc>
      </w:tr>
      <w:tr w:rsidR="00000000" w:rsidRPr="006340A7">
        <w:trPr>
          <w:cantSplit/>
        </w:trPr>
        <w:tc>
          <w:tcPr>
            <w:tcW w:w="3046" w:type="dxa"/>
          </w:tcPr>
          <w:p w:rsidR="006340A7" w:rsidRPr="006340A7" w:rsidRDefault="006340A7">
            <w:pPr>
              <w:pStyle w:val="Underskrifter"/>
              <w:shd w:val="clear" w:color="000000" w:fill="auto"/>
            </w:pPr>
            <w:r w:rsidRPr="006340A7">
              <w:t>Mikael Johansson (mp)</w:t>
            </w:r>
          </w:p>
        </w:tc>
        <w:tc>
          <w:tcPr>
            <w:tcW w:w="3046" w:type="dxa"/>
          </w:tcPr>
          <w:p w:rsidR="006340A7" w:rsidRPr="006340A7" w:rsidRDefault="006340A7">
            <w:pPr>
              <w:pStyle w:val="Underskrifter"/>
              <w:shd w:val="clear" w:color="000000" w:fill="auto"/>
            </w:pPr>
            <w:r w:rsidRPr="006340A7">
              <w:t>Bodil Ceballos (mp)</w:t>
            </w:r>
          </w:p>
        </w:tc>
      </w:tr>
    </w:tbl>
    <w:p w:rsidR="006340A7" w:rsidRPr="006340A7" w:rsidRDefault="006340A7">
      <w:pPr>
        <w:pStyle w:val="Normaltindrag"/>
        <w:shd w:val="clear" w:color="000000" w:fill="auto"/>
      </w:pPr>
    </w:p>
    <w:sectPr w:rsidR="00000000" w:rsidRPr="006340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0A7" w:rsidRPr="006340A7" w:rsidRDefault="006340A7">
      <w:r w:rsidRPr="006340A7">
        <w:separator/>
      </w:r>
    </w:p>
  </w:endnote>
  <w:endnote w:type="continuationSeparator" w:id="0">
    <w:p w:rsidR="006340A7" w:rsidRPr="006340A7" w:rsidRDefault="006340A7">
      <w:r w:rsidRPr="00634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0A7" w:rsidRPr="006340A7" w:rsidRDefault="006340A7">
    <w:pPr>
      <w:pStyle w:val="Sidfot"/>
    </w:pPr>
    <w:r w:rsidRPr="006340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4517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A7" w:rsidRDefault="006340A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0A7" w:rsidRDefault="006340A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0A7" w:rsidRPr="006340A7" w:rsidRDefault="006340A7">
    <w:pPr>
      <w:pStyle w:val="Sidfot"/>
    </w:pPr>
    <w:r w:rsidRPr="006340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5645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A7" w:rsidRDefault="006340A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0A7" w:rsidRDefault="006340A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0A7" w:rsidRPr="006340A7" w:rsidRDefault="006340A7">
    <w:pPr>
      <w:pStyle w:val="Sidfot"/>
    </w:pPr>
    <w:r w:rsidRPr="006340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7291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A7" w:rsidRDefault="006340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0A7" w:rsidRDefault="006340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0A7" w:rsidRPr="006340A7" w:rsidRDefault="006340A7">
      <w:r w:rsidRPr="006340A7">
        <w:separator/>
      </w:r>
    </w:p>
  </w:footnote>
  <w:footnote w:type="continuationSeparator" w:id="0">
    <w:p w:rsidR="006340A7" w:rsidRPr="006340A7" w:rsidRDefault="006340A7">
      <w:r w:rsidRPr="00634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0A7" w:rsidRPr="006340A7" w:rsidRDefault="006340A7">
    <w:pPr>
      <w:pStyle w:val="Sidhuvud"/>
    </w:pPr>
    <w:r w:rsidRPr="006340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0581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A7" w:rsidRDefault="006340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0A7" w:rsidRDefault="006340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0A7" w:rsidRPr="006340A7" w:rsidRDefault="006340A7">
    <w:pPr>
      <w:pStyle w:val="Sidhuvud"/>
    </w:pPr>
    <w:r w:rsidRPr="006340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5256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A7" w:rsidRDefault="006340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0A7" w:rsidRDefault="006340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0A7" w:rsidRPr="006340A7" w:rsidRDefault="006340A7">
    <w:pPr>
      <w:pStyle w:val="FSHNormal"/>
      <w:tabs>
        <w:tab w:val="right" w:pos="5840"/>
      </w:tabs>
    </w:pPr>
    <w:r w:rsidRPr="006340A7">
      <w:br/>
    </w:r>
    <w:r w:rsidRPr="006340A7">
      <w:fldChar w:fldCharType="begin" w:fldLock="1"/>
    </w:r>
    <w:r w:rsidRPr="006340A7">
      <w:instrText xml:space="preserve"> DOCPROPERTY</w:instrText>
    </w:r>
    <w:r w:rsidRPr="006340A7">
      <w:rPr>
        <w:sz w:val="18"/>
      </w:rPr>
      <w:instrText xml:space="preserve"> "YearUser" *\charformat </w:instrText>
    </w:r>
    <w:r w:rsidRPr="006340A7">
      <w:fldChar w:fldCharType="separate"/>
    </w:r>
    <w:r w:rsidRPr="006340A7">
      <w:t>2009/10</w:t>
    </w:r>
    <w:r w:rsidRPr="006340A7">
      <w:fldChar w:fldCharType="end"/>
    </w:r>
    <w:r w:rsidRPr="006340A7">
      <w:t xml:space="preserve"> </w:t>
    </w:r>
    <w:r w:rsidRPr="006340A7">
      <w:tab/>
      <w:t xml:space="preserve">mnr: </w:t>
    </w:r>
    <w:r w:rsidRPr="006340A7">
      <w:fldChar w:fldCharType="begin" w:fldLock="1"/>
    </w:r>
    <w:r w:rsidRPr="006340A7">
      <w:instrText xml:space="preserve"> DOCPROPERTY</w:instrText>
    </w:r>
    <w:r w:rsidRPr="006340A7">
      <w:rPr>
        <w:sz w:val="18"/>
      </w:rPr>
      <w:instrText xml:space="preserve"> "Motionsnummer" *\charformat </w:instrText>
    </w:r>
    <w:r w:rsidRPr="006340A7">
      <w:fldChar w:fldCharType="separate"/>
    </w:r>
    <w:r w:rsidRPr="006340A7">
      <w:t>Ju15</w:t>
    </w:r>
    <w:r w:rsidRPr="006340A7">
      <w:fldChar w:fldCharType="end"/>
    </w:r>
    <w:r w:rsidRPr="006340A7">
      <w:br/>
    </w:r>
    <w:r w:rsidRPr="006340A7">
      <w:fldChar w:fldCharType="begin" w:fldLock="1"/>
    </w:r>
    <w:r w:rsidRPr="006340A7">
      <w:instrText xml:space="preserve"> DOCPROPERTY</w:instrText>
    </w:r>
    <w:r w:rsidRPr="006340A7">
      <w:rPr>
        <w:sz w:val="18"/>
      </w:rPr>
      <w:instrText xml:space="preserve"> "Samling" *\charformat </w:instrText>
    </w:r>
    <w:r w:rsidRPr="006340A7">
      <w:fldChar w:fldCharType="end"/>
    </w:r>
    <w:r w:rsidRPr="006340A7">
      <w:tab/>
      <w:t xml:space="preserve">pnr: </w:t>
    </w:r>
    <w:r w:rsidRPr="006340A7">
      <w:fldChar w:fldCharType="begin" w:fldLock="1"/>
    </w:r>
    <w:r w:rsidRPr="006340A7">
      <w:instrText xml:space="preserve"> DOCPROPERTY</w:instrText>
    </w:r>
    <w:r w:rsidRPr="006340A7">
      <w:rPr>
        <w:sz w:val="18"/>
      </w:rPr>
      <w:instrText xml:space="preserve"> "Partinummer" *\charformat </w:instrText>
    </w:r>
    <w:r w:rsidRPr="006340A7">
      <w:fldChar w:fldCharType="separate"/>
    </w:r>
    <w:r w:rsidRPr="006340A7">
      <w:t>mp36</w:t>
    </w:r>
    <w:r w:rsidRPr="006340A7">
      <w:fldChar w:fldCharType="end"/>
    </w:r>
  </w:p>
  <w:p w:rsidR="006340A7" w:rsidRPr="006340A7" w:rsidRDefault="006340A7">
    <w:pPr>
      <w:pStyle w:val="FSHRub1"/>
    </w:pPr>
    <w:r w:rsidRPr="006340A7">
      <w:t>Motion till riksdagen</w:t>
    </w:r>
    <w:r w:rsidRPr="006340A7">
      <w:br/>
    </w:r>
    <w:r w:rsidRPr="006340A7">
      <w:fldChar w:fldCharType="begin" w:fldLock="1"/>
    </w:r>
    <w:r w:rsidRPr="006340A7">
      <w:instrText xml:space="preserve"> DOCPROPERTY "YearUser" *\charformat </w:instrText>
    </w:r>
    <w:r w:rsidRPr="006340A7">
      <w:fldChar w:fldCharType="separate"/>
    </w:r>
    <w:r w:rsidRPr="006340A7">
      <w:t>2009/10</w:t>
    </w:r>
    <w:r w:rsidRPr="006340A7">
      <w:fldChar w:fldCharType="end"/>
    </w:r>
    <w:r w:rsidRPr="006340A7">
      <w:t>:</w:t>
    </w:r>
    <w:r w:rsidRPr="006340A7">
      <w:fldChar w:fldCharType="begin" w:fldLock="1"/>
    </w:r>
    <w:r w:rsidRPr="006340A7">
      <w:instrText xml:space="preserve"> DOCPROPERTY "Motionsnummer" *\charformat </w:instrText>
    </w:r>
    <w:r w:rsidRPr="006340A7">
      <w:fldChar w:fldCharType="separate"/>
    </w:r>
    <w:r w:rsidRPr="006340A7">
      <w:t>Ju15</w:t>
    </w:r>
    <w:r w:rsidRPr="006340A7">
      <w:fldChar w:fldCharType="end"/>
    </w:r>
  </w:p>
  <w:p w:rsidR="006340A7" w:rsidRPr="006340A7" w:rsidRDefault="006340A7">
    <w:pPr>
      <w:pStyle w:val="FSHNormalS5"/>
    </w:pPr>
    <w:r w:rsidRPr="006340A7">
      <w:fldChar w:fldCharType="begin" w:fldLock="1"/>
    </w:r>
    <w:r w:rsidRPr="006340A7">
      <w:instrText xml:space="preserve"> DOCPROPERTY "MotionarText" *\charformat </w:instrText>
    </w:r>
    <w:r w:rsidRPr="006340A7">
      <w:fldChar w:fldCharType="separate"/>
    </w:r>
    <w:r w:rsidRPr="006340A7">
      <w:t>av Mehmet Kaplan m.fl. (mp)</w:t>
    </w:r>
    <w:r w:rsidRPr="006340A7">
      <w:fldChar w:fldCharType="end"/>
    </w:r>
    <w:r w:rsidRPr="006340A7">
      <w:br/>
    </w:r>
    <w:r w:rsidRPr="006340A7">
      <w:fldChar w:fldCharType="begin" w:fldLock="1"/>
    </w:r>
    <w:r w:rsidRPr="006340A7">
      <w:instrText xml:space="preserve"> DOCPROPERTY "SvarFrasKort" *\charformat </w:instrText>
    </w:r>
    <w:r w:rsidRPr="006340A7">
      <w:fldChar w:fldCharType="separate"/>
    </w:r>
    <w:r w:rsidRPr="006340A7">
      <w:t>med anledning av prop. 2009/10:215</w:t>
    </w:r>
    <w:r w:rsidRPr="006340A7">
      <w:fldChar w:fldCharType="end"/>
    </w:r>
  </w:p>
  <w:p w:rsidR="006340A7" w:rsidRPr="006340A7" w:rsidRDefault="006340A7">
    <w:pPr>
      <w:pStyle w:val="FSHTitel"/>
    </w:pPr>
    <w:r w:rsidRPr="006340A7">
      <w:fldChar w:fldCharType="begin" w:fldLock="1"/>
    </w:r>
    <w:r w:rsidRPr="006340A7">
      <w:instrText xml:space="preserve"> DOCPROPERTY</w:instrText>
    </w:r>
    <w:r w:rsidRPr="006340A7">
      <w:rPr>
        <w:sz w:val="18"/>
      </w:rPr>
      <w:instrText xml:space="preserve"> "RubrikSvar" *\charformat </w:instrText>
    </w:r>
    <w:r w:rsidRPr="006340A7">
      <w:fldChar w:fldCharType="separate"/>
    </w:r>
    <w:r w:rsidRPr="006340A7">
      <w:t>Mark- och miljödomstolar</w:t>
    </w:r>
    <w:r w:rsidRPr="006340A7">
      <w:fldChar w:fldCharType="end"/>
    </w:r>
  </w:p>
  <w:p w:rsidR="006340A7" w:rsidRPr="006340A7" w:rsidRDefault="006340A7">
    <w:pPr>
      <w:pStyle w:val="Normal00"/>
    </w:pPr>
  </w:p>
  <w:p w:rsidR="006340A7" w:rsidRPr="006340A7" w:rsidRDefault="006340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90089"/>
    <w:multiLevelType w:val="hybridMultilevel"/>
    <w:tmpl w:val="D69242C8"/>
    <w:lvl w:ilvl="0" w:tplc="FEF0E0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DCD1BB4"/>
    <w:multiLevelType w:val="hybridMultilevel"/>
    <w:tmpl w:val="BE7C2C76"/>
    <w:lvl w:ilvl="0" w:tplc="611CDF80">
      <w:start w:val="1"/>
      <w:numFmt w:val="decimal"/>
      <w:lvlText w:val="%1)"/>
      <w:lvlJc w:val="left"/>
      <w:pPr>
        <w:tabs>
          <w:tab w:val="num" w:pos="1200"/>
        </w:tabs>
        <w:ind w:left="1200" w:hanging="360"/>
      </w:pPr>
      <w:rPr>
        <w:rFonts w:hint="default"/>
      </w:rPr>
    </w:lvl>
    <w:lvl w:ilvl="1" w:tplc="041D0019" w:tentative="1">
      <w:start w:val="1"/>
      <w:numFmt w:val="lowerLetter"/>
      <w:lvlText w:val="%2."/>
      <w:lvlJc w:val="left"/>
      <w:pPr>
        <w:tabs>
          <w:tab w:val="num" w:pos="1920"/>
        </w:tabs>
        <w:ind w:left="1920" w:hanging="360"/>
      </w:pPr>
    </w:lvl>
    <w:lvl w:ilvl="2" w:tplc="041D001B" w:tentative="1">
      <w:start w:val="1"/>
      <w:numFmt w:val="lowerRoman"/>
      <w:lvlText w:val="%3."/>
      <w:lvlJc w:val="right"/>
      <w:pPr>
        <w:tabs>
          <w:tab w:val="num" w:pos="2640"/>
        </w:tabs>
        <w:ind w:left="2640" w:hanging="180"/>
      </w:pPr>
    </w:lvl>
    <w:lvl w:ilvl="3" w:tplc="041D000F" w:tentative="1">
      <w:start w:val="1"/>
      <w:numFmt w:val="decimal"/>
      <w:lvlText w:val="%4."/>
      <w:lvlJc w:val="left"/>
      <w:pPr>
        <w:tabs>
          <w:tab w:val="num" w:pos="3360"/>
        </w:tabs>
        <w:ind w:left="3360" w:hanging="360"/>
      </w:pPr>
    </w:lvl>
    <w:lvl w:ilvl="4" w:tplc="041D0019" w:tentative="1">
      <w:start w:val="1"/>
      <w:numFmt w:val="lowerLetter"/>
      <w:lvlText w:val="%5."/>
      <w:lvlJc w:val="left"/>
      <w:pPr>
        <w:tabs>
          <w:tab w:val="num" w:pos="4080"/>
        </w:tabs>
        <w:ind w:left="4080" w:hanging="360"/>
      </w:pPr>
    </w:lvl>
    <w:lvl w:ilvl="5" w:tplc="041D001B" w:tentative="1">
      <w:start w:val="1"/>
      <w:numFmt w:val="lowerRoman"/>
      <w:lvlText w:val="%6."/>
      <w:lvlJc w:val="right"/>
      <w:pPr>
        <w:tabs>
          <w:tab w:val="num" w:pos="4800"/>
        </w:tabs>
        <w:ind w:left="4800" w:hanging="180"/>
      </w:pPr>
    </w:lvl>
    <w:lvl w:ilvl="6" w:tplc="041D000F" w:tentative="1">
      <w:start w:val="1"/>
      <w:numFmt w:val="decimal"/>
      <w:lvlText w:val="%7."/>
      <w:lvlJc w:val="left"/>
      <w:pPr>
        <w:tabs>
          <w:tab w:val="num" w:pos="5520"/>
        </w:tabs>
        <w:ind w:left="5520" w:hanging="360"/>
      </w:pPr>
    </w:lvl>
    <w:lvl w:ilvl="7" w:tplc="041D0019" w:tentative="1">
      <w:start w:val="1"/>
      <w:numFmt w:val="lowerLetter"/>
      <w:lvlText w:val="%8."/>
      <w:lvlJc w:val="left"/>
      <w:pPr>
        <w:tabs>
          <w:tab w:val="num" w:pos="6240"/>
        </w:tabs>
        <w:ind w:left="6240" w:hanging="360"/>
      </w:pPr>
    </w:lvl>
    <w:lvl w:ilvl="8" w:tplc="041D001B" w:tentative="1">
      <w:start w:val="1"/>
      <w:numFmt w:val="lowerRoman"/>
      <w:lvlText w:val="%9."/>
      <w:lvlJc w:val="right"/>
      <w:pPr>
        <w:tabs>
          <w:tab w:val="num" w:pos="6960"/>
        </w:tabs>
        <w:ind w:left="696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060C5C"/>
    <w:multiLevelType w:val="hybridMultilevel"/>
    <w:tmpl w:val="BDF03BD4"/>
    <w:lvl w:ilvl="0" w:tplc="2ACE68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168701">
    <w:abstractNumId w:val="3"/>
  </w:num>
  <w:num w:numId="2" w16cid:durableId="506332953">
    <w:abstractNumId w:val="2"/>
  </w:num>
  <w:num w:numId="3" w16cid:durableId="1835756481">
    <w:abstractNumId w:val="1"/>
  </w:num>
  <w:num w:numId="4" w16cid:durableId="480194830">
    <w:abstractNumId w:val="0"/>
  </w:num>
  <w:num w:numId="5" w16cid:durableId="670108637">
    <w:abstractNumId w:val="7"/>
  </w:num>
  <w:num w:numId="6" w16cid:durableId="1195459730">
    <w:abstractNumId w:val="6"/>
  </w:num>
  <w:num w:numId="7" w16cid:durableId="1406100202">
    <w:abstractNumId w:val="5"/>
  </w:num>
  <w:num w:numId="8" w16cid:durableId="1813717564">
    <w:abstractNumId w:val="4"/>
  </w:num>
  <w:num w:numId="9" w16cid:durableId="63914709">
    <w:abstractNumId w:val="8"/>
  </w:num>
  <w:num w:numId="10" w16cid:durableId="856697282">
    <w:abstractNumId w:val="9"/>
  </w:num>
  <w:num w:numId="11" w16cid:durableId="945699836">
    <w:abstractNumId w:val="10"/>
  </w:num>
  <w:num w:numId="12" w16cid:durableId="1695231044">
    <w:abstractNumId w:val="14"/>
  </w:num>
  <w:num w:numId="13" w16cid:durableId="2052996053">
    <w:abstractNumId w:val="17"/>
  </w:num>
  <w:num w:numId="14" w16cid:durableId="365525466">
    <w:abstractNumId w:val="18"/>
  </w:num>
  <w:num w:numId="15" w16cid:durableId="10493865">
    <w:abstractNumId w:val="11"/>
  </w:num>
  <w:num w:numId="16" w16cid:durableId="1143935406">
    <w:abstractNumId w:val="21"/>
  </w:num>
  <w:num w:numId="17" w16cid:durableId="1810242229">
    <w:abstractNumId w:val="20"/>
  </w:num>
  <w:num w:numId="18" w16cid:durableId="1314487879">
    <w:abstractNumId w:val="16"/>
  </w:num>
  <w:num w:numId="19" w16cid:durableId="1221096953">
    <w:abstractNumId w:val="12"/>
  </w:num>
  <w:num w:numId="20" w16cid:durableId="304361336">
    <w:abstractNumId w:val="15"/>
  </w:num>
  <w:num w:numId="21" w16cid:durableId="1547834155">
    <w:abstractNumId w:val="13"/>
  </w:num>
  <w:num w:numId="22" w16cid:durableId="2076120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04"/>
    <w:docVar w:name="PersonGUIDs" w:val="{118C048D-818B-4EE9-99AD-DE1F328BC164},{C87839E7-C05D-47B9-AB7F-246B82B1F61B},{DA08321F-F0BC-4060-A586-E39C9BA97177},{756F1CB3-4A6F-49DB-ACE4-BF700CEB9665},{44E1179A-EAF6-4300-B094-8294DC01CCC9}"/>
  </w:docVars>
  <w:rsids>
    <w:rsidRoot w:val="00433659"/>
    <w:rsid w:val="00433659"/>
    <w:rsid w:val="006340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12C737-0533-4049-8C20-AAA75029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pmellanrubrik">
    <w:name w:val="mp mellanrubrik"/>
    <w:basedOn w:val="Normal"/>
    <w:pPr>
      <w:spacing w:after="200" w:line="250" w:lineRule="exact"/>
    </w:pPr>
    <w:rPr>
      <w:rFonts w:ascii="DIN-Regular" w:eastAsia="Times" w:hAnsi="DIN-Regular"/>
      <w:caps/>
      <w:spacing w:val="6"/>
      <w:sz w:val="23"/>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after="200" w:line="276" w:lineRule="auto"/>
    </w:pPr>
    <w:rPr>
      <w:rFonts w:ascii="Calibri" w:hAnsi="Calibri"/>
      <w:sz w:val="20"/>
      <w:lang w:eastAsia="en-U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8796</Characters>
  <Application>Microsoft Office Word</Application>
  <DocSecurity>4</DocSecurity>
  <Lines>165</Lines>
  <Paragraphs>52</Paragraphs>
  <ScaleCrop>false</ScaleCrop>
  <HeadingPairs>
    <vt:vector size="2" baseType="variant">
      <vt:variant>
        <vt:lpstr>Rubrik</vt:lpstr>
      </vt:variant>
      <vt:variant>
        <vt:i4>1</vt:i4>
      </vt:variant>
    </vt:vector>
  </HeadingPairs>
  <TitlesOfParts>
    <vt:vector size="1" baseType="lpstr">
      <vt:lpstr>mp036</vt:lpstr>
    </vt:vector>
  </TitlesOfParts>
  <Company>Riksdagen</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mp036</dc:title>
  <dc:subject>mp036</dc:subject>
  <dc:creator>Riksdagen</dc:creator>
  <cp:keywords>Riksdagen</cp:keywords>
  <dc:description>msmq kontroll, ensamt yrkande mm (b: S5 fix för yrk o listkorr)</dc:description>
  <cp:lastModifiedBy>Lars Brink</cp:lastModifiedBy>
  <cp:revision>2</cp:revision>
  <cp:lastPrinted>2010-05-07T13:07:00Z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mot2000_515_2010-05-04</vt:lpwstr>
  </property>
  <property fmtid="{D5CDD505-2E9C-101B-9397-08002B2CF9AE}" pid="3" name="version">
    <vt:lpwstr>mot2000_515_2010-05-04</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2009/10:215 Mark- och miljödomstolar</vt:lpwstr>
  </property>
  <property fmtid="{D5CDD505-2E9C-101B-9397-08002B2CF9AE}" pid="11" name="SvarFrasKort">
    <vt:lpwstr>med anledning av prop. 2009/10:215</vt:lpwstr>
  </property>
  <property fmtid="{D5CDD505-2E9C-101B-9397-08002B2CF9AE}" pid="12" name="Svar">
    <vt:lpwstr>Proposition</vt:lpwstr>
  </property>
  <property fmtid="{D5CDD505-2E9C-101B-9397-08002B2CF9AE}" pid="13" name="SvarNr">
    <vt:lpwstr>2009/10:215</vt:lpwstr>
  </property>
  <property fmtid="{D5CDD505-2E9C-101B-9397-08002B2CF9AE}" pid="14" name="RubrikSvar">
    <vt:lpwstr>Mark- och miljödomstolar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Mehmet Kaplan m.fl. (mp)</vt:lpwstr>
  </property>
  <property fmtid="{D5CDD505-2E9C-101B-9397-08002B2CF9AE}" pid="26" name="MotionarLista">
    <vt:lpwstr>Kaplan, Mehmet (mp)\Lindholm, Jan (mp)\Holm, Ulf (mp)\Johansson, Mikael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Jan Lindholm (mp), Ulf Holm (mp), Mikael Johansson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Ju15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maj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20092010000001090112000000360075</vt:lpwstr>
  </property>
  <property fmtid="{D5CDD505-2E9C-101B-9397-08002B2CF9AE}" pid="47" name="datum">
    <vt:lpwstr>100505</vt:lpwstr>
  </property>
  <property fmtid="{D5CDD505-2E9C-101B-9397-08002B2CF9AE}" pid="48" name="avsändar-e-post">
    <vt:lpwstr>magnus.lindgren@riksdagen.se</vt:lpwstr>
  </property>
  <property fmtid="{D5CDD505-2E9C-101B-9397-08002B2CF9AE}" pid="49" name="id">
    <vt:lpwstr>20092010000001090112000000360075</vt:lpwstr>
  </property>
  <property fmtid="{D5CDD505-2E9C-101B-9397-08002B2CF9AE}" pid="50" name="nummer">
    <vt:lpwstr>15</vt:lpwstr>
  </property>
  <property fmtid="{D5CDD505-2E9C-101B-9397-08002B2CF9AE}" pid="51" name="utskottsbeteckning">
    <vt:lpwstr>Ju</vt:lpwstr>
  </property>
  <property fmtid="{D5CDD505-2E9C-101B-9397-08002B2CF9AE}" pid="52" name="GlobalUID">
    <vt:lpwstr>{3A0F565B-7DE6-4245-998F-24A6526CF048}</vt:lpwstr>
  </property>
  <property fmtid="{D5CDD505-2E9C-101B-9397-08002B2CF9AE}" pid="53" name="Överföringar">
    <vt:i4>0</vt:i4>
  </property>
  <property fmtid="{D5CDD505-2E9C-101B-9397-08002B2CF9AE}" pid="54" name="Checksum">
    <vt:lpwstr>*0005163754692*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10:45:29.134</vt:lpwstr>
  </property>
  <property fmtid="{D5CDD505-2E9C-101B-9397-08002B2CF9AE}" pid="58" name="urixGuid">
    <vt:lpwstr>{3C1767A8-AC4B-444E-92DE-D24E83EDABC7}</vt:lpwstr>
  </property>
</Properties>
</file>