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28235E">
              <w:rPr>
                <w:b/>
              </w:rPr>
              <w:t>39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28235E">
              <w:t>02-24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28235E">
              <w:t>09.00</w:t>
            </w:r>
            <w:r w:rsidR="0002748E">
              <w:t>-</w:t>
            </w:r>
            <w:r w:rsidR="00082CBB">
              <w:t>09.58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B3944" w:rsidTr="008035C8">
        <w:tc>
          <w:tcPr>
            <w:tcW w:w="567" w:type="dxa"/>
          </w:tcPr>
          <w:p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5259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28235E" w:rsidRDefault="0028235E" w:rsidP="005E70F9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Digitaliseringen av valutor och betalsystem - framtida möjligheter och utmaningar</w:t>
            </w:r>
          </w:p>
          <w:p w:rsidR="0028235E" w:rsidRPr="0028235E" w:rsidRDefault="0028235E" w:rsidP="0028235E">
            <w:pPr>
              <w:outlineLvl w:val="0"/>
            </w:pPr>
            <w:r w:rsidRPr="0028235E">
              <w:t xml:space="preserve">Professor Robin </w:t>
            </w:r>
            <w:proofErr w:type="spellStart"/>
            <w:r w:rsidRPr="0028235E">
              <w:t>Teigland</w:t>
            </w:r>
            <w:proofErr w:type="spellEnd"/>
            <w:r w:rsidRPr="0028235E">
              <w:t>, Chalmers Tekniska högskola</w:t>
            </w:r>
            <w:r w:rsidR="001A7D6C">
              <w:t>,</w:t>
            </w:r>
            <w:r>
              <w:t xml:space="preserve"> informerade under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Riksdagens forskningsförmiddag och svarade på ledamöternas frågor.</w:t>
            </w:r>
          </w:p>
          <w:p w:rsidR="0028235E" w:rsidRDefault="0028235E" w:rsidP="005E70F9">
            <w:pPr>
              <w:outlineLvl w:val="0"/>
              <w:rPr>
                <w:b/>
              </w:rPr>
            </w:pPr>
          </w:p>
        </w:tc>
      </w:tr>
      <w:tr w:rsidR="0028235E" w:rsidTr="008035C8">
        <w:tc>
          <w:tcPr>
            <w:tcW w:w="567" w:type="dxa"/>
          </w:tcPr>
          <w:p w:rsidR="0028235E" w:rsidRDefault="0028235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:rsidR="0028235E" w:rsidRDefault="0028235E" w:rsidP="0028235E">
            <w:pPr>
              <w:outlineLvl w:val="0"/>
              <w:rPr>
                <w:b/>
              </w:rPr>
            </w:pPr>
            <w:r>
              <w:rPr>
                <w:b/>
              </w:rPr>
              <w:t xml:space="preserve">Anmälningar </w:t>
            </w:r>
          </w:p>
          <w:p w:rsidR="0028235E" w:rsidRPr="00330588" w:rsidRDefault="00330588" w:rsidP="005E70F9">
            <w:pPr>
              <w:outlineLvl w:val="0"/>
            </w:pPr>
            <w:r>
              <w:t>Utskottet beslutade ställa in sammanträdet</w:t>
            </w:r>
            <w:r w:rsidRPr="00330588">
              <w:t xml:space="preserve"> den 1 mars</w:t>
            </w:r>
            <w:r>
              <w:t>.</w:t>
            </w:r>
          </w:p>
          <w:p w:rsidR="0028235E" w:rsidRDefault="0028235E" w:rsidP="005E70F9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02748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8235E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02748E" w:rsidRDefault="005E70F9" w:rsidP="005E70F9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Justering av protokoll </w:t>
            </w:r>
          </w:p>
          <w:p w:rsidR="005E70F9" w:rsidRDefault="0028235E" w:rsidP="005E70F9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Utskottet justerade protokoll 2021/22:38.</w:t>
            </w:r>
          </w:p>
          <w:p w:rsidR="0028235E" w:rsidRPr="0002748E" w:rsidRDefault="0028235E" w:rsidP="005E70F9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8235E" w:rsidTr="008035C8">
        <w:tc>
          <w:tcPr>
            <w:tcW w:w="567" w:type="dxa"/>
          </w:tcPr>
          <w:p w:rsidR="0028235E" w:rsidRDefault="0028235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28235E" w:rsidRDefault="0028235E" w:rsidP="005E70F9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Subsidiaritetsprövning av kommissionens förslag till ändrat beslut om systemet för Europeiska unionens egna medel (FiU31)</w:t>
            </w:r>
          </w:p>
          <w:p w:rsidR="0028235E" w:rsidRDefault="0028235E" w:rsidP="00282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8235E">
              <w:rPr>
                <w:bCs/>
                <w:color w:val="000000"/>
                <w:sz w:val="22"/>
                <w:szCs w:val="22"/>
              </w:rPr>
              <w:t xml:space="preserve">Utskottet fortsatte beredningen av subsidiaritetsprövningen </w:t>
            </w:r>
            <w:r>
              <w:rPr>
                <w:bCs/>
                <w:color w:val="000000"/>
                <w:sz w:val="22"/>
                <w:szCs w:val="22"/>
              </w:rPr>
              <w:t xml:space="preserve">av </w:t>
            </w:r>
            <w:proofErr w:type="gramStart"/>
            <w:r>
              <w:rPr>
                <w:rFonts w:eastAsiaTheme="minorHAnsi"/>
                <w:color w:val="000000"/>
                <w:szCs w:val="24"/>
                <w:lang w:eastAsia="en-US"/>
              </w:rPr>
              <w:t>COM(</w:t>
            </w:r>
            <w:proofErr w:type="gramEnd"/>
            <w:r>
              <w:rPr>
                <w:rFonts w:eastAsiaTheme="minorHAnsi"/>
                <w:color w:val="000000"/>
                <w:szCs w:val="24"/>
                <w:lang w:eastAsia="en-US"/>
              </w:rPr>
              <w:t>2021) 570.</w:t>
            </w:r>
          </w:p>
          <w:p w:rsidR="0028235E" w:rsidRDefault="0028235E" w:rsidP="00282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28235E" w:rsidRPr="0028235E" w:rsidRDefault="0028235E" w:rsidP="005E70F9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Utskottet justerade betänkande 2021/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22:FiU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31.</w:t>
            </w:r>
          </w:p>
          <w:p w:rsidR="0028235E" w:rsidRDefault="0028235E" w:rsidP="005E70F9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235E" w:rsidTr="008035C8">
        <w:tc>
          <w:tcPr>
            <w:tcW w:w="567" w:type="dxa"/>
          </w:tcPr>
          <w:p w:rsidR="0028235E" w:rsidRDefault="0028235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28235E" w:rsidRDefault="0028235E" w:rsidP="005E70F9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Gränsöverskridande distribution av fonder (FiU18)</w:t>
            </w:r>
          </w:p>
          <w:p w:rsidR="0028235E" w:rsidRDefault="0028235E" w:rsidP="00282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8235E">
              <w:rPr>
                <w:bCs/>
                <w:color w:val="000000"/>
                <w:sz w:val="22"/>
                <w:szCs w:val="22"/>
              </w:rPr>
              <w:t xml:space="preserve">Utskottet fortsatte beredningen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p</w:t>
            </w:r>
            <w:r w:rsidRPr="0028235E">
              <w:rPr>
                <w:rFonts w:eastAsiaTheme="minorHAnsi"/>
                <w:color w:val="000000"/>
                <w:szCs w:val="24"/>
                <w:lang w:eastAsia="en-US"/>
              </w:rPr>
              <w:t>rop. 2021/22:102</w:t>
            </w:r>
            <w:r w:rsidR="00AD27E9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28235E" w:rsidRPr="0028235E" w:rsidRDefault="0028235E" w:rsidP="00282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28235E" w:rsidRPr="0028235E" w:rsidRDefault="0028235E" w:rsidP="005E70F9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r w:rsidRPr="0028235E"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:rsidR="0028235E" w:rsidRDefault="0028235E" w:rsidP="005E70F9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235E" w:rsidTr="008035C8">
        <w:tc>
          <w:tcPr>
            <w:tcW w:w="567" w:type="dxa"/>
          </w:tcPr>
          <w:p w:rsidR="0028235E" w:rsidRDefault="0028235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655" w:type="dxa"/>
          </w:tcPr>
          <w:p w:rsidR="0028235E" w:rsidRDefault="0028235E" w:rsidP="002823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Nya kapitaltäckningsregler för mycket stora värdepappersbolag (FiU19)</w:t>
            </w:r>
          </w:p>
          <w:p w:rsidR="0028235E" w:rsidRDefault="0028235E" w:rsidP="00282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8235E">
              <w:rPr>
                <w:bCs/>
                <w:color w:val="000000"/>
                <w:sz w:val="22"/>
                <w:szCs w:val="22"/>
              </w:rPr>
              <w:t xml:space="preserve">Utskottet fortsatte beredningen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p</w:t>
            </w:r>
            <w:r w:rsidRPr="0028235E">
              <w:rPr>
                <w:rFonts w:eastAsiaTheme="minorHAnsi"/>
                <w:color w:val="000000"/>
                <w:szCs w:val="24"/>
                <w:lang w:eastAsia="en-US"/>
              </w:rPr>
              <w:t>rop. 2021/22: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88.</w:t>
            </w:r>
          </w:p>
          <w:p w:rsidR="0028235E" w:rsidRPr="0028235E" w:rsidRDefault="0028235E" w:rsidP="00282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28235E" w:rsidRPr="0028235E" w:rsidRDefault="0028235E" w:rsidP="0028235E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r w:rsidRPr="0028235E"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:rsidR="0028235E" w:rsidRDefault="0028235E" w:rsidP="005E70F9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235E" w:rsidTr="008035C8">
        <w:tc>
          <w:tcPr>
            <w:tcW w:w="567" w:type="dxa"/>
          </w:tcPr>
          <w:p w:rsidR="0028235E" w:rsidRDefault="0028235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655" w:type="dxa"/>
          </w:tcPr>
          <w:p w:rsidR="0028235E" w:rsidRDefault="0028235E" w:rsidP="005E70F9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Ändrade regler för att möjliggöra utlämning av uppgifter för inkomststudier (FiU17)</w:t>
            </w:r>
          </w:p>
          <w:p w:rsidR="0028235E" w:rsidRDefault="0028235E" w:rsidP="00282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8235E">
              <w:rPr>
                <w:bCs/>
                <w:color w:val="000000"/>
                <w:sz w:val="22"/>
                <w:szCs w:val="22"/>
              </w:rPr>
              <w:t xml:space="preserve">Utskottet fortsatte beredningen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p</w:t>
            </w:r>
            <w:r w:rsidRPr="0028235E">
              <w:rPr>
                <w:rFonts w:eastAsiaTheme="minorHAnsi"/>
                <w:color w:val="000000"/>
                <w:szCs w:val="24"/>
                <w:lang w:eastAsia="en-US"/>
              </w:rPr>
              <w:t>rop. 2021/22: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92 och motion 2021/22:4402 (SD).</w:t>
            </w:r>
          </w:p>
          <w:p w:rsidR="0028235E" w:rsidRPr="0028235E" w:rsidRDefault="0028235E" w:rsidP="00282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28235E" w:rsidRPr="0028235E" w:rsidRDefault="0028235E" w:rsidP="0028235E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r w:rsidRPr="0028235E"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:rsidR="0028235E" w:rsidRDefault="0028235E" w:rsidP="005E70F9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235E" w:rsidTr="008035C8">
        <w:tc>
          <w:tcPr>
            <w:tcW w:w="567" w:type="dxa"/>
          </w:tcPr>
          <w:p w:rsidR="0028235E" w:rsidRDefault="0028235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655" w:type="dxa"/>
          </w:tcPr>
          <w:p w:rsidR="0028235E" w:rsidRDefault="0028235E" w:rsidP="005E70F9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Statlig förvaltning (FiU25)</w:t>
            </w:r>
          </w:p>
          <w:p w:rsidR="0028235E" w:rsidRPr="0028235E" w:rsidRDefault="0028235E" w:rsidP="005E70F9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r w:rsidRPr="0028235E">
              <w:rPr>
                <w:bCs/>
                <w:color w:val="000000"/>
                <w:sz w:val="22"/>
                <w:szCs w:val="22"/>
              </w:rPr>
              <w:t>Utskottet inledde beredningen av motioner.</w:t>
            </w:r>
          </w:p>
          <w:p w:rsidR="0028235E" w:rsidRPr="0028235E" w:rsidRDefault="0028235E" w:rsidP="005E70F9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  <w:p w:rsidR="0028235E" w:rsidRPr="0028235E" w:rsidRDefault="0028235E" w:rsidP="005E70F9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r w:rsidRPr="0028235E"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:rsidR="0028235E" w:rsidRDefault="0028235E" w:rsidP="005E70F9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235E" w:rsidTr="008035C8">
        <w:tc>
          <w:tcPr>
            <w:tcW w:w="567" w:type="dxa"/>
          </w:tcPr>
          <w:p w:rsidR="0028235E" w:rsidRDefault="0028235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655" w:type="dxa"/>
          </w:tcPr>
          <w:p w:rsidR="0028235E" w:rsidRDefault="0028235E" w:rsidP="005E70F9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Kommunala frågor (FiU26)</w:t>
            </w:r>
          </w:p>
          <w:p w:rsidR="0028235E" w:rsidRPr="0028235E" w:rsidRDefault="0028235E" w:rsidP="0028235E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r w:rsidRPr="0028235E">
              <w:rPr>
                <w:bCs/>
                <w:color w:val="000000"/>
                <w:sz w:val="22"/>
                <w:szCs w:val="22"/>
              </w:rPr>
              <w:t>Utskottet inledde beredningen av motioner.</w:t>
            </w:r>
          </w:p>
          <w:p w:rsidR="0028235E" w:rsidRPr="0028235E" w:rsidRDefault="0028235E" w:rsidP="0028235E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  <w:p w:rsidR="0028235E" w:rsidRPr="0028235E" w:rsidRDefault="0028235E" w:rsidP="0028235E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r w:rsidRPr="0028235E"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:rsidR="0028235E" w:rsidRDefault="0028235E" w:rsidP="005E70F9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28235E" w:rsidRDefault="0028235E" w:rsidP="005E70F9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235E" w:rsidTr="008035C8">
        <w:tc>
          <w:tcPr>
            <w:tcW w:w="567" w:type="dxa"/>
          </w:tcPr>
          <w:p w:rsidR="0028235E" w:rsidRDefault="0028235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10</w:t>
            </w:r>
          </w:p>
        </w:tc>
        <w:tc>
          <w:tcPr>
            <w:tcW w:w="7655" w:type="dxa"/>
          </w:tcPr>
          <w:p w:rsidR="0028235E" w:rsidRDefault="0028235E" w:rsidP="005E70F9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om ändring i direktiven om förvaltare av alternativa investeringsfonder</w:t>
            </w:r>
          </w:p>
          <w:p w:rsidR="0028235E" w:rsidRDefault="0028235E" w:rsidP="00282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inledde subsidiaritetsprövning</w:t>
            </w:r>
            <w:bookmarkStart w:id="0" w:name="_Hlk96431878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av </w:t>
            </w:r>
            <w:proofErr w:type="gramStart"/>
            <w:r>
              <w:rPr>
                <w:rFonts w:eastAsiaTheme="minorHAnsi"/>
                <w:color w:val="000000"/>
                <w:szCs w:val="24"/>
                <w:lang w:eastAsia="en-US"/>
              </w:rPr>
              <w:t>COM(</w:t>
            </w:r>
            <w:proofErr w:type="gramEnd"/>
            <w:r>
              <w:rPr>
                <w:rFonts w:eastAsiaTheme="minorHAnsi"/>
                <w:color w:val="000000"/>
                <w:szCs w:val="24"/>
                <w:lang w:eastAsia="en-US"/>
              </w:rPr>
              <w:t>2021) 721.</w:t>
            </w:r>
          </w:p>
          <w:bookmarkEnd w:id="0"/>
          <w:p w:rsidR="0028235E" w:rsidRDefault="0028235E" w:rsidP="005E70F9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AD27E9" w:rsidRPr="009C3C0C" w:rsidRDefault="00AD27E9" w:rsidP="00AD27E9">
            <w:pPr>
              <w:outlineLvl w:val="0"/>
              <w:rPr>
                <w:bCs/>
              </w:rPr>
            </w:pPr>
            <w:r w:rsidRPr="009C3C0C">
              <w:rPr>
                <w:bCs/>
              </w:rPr>
              <w:t>Utskottet ansåg att förslaget inte strider mot subsidiaritetsprincipen.</w:t>
            </w:r>
          </w:p>
          <w:p w:rsidR="00AD27E9" w:rsidRDefault="00AD27E9" w:rsidP="00AD27E9">
            <w:pPr>
              <w:outlineLvl w:val="0"/>
              <w:rPr>
                <w:b/>
                <w:bCs/>
              </w:rPr>
            </w:pPr>
          </w:p>
          <w:p w:rsidR="00AD27E9" w:rsidRDefault="00AD27E9" w:rsidP="00AD27E9">
            <w:pPr>
              <w:rPr>
                <w:bCs/>
              </w:rPr>
            </w:pPr>
            <w:r w:rsidRPr="00D25DBB">
              <w:rPr>
                <w:bCs/>
              </w:rPr>
              <w:t xml:space="preserve">V-ledamoten anmälde </w:t>
            </w:r>
            <w:r>
              <w:rPr>
                <w:bCs/>
              </w:rPr>
              <w:t xml:space="preserve">följande </w:t>
            </w:r>
            <w:r w:rsidRPr="00D25DBB">
              <w:rPr>
                <w:bCs/>
              </w:rPr>
              <w:t>avvikande mening</w:t>
            </w:r>
            <w:r>
              <w:rPr>
                <w:bCs/>
              </w:rPr>
              <w:t xml:space="preserve"> </w:t>
            </w:r>
          </w:p>
          <w:p w:rsidR="0034242B" w:rsidRDefault="0034242B" w:rsidP="0034242B">
            <w:pPr>
              <w:rPr>
                <w:iCs/>
              </w:rPr>
            </w:pPr>
            <w:r w:rsidRPr="0034242B">
              <w:rPr>
                <w:iCs/>
              </w:rPr>
              <w:t xml:space="preserve">Jag anmälde avvikande mening vid subsidiaritetsprövningen av förslaget till ändring av förordningen om europeiska långsiktiga investeringsfonder, </w:t>
            </w:r>
            <w:proofErr w:type="gramStart"/>
            <w:r w:rsidRPr="0034242B">
              <w:rPr>
                <w:iCs/>
              </w:rPr>
              <w:t>COM(</w:t>
            </w:r>
            <w:proofErr w:type="gramEnd"/>
            <w:r w:rsidRPr="0034242B">
              <w:rPr>
                <w:iCs/>
              </w:rPr>
              <w:t>2021) 722. Jag ansåg att FiU borde ha föreslagit riksdagen att lämna ett motiverat yttrande. Dels anser jag inte att de aktuella fonderna på EU-nivå utgör nödvändiga delar av den finansiella strukturen till att börja med och därmed inte heller initiativ i syfte att öka användningen av dem. Dels är riskerna för konsumenterna, bland annat i och med svårigheterna runt inlösen, inte tillräckligt belysta och hanterade.</w:t>
            </w:r>
          </w:p>
          <w:p w:rsidR="0034242B" w:rsidRPr="0034242B" w:rsidRDefault="0034242B" w:rsidP="0034242B">
            <w:pPr>
              <w:rPr>
                <w:iCs/>
                <w:sz w:val="22"/>
              </w:rPr>
            </w:pPr>
            <w:r w:rsidRPr="0034242B">
              <w:rPr>
                <w:iCs/>
              </w:rPr>
              <w:t xml:space="preserve">Av samma skäl anser jag att utskottet borde ha föreslagit ett motiverat yttrande gällande </w:t>
            </w:r>
            <w:proofErr w:type="gramStart"/>
            <w:r w:rsidRPr="0034242B">
              <w:rPr>
                <w:iCs/>
              </w:rPr>
              <w:t>COM(</w:t>
            </w:r>
            <w:proofErr w:type="gramEnd"/>
            <w:r w:rsidRPr="0034242B">
              <w:rPr>
                <w:iCs/>
              </w:rPr>
              <w:t>2021) 721.</w:t>
            </w:r>
          </w:p>
          <w:p w:rsidR="0034242B" w:rsidRDefault="0034242B" w:rsidP="00AD27E9">
            <w:pPr>
              <w:rPr>
                <w:sz w:val="22"/>
              </w:rPr>
            </w:pPr>
          </w:p>
          <w:p w:rsidR="0028235E" w:rsidRDefault="0028235E" w:rsidP="005E70F9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8235E">
              <w:rPr>
                <w:b/>
                <w:snapToGrid w:val="0"/>
              </w:rPr>
              <w:t>1</w:t>
            </w:r>
            <w:r w:rsidR="00082CBB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28235E" w:rsidRPr="0028235E" w:rsidRDefault="00AD47F5" w:rsidP="0028235E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02748E">
              <w:rPr>
                <w:b/>
                <w:bCs/>
              </w:rPr>
              <w:br/>
            </w:r>
            <w:r w:rsidR="00330588">
              <w:rPr>
                <w:bCs/>
              </w:rPr>
              <w:t>Tor</w:t>
            </w:r>
            <w:r w:rsidR="0028235E" w:rsidRPr="0028235E">
              <w:rPr>
                <w:bCs/>
              </w:rPr>
              <w:t xml:space="preserve">sdag </w:t>
            </w:r>
            <w:r w:rsidR="00330588">
              <w:rPr>
                <w:bCs/>
              </w:rPr>
              <w:t>3</w:t>
            </w:r>
            <w:r w:rsidR="0028235E" w:rsidRPr="0028235E">
              <w:rPr>
                <w:bCs/>
              </w:rPr>
              <w:t xml:space="preserve"> mars kl. </w:t>
            </w:r>
            <w:r w:rsidR="00330588">
              <w:rPr>
                <w:bCs/>
              </w:rPr>
              <w:t>10.00. Öppen utfrågning</w:t>
            </w:r>
          </w:p>
          <w:p w:rsidR="00CD7E8B" w:rsidRPr="00AD47F5" w:rsidRDefault="00CD7E8B" w:rsidP="00D021DB">
            <w:pPr>
              <w:outlineLvl w:val="0"/>
              <w:rPr>
                <w:b/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2748E" w:rsidRDefault="0002748E" w:rsidP="00C15B79">
            <w:pPr>
              <w:outlineLvl w:val="0"/>
              <w:rPr>
                <w:bCs/>
              </w:rPr>
            </w:pPr>
          </w:p>
          <w:p w:rsidR="0028235E" w:rsidRPr="00CD7E8B" w:rsidRDefault="0028235E" w:rsidP="00C15B79">
            <w:pPr>
              <w:outlineLvl w:val="0"/>
              <w:rPr>
                <w:bCs/>
              </w:rPr>
            </w:pPr>
            <w:bookmarkStart w:id="1" w:name="_GoBack"/>
            <w:bookmarkEnd w:id="1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914E3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28235E">
        <w:rPr>
          <w:sz w:val="22"/>
          <w:szCs w:val="22"/>
        </w:rPr>
        <w:t>39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28235E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82CB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2-6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82CB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7-11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3058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82CB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82CB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3058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82CB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82CB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3058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82CB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82CB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3058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82CB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82CB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3058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82CB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82CB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3058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82CB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82CB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3058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82CB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82CB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5259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="0002748E"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3058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82CB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82CB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3058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82CB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82CB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3058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82CB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82CB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3058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82CB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82CB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82CB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82CB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3058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82CB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82CB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3058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82CB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82CB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3058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82CB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82CB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18E1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Janine Alm Ericson</w:t>
            </w:r>
            <w:r w:rsidR="0002748E">
              <w:rPr>
                <w:snapToGrid w:val="0"/>
                <w:sz w:val="22"/>
                <w:szCs w:val="22"/>
              </w:rPr>
              <w:t xml:space="preserve"> </w:t>
            </w:r>
            <w:r w:rsidR="0002748E" w:rsidRPr="000E151F">
              <w:rPr>
                <w:snapToGrid w:val="0"/>
                <w:sz w:val="22"/>
                <w:szCs w:val="22"/>
              </w:rPr>
              <w:t>(MP</w:t>
            </w:r>
            <w:r w:rsidR="0002748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82CB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82CB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56380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</w:t>
            </w:r>
            <w:r w:rsidR="0002748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3058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82CB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82CB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3058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82CB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82CB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3058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82CB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82CB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3058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82CB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82CB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95259">
              <w:rPr>
                <w:snapToGrid w:val="0"/>
                <w:sz w:val="22"/>
                <w:szCs w:val="22"/>
                <w:lang w:val="en-US"/>
              </w:rPr>
              <w:t>Ulla Andersson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3058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82CB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82CB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</w:t>
            </w:r>
            <w:r w:rsidR="004C6601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17AB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33058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082CB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082CB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2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2CBB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A7D6C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35E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30588"/>
    <w:rsid w:val="0034242B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A2E00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152D7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27E9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2FFA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8235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6E85B-F10D-4323-9236-C1856D1BC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571</Words>
  <Characters>3971</Characters>
  <Application>Microsoft Office Word</Application>
  <DocSecurity>0</DocSecurity>
  <Lines>992</Lines>
  <Paragraphs>252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10</cp:revision>
  <cp:lastPrinted>2018-10-02T11:13:00Z</cp:lastPrinted>
  <dcterms:created xsi:type="dcterms:W3CDTF">2022-02-22T15:29:00Z</dcterms:created>
  <dcterms:modified xsi:type="dcterms:W3CDTF">2022-03-03T12:29:00Z</dcterms:modified>
</cp:coreProperties>
</file>