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4069F0" w:rsidRPr="00F517E2">
        <w:tblPrEx>
          <w:tblCellMar>
            <w:top w:w="0" w:type="dxa"/>
            <w:bottom w:w="0" w:type="dxa"/>
          </w:tblCellMar>
        </w:tblPrEx>
        <w:trPr>
          <w:cantSplit/>
          <w:trHeight w:val="1720"/>
        </w:trPr>
        <w:tc>
          <w:tcPr>
            <w:tcW w:w="6024" w:type="dxa"/>
            <w:gridSpan w:val="2"/>
          </w:tcPr>
          <w:p w:rsidR="004069F0" w:rsidRPr="00F517E2" w:rsidRDefault="00DC2BF1">
            <w:pPr>
              <w:pStyle w:val="HuvudRubrik"/>
            </w:pPr>
            <w:r w:rsidRPr="00F517E2">
              <w:t>Framställning till riksdagen</w:t>
            </w:r>
          </w:p>
          <w:bookmarkStart w:id="0" w:name="BetänkandeNr"/>
          <w:bookmarkEnd w:id="0"/>
          <w:p w:rsidR="004069F0" w:rsidRPr="00F517E2" w:rsidRDefault="004069F0">
            <w:pPr>
              <w:pStyle w:val="HuvudRubrikRad2"/>
            </w:pPr>
            <w:r w:rsidRPr="00F517E2">
              <w:fldChar w:fldCharType="begin" w:fldLock="1"/>
            </w:r>
            <w:r w:rsidRPr="00F517E2">
              <w:instrText xml:space="preserve"> DOCPROPERTY BetänkandeÅr</w:instrText>
            </w:r>
            <w:r w:rsidRPr="00F517E2">
              <w:fldChar w:fldCharType="separate"/>
            </w:r>
            <w:r w:rsidR="00153871" w:rsidRPr="00F517E2">
              <w:t>2010/11</w:t>
            </w:r>
            <w:r w:rsidRPr="00F517E2">
              <w:fldChar w:fldCharType="end"/>
            </w:r>
            <w:r w:rsidRPr="00F517E2">
              <w:t>:</w:t>
            </w:r>
            <w:r w:rsidRPr="00F517E2">
              <w:fldChar w:fldCharType="begin" w:fldLock="1"/>
            </w:r>
            <w:r w:rsidRPr="00F517E2">
              <w:instrText xml:space="preserve"> DOCPROPERTY Utskott</w:instrText>
            </w:r>
            <w:r w:rsidRPr="00F517E2">
              <w:fldChar w:fldCharType="separate"/>
            </w:r>
            <w:r w:rsidR="00153871" w:rsidRPr="00F517E2">
              <w:t>RS</w:t>
            </w:r>
            <w:r w:rsidRPr="00F517E2">
              <w:fldChar w:fldCharType="end"/>
            </w:r>
            <w:r w:rsidRPr="00F517E2">
              <w:fldChar w:fldCharType="begin" w:fldLock="1"/>
            </w:r>
            <w:r w:rsidRPr="00F517E2">
              <w:instrText xml:space="preserve"> DOCPROPERTY BetänkandeNr</w:instrText>
            </w:r>
            <w:r w:rsidRPr="00F517E2">
              <w:fldChar w:fldCharType="separate"/>
            </w:r>
            <w:r w:rsidR="00153871" w:rsidRPr="00F517E2">
              <w:t>1</w:t>
            </w:r>
            <w:r w:rsidRPr="00F517E2">
              <w:fldChar w:fldCharType="end"/>
            </w:r>
          </w:p>
        </w:tc>
        <w:bookmarkStart w:id="1" w:name="_MON_1016526495"/>
        <w:bookmarkStart w:id="2" w:name="_MON_1016526516"/>
        <w:bookmarkStart w:id="3" w:name="_MON_1016527141"/>
        <w:bookmarkStart w:id="4" w:name="_MON_1016527716"/>
        <w:bookmarkStart w:id="5" w:name="_MON_1016527915"/>
        <w:bookmarkStart w:id="6" w:name="_MON_1348999197"/>
        <w:bookmarkStart w:id="7" w:name="_MON_1351496596"/>
        <w:bookmarkEnd w:id="1"/>
        <w:bookmarkEnd w:id="2"/>
        <w:bookmarkEnd w:id="3"/>
        <w:bookmarkEnd w:id="4"/>
        <w:bookmarkEnd w:id="5"/>
        <w:bookmarkEnd w:id="6"/>
        <w:bookmarkEnd w:id="7"/>
        <w:tc>
          <w:tcPr>
            <w:tcW w:w="1418" w:type="dxa"/>
            <w:tcBorders>
              <w:bottom w:val="nil"/>
            </w:tcBorders>
          </w:tcPr>
          <w:p w:rsidR="004069F0" w:rsidRPr="00F517E2" w:rsidRDefault="004069F0">
            <w:pPr>
              <w:spacing w:line="230" w:lineRule="auto"/>
              <w:jc w:val="center"/>
            </w:pPr>
            <w:r w:rsidRPr="00F517E2">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520928" r:id="rId8"/>
              </w:object>
            </w:r>
          </w:p>
          <w:p w:rsidR="004069F0" w:rsidRPr="00F517E2" w:rsidRDefault="004069F0">
            <w:pPr>
              <w:pStyle w:val="Normaltindrag"/>
              <w:jc w:val="center"/>
            </w:pPr>
          </w:p>
          <w:p w:rsidR="004069F0" w:rsidRPr="00F517E2" w:rsidRDefault="004069F0">
            <w:pPr>
              <w:pStyle w:val="StatusSida1"/>
            </w:pPr>
            <w:r w:rsidRPr="00F517E2">
              <w:fldChar w:fldCharType="begin" w:fldLock="1"/>
            </w:r>
            <w:r w:rsidRPr="00F517E2">
              <w:instrText xml:space="preserve"> DOCPR</w:instrText>
            </w:r>
            <w:r w:rsidRPr="00F517E2">
              <w:instrText>O</w:instrText>
            </w:r>
            <w:r w:rsidRPr="00F517E2">
              <w:instrText>PERTY "Status"</w:instrText>
            </w:r>
            <w:r w:rsidRPr="00F517E2">
              <w:fldChar w:fldCharType="end"/>
            </w:r>
          </w:p>
          <w:p w:rsidR="004069F0" w:rsidRPr="00F517E2" w:rsidRDefault="004069F0">
            <w:pPr>
              <w:pStyle w:val="UtskriftsdatumSida1"/>
              <w:framePr w:wrap="around"/>
            </w:pPr>
            <w:r w:rsidRPr="00F517E2">
              <w:fldChar w:fldCharType="begin" w:fldLock="1"/>
            </w:r>
            <w:r w:rsidRPr="00F517E2">
              <w:instrText xml:space="preserve"> if </w:instrText>
            </w:r>
            <w:r w:rsidRPr="00F517E2">
              <w:fldChar w:fldCharType="begin" w:fldLock="1"/>
            </w:r>
            <w:r w:rsidRPr="00F517E2">
              <w:instrText xml:space="preserve"> DOCPROPE</w:instrText>
            </w:r>
            <w:r w:rsidRPr="00F517E2">
              <w:instrText>R</w:instrText>
            </w:r>
            <w:r w:rsidRPr="00F517E2">
              <w:instrText>TY "UtkastD</w:instrText>
            </w:r>
            <w:r w:rsidRPr="00F517E2">
              <w:instrText>a</w:instrText>
            </w:r>
            <w:r w:rsidRPr="00F517E2">
              <w:instrText>tum"</w:instrText>
            </w:r>
            <w:r w:rsidRPr="00F517E2">
              <w:fldChar w:fldCharType="separate"/>
            </w:r>
            <w:r w:rsidR="00153871" w:rsidRPr="00F517E2">
              <w:instrText>Nej</w:instrText>
            </w:r>
            <w:r w:rsidRPr="00F517E2">
              <w:fldChar w:fldCharType="end"/>
            </w:r>
            <w:r w:rsidRPr="00F517E2">
              <w:instrText xml:space="preserve"> = "Ja" "</w:instrText>
            </w:r>
            <w:r w:rsidRPr="00F517E2">
              <w:fldChar w:fldCharType="begin" w:fldLock="1"/>
            </w:r>
            <w:r w:rsidRPr="00F517E2">
              <w:instrText xml:space="preserve"> PRINTDATE \@ "yyyy-MM-dd HH.mm" </w:instrText>
            </w:r>
            <w:r w:rsidRPr="00F517E2">
              <w:fldChar w:fldCharType="separate"/>
            </w:r>
            <w:r w:rsidRPr="00F517E2">
              <w:instrText>2000-08-11 16.42</w:instrText>
            </w:r>
            <w:r w:rsidRPr="00F517E2">
              <w:fldChar w:fldCharType="end"/>
            </w:r>
            <w:r w:rsidRPr="00F517E2">
              <w:instrText xml:space="preserve">" </w:instrText>
            </w:r>
            <w:r w:rsidRPr="00F517E2">
              <w:fldChar w:fldCharType="end"/>
            </w:r>
          </w:p>
        </w:tc>
      </w:tr>
      <w:tr w:rsidR="004069F0" w:rsidRPr="00F517E2">
        <w:tblPrEx>
          <w:tblCellMar>
            <w:top w:w="0" w:type="dxa"/>
            <w:bottom w:w="0" w:type="dxa"/>
          </w:tblCellMar>
        </w:tblPrEx>
        <w:trPr>
          <w:cantSplit/>
        </w:trPr>
        <w:tc>
          <w:tcPr>
            <w:tcW w:w="6024" w:type="dxa"/>
            <w:gridSpan w:val="2"/>
            <w:tcBorders>
              <w:bottom w:val="single" w:sz="4" w:space="0" w:color="auto"/>
            </w:tcBorders>
          </w:tcPr>
          <w:p w:rsidR="004069F0" w:rsidRPr="00F517E2" w:rsidRDefault="00E446FF">
            <w:pPr>
              <w:pStyle w:val="DokumentRubrik"/>
              <w:rPr>
                <w:noProof w:val="0"/>
              </w:rPr>
            </w:pPr>
            <w:bookmarkStart w:id="8" w:name="Huvudrubrik"/>
            <w:bookmarkEnd w:id="8"/>
            <w:r w:rsidRPr="00F517E2">
              <w:rPr>
                <w:noProof w:val="0"/>
              </w:rPr>
              <w:t xml:space="preserve">Jämkning av </w:t>
            </w:r>
            <w:r w:rsidR="00DC2BF1" w:rsidRPr="00F517E2">
              <w:rPr>
                <w:noProof w:val="0"/>
              </w:rPr>
              <w:t>inkomstgaranti</w:t>
            </w:r>
          </w:p>
        </w:tc>
        <w:tc>
          <w:tcPr>
            <w:tcW w:w="1418" w:type="dxa"/>
            <w:tcBorders>
              <w:bottom w:val="nil"/>
            </w:tcBorders>
          </w:tcPr>
          <w:p w:rsidR="004069F0" w:rsidRPr="00F517E2" w:rsidRDefault="004069F0"/>
        </w:tc>
      </w:tr>
      <w:tr w:rsidR="004069F0" w:rsidRPr="00F517E2">
        <w:tblPrEx>
          <w:tblCellMar>
            <w:top w:w="0" w:type="dxa"/>
            <w:bottom w:w="0" w:type="dxa"/>
          </w:tblCellMar>
        </w:tblPrEx>
        <w:trPr>
          <w:cantSplit/>
          <w:trHeight w:hRule="exact" w:val="360"/>
        </w:trPr>
        <w:tc>
          <w:tcPr>
            <w:tcW w:w="3012" w:type="dxa"/>
          </w:tcPr>
          <w:p w:rsidR="004069F0" w:rsidRPr="00F517E2" w:rsidRDefault="004069F0"/>
        </w:tc>
        <w:tc>
          <w:tcPr>
            <w:tcW w:w="3012" w:type="dxa"/>
          </w:tcPr>
          <w:p w:rsidR="004069F0" w:rsidRPr="00F517E2" w:rsidRDefault="004069F0"/>
        </w:tc>
        <w:tc>
          <w:tcPr>
            <w:tcW w:w="1418" w:type="dxa"/>
          </w:tcPr>
          <w:p w:rsidR="004069F0" w:rsidRPr="00F517E2" w:rsidRDefault="004069F0"/>
        </w:tc>
      </w:tr>
    </w:tbl>
    <w:p w:rsidR="004069F0" w:rsidRPr="00F517E2" w:rsidRDefault="004069F0"/>
    <w:p w:rsidR="0021643B" w:rsidRPr="00F517E2" w:rsidRDefault="00DC2BF1" w:rsidP="003F1C5C">
      <w:pPr>
        <w:pStyle w:val="Rubrik1"/>
        <w:numPr>
          <w:ilvl w:val="0"/>
          <w:numId w:val="0"/>
        </w:numPr>
        <w:rPr>
          <w:noProof w:val="0"/>
        </w:rPr>
      </w:pPr>
      <w:bookmarkStart w:id="9" w:name="_Toc277831103"/>
      <w:r w:rsidRPr="00F517E2">
        <w:rPr>
          <w:noProof w:val="0"/>
        </w:rPr>
        <w:t>Sammanfattning</w:t>
      </w:r>
      <w:bookmarkStart w:id="10" w:name="TextStart"/>
      <w:bookmarkEnd w:id="9"/>
      <w:bookmarkEnd w:id="10"/>
    </w:p>
    <w:p w:rsidR="0021643B" w:rsidRPr="00F517E2" w:rsidRDefault="0021643B" w:rsidP="00CA0175">
      <w:r w:rsidRPr="00F517E2">
        <w:t xml:space="preserve">I </w:t>
      </w:r>
      <w:r w:rsidR="004411DE" w:rsidRPr="00F517E2">
        <w:t>framställningen</w:t>
      </w:r>
      <w:r w:rsidRPr="00F517E2">
        <w:t xml:space="preserve"> </w:t>
      </w:r>
      <w:r w:rsidR="00D768FD" w:rsidRPr="00F517E2">
        <w:t xml:space="preserve">lämnas förslag till vissa ändringar </w:t>
      </w:r>
      <w:r w:rsidRPr="00F517E2">
        <w:t>av reglerna om jäm</w:t>
      </w:r>
      <w:r w:rsidRPr="00F517E2">
        <w:t>k</w:t>
      </w:r>
      <w:r w:rsidRPr="00F517E2">
        <w:t>ning av inkomstgaranti för riksdagens ledamöter. De nuvarande reglerna om jäm</w:t>
      </w:r>
      <w:r w:rsidRPr="00F517E2">
        <w:t>k</w:t>
      </w:r>
      <w:r w:rsidRPr="00F517E2">
        <w:t>ning av inkomstgaranti tar sikte på fall då garantitagaren förvärvsarbetar i väsentlig o</w:t>
      </w:r>
      <w:r w:rsidRPr="00F517E2">
        <w:t>m</w:t>
      </w:r>
      <w:r w:rsidRPr="00F517E2">
        <w:t>fattning åt någon annan utan att ta ut skälig ersättning för det. Eftersom garantitagaren inte tar ut ersättning eller tar ut e</w:t>
      </w:r>
      <w:r w:rsidRPr="00F517E2">
        <w:t>r</w:t>
      </w:r>
      <w:r w:rsidRPr="00F517E2">
        <w:t>sättning med ett lågt belopp medför det att hans eller hennes pensionsgrundande inkomst blir mindre än vad den annars skulle ha varit. Det leder i sin tur till att inkomstg</w:t>
      </w:r>
      <w:r w:rsidRPr="00F517E2">
        <w:t>a</w:t>
      </w:r>
      <w:r w:rsidRPr="00F517E2">
        <w:t>rantin blir högre eftersom den påverkas av vilka andra inkomster garantitag</w:t>
      </w:r>
      <w:r w:rsidRPr="00F517E2">
        <w:t>a</w:t>
      </w:r>
      <w:r w:rsidRPr="00F517E2">
        <w:t xml:space="preserve">ren har. </w:t>
      </w:r>
    </w:p>
    <w:p w:rsidR="0021643B" w:rsidRPr="00F517E2" w:rsidRDefault="0021643B" w:rsidP="0021643B">
      <w:pPr>
        <w:pStyle w:val="Normaltindrag"/>
      </w:pPr>
      <w:r w:rsidRPr="00F517E2">
        <w:t>Bestämmelserna om jämkning blir alltså tillämpliga när garantitagaren a</w:t>
      </w:r>
      <w:r w:rsidRPr="00F517E2">
        <w:t>r</w:t>
      </w:r>
      <w:r w:rsidRPr="00F517E2">
        <w:t>betar i ett bolag eller åt en annan fysisk person. Jämkningsreglerna är däremot inte tillämpliga i fall där g</w:t>
      </w:r>
      <w:r w:rsidRPr="00F517E2">
        <w:t>a</w:t>
      </w:r>
      <w:r w:rsidRPr="00F517E2">
        <w:t>rantitagaren bedriver enskild näringsverksamhet. Inom ramen för en sådan verksamhet finns det emellertid flera möjligheter att påverka den pensionsgrundande inkomsten, exempelvis genom att göra a</w:t>
      </w:r>
      <w:r w:rsidRPr="00F517E2">
        <w:t>v</w:t>
      </w:r>
      <w:r w:rsidRPr="00F517E2">
        <w:t>sättning</w:t>
      </w:r>
      <w:r w:rsidR="00550B62" w:rsidRPr="00F517E2">
        <w:t>ar</w:t>
      </w:r>
      <w:r w:rsidRPr="00F517E2">
        <w:t xml:space="preserve"> till periodiseringsfond. Sådana avsättningar finns det naturligtvis inte skäl att ifrågasätta som sådana. Men konsekvenserna av dem för i</w:t>
      </w:r>
      <w:r w:rsidRPr="00F517E2">
        <w:t>n</w:t>
      </w:r>
      <w:r w:rsidRPr="00F517E2">
        <w:t>komstg</w:t>
      </w:r>
      <w:r w:rsidRPr="00F517E2">
        <w:t>a</w:t>
      </w:r>
      <w:r w:rsidRPr="00F517E2">
        <w:t xml:space="preserve">rantin kan i vissa fall leda till resultat som är svåra att förena med de syften som bär upp inkomstgarantin. </w:t>
      </w:r>
    </w:p>
    <w:p w:rsidR="0021643B" w:rsidRPr="00F517E2" w:rsidRDefault="0021643B" w:rsidP="0021643B">
      <w:pPr>
        <w:pStyle w:val="Normaltindrag"/>
      </w:pPr>
      <w:r w:rsidRPr="00F517E2">
        <w:t xml:space="preserve">Syftet med inkomstgarantin är att </w:t>
      </w:r>
      <w:r w:rsidR="00CA0175" w:rsidRPr="00F517E2">
        <w:t xml:space="preserve">den ska </w:t>
      </w:r>
      <w:r w:rsidRPr="00F517E2">
        <w:t xml:space="preserve">utgöra en omställningsförmån. </w:t>
      </w:r>
      <w:r w:rsidR="00AF7C37" w:rsidRPr="00F517E2">
        <w:t>Riksdagsstyrelsen gör</w:t>
      </w:r>
      <w:r w:rsidRPr="00F517E2">
        <w:t xml:space="preserve"> bedömningen att det bör säkerställas att förmånen endast används i det syftet. Det bör ske g</w:t>
      </w:r>
      <w:r w:rsidRPr="00F517E2">
        <w:t>e</w:t>
      </w:r>
      <w:r w:rsidRPr="00F517E2">
        <w:t xml:space="preserve">nom att reglerna om jämkning ändras. </w:t>
      </w:r>
    </w:p>
    <w:p w:rsidR="0021643B" w:rsidRPr="00F517E2" w:rsidRDefault="00050755" w:rsidP="0021643B">
      <w:pPr>
        <w:pStyle w:val="Normaltindrag"/>
      </w:pPr>
      <w:r w:rsidRPr="00F517E2">
        <w:t>Riksdagsstyrelsen föreslår</w:t>
      </w:r>
      <w:r w:rsidR="0021643B" w:rsidRPr="00F517E2">
        <w:t xml:space="preserve"> att möjligheterna att besluta om jämkning u</w:t>
      </w:r>
      <w:r w:rsidR="0021643B" w:rsidRPr="00F517E2">
        <w:t>t</w:t>
      </w:r>
      <w:r w:rsidR="0021643B" w:rsidRPr="00F517E2">
        <w:t>vidgas så att jämkning kan ske när garantitagaren redovisar i</w:t>
      </w:r>
      <w:r w:rsidR="0021643B" w:rsidRPr="00F517E2">
        <w:t>n</w:t>
      </w:r>
      <w:r w:rsidR="0021643B" w:rsidRPr="00F517E2">
        <w:t>komst av aktiv näringsverksamhet och hans eller hennes pension</w:t>
      </w:r>
      <w:r w:rsidR="0021643B" w:rsidRPr="00F517E2">
        <w:t>s</w:t>
      </w:r>
      <w:r w:rsidR="0021643B" w:rsidRPr="00F517E2">
        <w:t>grundande inkomst minskat genom avsättning till periodiseringsfond, upphovsmannakonto och expa</w:t>
      </w:r>
      <w:r w:rsidR="0021643B" w:rsidRPr="00F517E2">
        <w:t>n</w:t>
      </w:r>
      <w:r w:rsidR="0021643B" w:rsidRPr="00F517E2">
        <w:t>sionsfond. Vidare föreslås att jämkning ska kunna ske om den pension</w:t>
      </w:r>
      <w:r w:rsidR="0021643B" w:rsidRPr="00F517E2">
        <w:t>s</w:t>
      </w:r>
      <w:r w:rsidR="0021643B" w:rsidRPr="00F517E2">
        <w:t>grundande inkomsten minskat genom pensionssparavdrag eller om den min</w:t>
      </w:r>
      <w:r w:rsidR="0021643B" w:rsidRPr="00F517E2">
        <w:t>s</w:t>
      </w:r>
      <w:r w:rsidR="0021643B" w:rsidRPr="00F517E2">
        <w:t>kat som en konsekvens av underskott i en annan verksamhetsgren. Des</w:t>
      </w:r>
      <w:r w:rsidR="0021643B" w:rsidRPr="00F517E2">
        <w:t>s</w:t>
      </w:r>
      <w:r w:rsidR="0021643B" w:rsidRPr="00F517E2">
        <w:t>utom föreslås att jämkning ska kunna ske om garantitagaren redovisar i</w:t>
      </w:r>
      <w:r w:rsidR="0021643B" w:rsidRPr="00F517E2">
        <w:t>n</w:t>
      </w:r>
      <w:r w:rsidR="0021643B" w:rsidRPr="00F517E2">
        <w:t xml:space="preserve">komst av </w:t>
      </w:r>
      <w:r w:rsidR="0021643B" w:rsidRPr="00F517E2">
        <w:lastRenderedPageBreak/>
        <w:t>passiv näringsverksamhet och det ingår arbetsi</w:t>
      </w:r>
      <w:r w:rsidR="0021643B" w:rsidRPr="00F517E2">
        <w:t>n</w:t>
      </w:r>
      <w:r w:rsidR="0021643B" w:rsidRPr="00F517E2">
        <w:t>komster i den. I samtliga fall ska det krävas att jämkning</w:t>
      </w:r>
      <w:r w:rsidR="00CA0175" w:rsidRPr="00F517E2">
        <w:t>en</w:t>
      </w:r>
      <w:r w:rsidR="0021643B" w:rsidRPr="00F517E2">
        <w:t xml:space="preserve"> är skälig. </w:t>
      </w:r>
    </w:p>
    <w:p w:rsidR="0021643B" w:rsidRPr="00F517E2" w:rsidRDefault="0021643B" w:rsidP="0021643B">
      <w:pPr>
        <w:pStyle w:val="Normaltindrag"/>
      </w:pPr>
      <w:r w:rsidRPr="00F517E2">
        <w:t>Om avsättningar som minskat den pensionsgrundande i</w:t>
      </w:r>
      <w:r w:rsidRPr="00F517E2">
        <w:t>n</w:t>
      </w:r>
      <w:r w:rsidRPr="00F517E2">
        <w:t xml:space="preserve">komsten återförs till beskattning kommer det att påverka den pensionsgrundande inkomsten. I ett sådant fall ska frågan om inkomstgarantin kunna prövas på nytt. </w:t>
      </w:r>
    </w:p>
    <w:p w:rsidR="0021643B" w:rsidRPr="00F517E2" w:rsidRDefault="0021643B" w:rsidP="0021643B">
      <w:pPr>
        <w:pStyle w:val="Normaltindrag"/>
      </w:pPr>
      <w:r w:rsidRPr="00F517E2">
        <w:t xml:space="preserve">För att säkerställa att </w:t>
      </w:r>
      <w:r w:rsidR="00050755" w:rsidRPr="00F517E2">
        <w:t>Rik</w:t>
      </w:r>
      <w:r w:rsidR="00CB47E2" w:rsidRPr="00F517E2">
        <w:t>s</w:t>
      </w:r>
      <w:r w:rsidR="00050755" w:rsidRPr="00F517E2">
        <w:t xml:space="preserve">dagens </w:t>
      </w:r>
      <w:r w:rsidR="00CB47E2" w:rsidRPr="00F517E2">
        <w:t>a</w:t>
      </w:r>
      <w:r w:rsidR="006E5C3D" w:rsidRPr="00F517E2">
        <w:t>rvodes</w:t>
      </w:r>
      <w:r w:rsidRPr="00F517E2">
        <w:t xml:space="preserve">nämnd får ett fullgott underlag för sina beslut </w:t>
      </w:r>
      <w:r w:rsidR="00A960CD" w:rsidRPr="00F517E2">
        <w:t>ska det enligt förslaget inf</w:t>
      </w:r>
      <w:r w:rsidRPr="00F517E2">
        <w:t>ör</w:t>
      </w:r>
      <w:r w:rsidR="00A960CD" w:rsidRPr="00F517E2">
        <w:t>a</w:t>
      </w:r>
      <w:r w:rsidRPr="00F517E2">
        <w:t>s en uppgiftsskyldighet för gara</w:t>
      </w:r>
      <w:r w:rsidRPr="00F517E2">
        <w:t>n</w:t>
      </w:r>
      <w:r w:rsidRPr="00F517E2">
        <w:t>titagare i förhållande till nämnden. I samma syfte föreslå</w:t>
      </w:r>
      <w:r w:rsidR="00A960CD" w:rsidRPr="00F517E2">
        <w:t>r riksdagsstyrelsen</w:t>
      </w:r>
      <w:r w:rsidRPr="00F517E2">
        <w:t xml:space="preserve"> att Skatteverket åläggs att lämna uppgi</w:t>
      </w:r>
      <w:r w:rsidRPr="00F517E2">
        <w:t>f</w:t>
      </w:r>
      <w:r w:rsidRPr="00F517E2">
        <w:t xml:space="preserve">ter till nämnden. </w:t>
      </w:r>
    </w:p>
    <w:p w:rsidR="0021643B" w:rsidRPr="00F517E2" w:rsidRDefault="0021643B" w:rsidP="0021643B">
      <w:pPr>
        <w:pStyle w:val="Normaltindrag"/>
      </w:pPr>
      <w:r w:rsidRPr="00F517E2">
        <w:t>Det föreslås också ett förtydligande av samordningsreglerna.</w:t>
      </w:r>
    </w:p>
    <w:p w:rsidR="00E35F85" w:rsidRPr="00F517E2" w:rsidRDefault="0021643B" w:rsidP="00E35F85">
      <w:pPr>
        <w:pStyle w:val="Normaltindrag"/>
      </w:pPr>
      <w:r w:rsidRPr="00F517E2">
        <w:t xml:space="preserve">Slutligen föreslås att samma regler om jämkning och uppgiftsskyldighet ska gälla </w:t>
      </w:r>
      <w:r w:rsidR="00E35F85" w:rsidRPr="00F517E2">
        <w:t>de garantitagare</w:t>
      </w:r>
      <w:r w:rsidRPr="00F517E2">
        <w:t xml:space="preserve"> som tidigare varit </w:t>
      </w:r>
      <w:r w:rsidR="00E35F85" w:rsidRPr="00F517E2">
        <w:t>Sveriges</w:t>
      </w:r>
      <w:r w:rsidRPr="00F517E2">
        <w:t xml:space="preserve"> ledamöter av Europ</w:t>
      </w:r>
      <w:r w:rsidRPr="00F517E2">
        <w:t>a</w:t>
      </w:r>
      <w:r w:rsidRPr="00F517E2">
        <w:t>parlamentet.</w:t>
      </w:r>
    </w:p>
    <w:p w:rsidR="00DC2BF1" w:rsidRPr="00F517E2" w:rsidRDefault="00E35F85" w:rsidP="00E35F85">
      <w:pPr>
        <w:pStyle w:val="Normaltindrag"/>
      </w:pPr>
      <w:r w:rsidRPr="00F517E2">
        <w:t>D</w:t>
      </w:r>
      <w:r w:rsidR="0021643B" w:rsidRPr="00F517E2">
        <w:t>e nya b</w:t>
      </w:r>
      <w:r w:rsidR="0021643B" w:rsidRPr="00F517E2">
        <w:t>e</w:t>
      </w:r>
      <w:r w:rsidR="0021643B" w:rsidRPr="00F517E2">
        <w:t xml:space="preserve">stämmelserna föreslås träda i kraft den 1 januari 2011. </w:t>
      </w:r>
    </w:p>
    <w:p w:rsidR="00DC2BF1" w:rsidRPr="00F517E2" w:rsidRDefault="00DC2BF1" w:rsidP="00DC2BF1">
      <w:pPr>
        <w:pStyle w:val="Normaltindrag"/>
      </w:pPr>
    </w:p>
    <w:p w:rsidR="00DC2BF1" w:rsidRPr="00F517E2" w:rsidRDefault="00DC2BF1" w:rsidP="00DC2BF1">
      <w:pPr>
        <w:pStyle w:val="Normaltindrag"/>
        <w:sectPr w:rsidR="00DC2BF1" w:rsidRPr="00F517E2">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DC2BF1" w:rsidRPr="00F517E2" w:rsidRDefault="00DC2BF1" w:rsidP="00BE6BC5">
      <w:pPr>
        <w:pStyle w:val="Rubrik1"/>
        <w:numPr>
          <w:ilvl w:val="0"/>
          <w:numId w:val="0"/>
        </w:numPr>
        <w:rPr>
          <w:noProof w:val="0"/>
        </w:rPr>
      </w:pPr>
      <w:bookmarkStart w:id="11" w:name="_Toc277831104"/>
      <w:r w:rsidRPr="00F517E2">
        <w:rPr>
          <w:noProof w:val="0"/>
        </w:rPr>
        <w:t>Innehållsförteckning</w:t>
      </w:r>
      <w:bookmarkEnd w:id="11"/>
    </w:p>
    <w:p w:rsidR="00FD6CCE" w:rsidRPr="00F517E2" w:rsidRDefault="00DC2BF1">
      <w:pPr>
        <w:pStyle w:val="Innehll1"/>
        <w:rPr>
          <w:sz w:val="24"/>
          <w:szCs w:val="24"/>
        </w:rPr>
      </w:pPr>
      <w:r w:rsidRPr="00F517E2">
        <w:fldChar w:fldCharType="begin" w:fldLock="1"/>
      </w:r>
      <w:r w:rsidRPr="00F517E2">
        <w:instrText xml:space="preserve"> TOC \o "1-4" </w:instrText>
      </w:r>
      <w:r w:rsidRPr="00F517E2">
        <w:fldChar w:fldCharType="separate"/>
      </w:r>
      <w:r w:rsidR="00FD6CCE" w:rsidRPr="00F517E2">
        <w:t>Sammanfattning</w:t>
      </w:r>
      <w:r w:rsidR="00FD6CCE" w:rsidRPr="00F517E2">
        <w:tab/>
      </w:r>
      <w:r w:rsidR="00FD6CCE" w:rsidRPr="00F517E2">
        <w:fldChar w:fldCharType="begin" w:fldLock="1"/>
      </w:r>
      <w:r w:rsidR="00FD6CCE" w:rsidRPr="00F517E2">
        <w:instrText xml:space="preserve"> PAGEREF _Toc277831103 \h </w:instrText>
      </w:r>
      <w:r w:rsidR="00FD6CCE" w:rsidRPr="00F517E2">
        <w:fldChar w:fldCharType="separate"/>
      </w:r>
      <w:r w:rsidR="00FD6CCE" w:rsidRPr="00F517E2">
        <w:t>1</w:t>
      </w:r>
      <w:r w:rsidR="00FD6CCE" w:rsidRPr="00F517E2">
        <w:fldChar w:fldCharType="end"/>
      </w:r>
    </w:p>
    <w:p w:rsidR="00FD6CCE" w:rsidRPr="00F517E2" w:rsidRDefault="00FD6CCE">
      <w:pPr>
        <w:pStyle w:val="Innehll1"/>
        <w:rPr>
          <w:sz w:val="24"/>
          <w:szCs w:val="24"/>
        </w:rPr>
      </w:pPr>
      <w:r w:rsidRPr="00F517E2">
        <w:t>Innehållsförteckning</w:t>
      </w:r>
      <w:r w:rsidRPr="00F517E2">
        <w:tab/>
      </w:r>
      <w:r w:rsidRPr="00F517E2">
        <w:fldChar w:fldCharType="begin" w:fldLock="1"/>
      </w:r>
      <w:r w:rsidRPr="00F517E2">
        <w:instrText xml:space="preserve"> PAGEREF _Toc277831104 \h </w:instrText>
      </w:r>
      <w:r w:rsidRPr="00F517E2">
        <w:fldChar w:fldCharType="separate"/>
      </w:r>
      <w:r w:rsidRPr="00F517E2">
        <w:t>3</w:t>
      </w:r>
      <w:r w:rsidRPr="00F517E2">
        <w:fldChar w:fldCharType="end"/>
      </w:r>
    </w:p>
    <w:p w:rsidR="00FD6CCE" w:rsidRPr="00F517E2" w:rsidRDefault="00FD6CCE" w:rsidP="006E264D">
      <w:pPr>
        <w:pStyle w:val="Innehll1"/>
        <w:tabs>
          <w:tab w:val="left" w:pos="285"/>
        </w:tabs>
        <w:rPr>
          <w:sz w:val="24"/>
          <w:szCs w:val="24"/>
        </w:rPr>
      </w:pPr>
      <w:r w:rsidRPr="00F517E2">
        <w:t>1</w:t>
      </w:r>
      <w:r w:rsidRPr="00F517E2">
        <w:rPr>
          <w:sz w:val="24"/>
          <w:szCs w:val="24"/>
        </w:rPr>
        <w:tab/>
      </w:r>
      <w:r w:rsidRPr="00F517E2">
        <w:t>Förslag till riksdagsbeslut</w:t>
      </w:r>
      <w:r w:rsidRPr="00F517E2">
        <w:tab/>
      </w:r>
      <w:r w:rsidRPr="00F517E2">
        <w:fldChar w:fldCharType="begin" w:fldLock="1"/>
      </w:r>
      <w:r w:rsidRPr="00F517E2">
        <w:instrText xml:space="preserve"> PAGEREF _Toc277831105 \h </w:instrText>
      </w:r>
      <w:r w:rsidRPr="00F517E2">
        <w:fldChar w:fldCharType="separate"/>
      </w:r>
      <w:r w:rsidRPr="00F517E2">
        <w:t>4</w:t>
      </w:r>
      <w:r w:rsidRPr="00F517E2">
        <w:fldChar w:fldCharType="end"/>
      </w:r>
    </w:p>
    <w:p w:rsidR="00FD6CCE" w:rsidRPr="00F517E2" w:rsidRDefault="00FD6CCE" w:rsidP="00FD6CCE">
      <w:pPr>
        <w:pStyle w:val="Innehll1"/>
        <w:tabs>
          <w:tab w:val="left" w:pos="285"/>
        </w:tabs>
        <w:rPr>
          <w:sz w:val="24"/>
          <w:szCs w:val="24"/>
        </w:rPr>
      </w:pPr>
      <w:r w:rsidRPr="00F517E2">
        <w:t>2</w:t>
      </w:r>
      <w:r w:rsidRPr="00F517E2">
        <w:rPr>
          <w:sz w:val="24"/>
          <w:szCs w:val="24"/>
        </w:rPr>
        <w:tab/>
      </w:r>
      <w:r w:rsidRPr="00F517E2">
        <w:t>Lagtext</w:t>
      </w:r>
      <w:r w:rsidRPr="00F517E2">
        <w:tab/>
      </w:r>
      <w:r w:rsidRPr="00F517E2">
        <w:fldChar w:fldCharType="begin" w:fldLock="1"/>
      </w:r>
      <w:r w:rsidRPr="00F517E2">
        <w:instrText xml:space="preserve"> PAGEREF _Toc277831106 \h </w:instrText>
      </w:r>
      <w:r w:rsidRPr="00F517E2">
        <w:fldChar w:fldCharType="separate"/>
      </w:r>
      <w:r w:rsidRPr="00F517E2">
        <w:t>5</w:t>
      </w:r>
      <w:r w:rsidRPr="00F517E2">
        <w:fldChar w:fldCharType="end"/>
      </w:r>
    </w:p>
    <w:p w:rsidR="00FD6CCE" w:rsidRPr="00F517E2" w:rsidRDefault="00FD6CCE">
      <w:pPr>
        <w:pStyle w:val="Innehll2"/>
        <w:tabs>
          <w:tab w:val="left" w:pos="851"/>
        </w:tabs>
        <w:rPr>
          <w:sz w:val="24"/>
          <w:szCs w:val="24"/>
        </w:rPr>
      </w:pPr>
      <w:r w:rsidRPr="00F517E2">
        <w:t>2.1</w:t>
      </w:r>
      <w:r w:rsidRPr="00F517E2">
        <w:rPr>
          <w:sz w:val="24"/>
          <w:szCs w:val="24"/>
        </w:rPr>
        <w:tab/>
      </w:r>
      <w:r w:rsidRPr="00F517E2">
        <w:t>Förslag till lag om ändring i lagen (1994:1065) om ekonomiska villkor för riksdagens ledamöter</w:t>
      </w:r>
      <w:r w:rsidRPr="00F517E2">
        <w:tab/>
      </w:r>
      <w:r w:rsidRPr="00F517E2">
        <w:fldChar w:fldCharType="begin" w:fldLock="1"/>
      </w:r>
      <w:r w:rsidRPr="00F517E2">
        <w:instrText xml:space="preserve"> PAGEREF _Toc277831107 \h </w:instrText>
      </w:r>
      <w:r w:rsidRPr="00F517E2">
        <w:fldChar w:fldCharType="separate"/>
      </w:r>
      <w:r w:rsidRPr="00F517E2">
        <w:t>5</w:t>
      </w:r>
      <w:r w:rsidRPr="00F517E2">
        <w:fldChar w:fldCharType="end"/>
      </w:r>
    </w:p>
    <w:p w:rsidR="00FD6CCE" w:rsidRPr="00F517E2" w:rsidRDefault="00FD6CCE">
      <w:pPr>
        <w:pStyle w:val="Innehll2"/>
        <w:tabs>
          <w:tab w:val="left" w:pos="851"/>
        </w:tabs>
        <w:rPr>
          <w:sz w:val="24"/>
          <w:szCs w:val="24"/>
        </w:rPr>
      </w:pPr>
      <w:r w:rsidRPr="00F517E2">
        <w:t>2.2</w:t>
      </w:r>
      <w:r w:rsidRPr="00F517E2">
        <w:rPr>
          <w:sz w:val="24"/>
          <w:szCs w:val="24"/>
        </w:rPr>
        <w:tab/>
      </w:r>
      <w:r w:rsidRPr="00F517E2">
        <w:t>Förslag till lag om ändring i övergångsbestämmelserna till den upphävda lagen (1996:304) om arvode m.m. till Sveriges ledamöter av Europaparlamentet</w:t>
      </w:r>
      <w:r w:rsidRPr="00F517E2">
        <w:tab/>
      </w:r>
      <w:r w:rsidRPr="00F517E2">
        <w:fldChar w:fldCharType="begin" w:fldLock="1"/>
      </w:r>
      <w:r w:rsidRPr="00F517E2">
        <w:instrText xml:space="preserve"> PAGEREF _Toc277831108 \h </w:instrText>
      </w:r>
      <w:r w:rsidRPr="00F517E2">
        <w:fldChar w:fldCharType="separate"/>
      </w:r>
      <w:r w:rsidRPr="00F517E2">
        <w:t>8</w:t>
      </w:r>
      <w:r w:rsidRPr="00F517E2">
        <w:fldChar w:fldCharType="end"/>
      </w:r>
    </w:p>
    <w:p w:rsidR="00FD6CCE" w:rsidRPr="00F517E2" w:rsidRDefault="00FD6CCE" w:rsidP="006E264D">
      <w:pPr>
        <w:pStyle w:val="Innehll1"/>
        <w:tabs>
          <w:tab w:val="left" w:pos="285"/>
        </w:tabs>
        <w:rPr>
          <w:sz w:val="24"/>
          <w:szCs w:val="24"/>
        </w:rPr>
      </w:pPr>
      <w:r w:rsidRPr="00F517E2">
        <w:t>3</w:t>
      </w:r>
      <w:r w:rsidRPr="00F517E2">
        <w:rPr>
          <w:sz w:val="24"/>
          <w:szCs w:val="24"/>
        </w:rPr>
        <w:tab/>
      </w:r>
      <w:r w:rsidRPr="00F517E2">
        <w:t>Ärendet och dess beredning</w:t>
      </w:r>
      <w:r w:rsidRPr="00F517E2">
        <w:tab/>
      </w:r>
      <w:r w:rsidRPr="00F517E2">
        <w:fldChar w:fldCharType="begin" w:fldLock="1"/>
      </w:r>
      <w:r w:rsidRPr="00F517E2">
        <w:instrText xml:space="preserve"> PAGEREF _Toc277831109 \h </w:instrText>
      </w:r>
      <w:r w:rsidRPr="00F517E2">
        <w:fldChar w:fldCharType="separate"/>
      </w:r>
      <w:r w:rsidRPr="00F517E2">
        <w:t>9</w:t>
      </w:r>
      <w:r w:rsidRPr="00F517E2">
        <w:fldChar w:fldCharType="end"/>
      </w:r>
    </w:p>
    <w:p w:rsidR="00FD6CCE" w:rsidRPr="00F517E2" w:rsidRDefault="00FD6CCE" w:rsidP="006E264D">
      <w:pPr>
        <w:pStyle w:val="Innehll1"/>
        <w:tabs>
          <w:tab w:val="left" w:pos="285"/>
        </w:tabs>
        <w:rPr>
          <w:sz w:val="24"/>
          <w:szCs w:val="24"/>
        </w:rPr>
      </w:pPr>
      <w:r w:rsidRPr="00F517E2">
        <w:t>4</w:t>
      </w:r>
      <w:r w:rsidRPr="00F517E2">
        <w:rPr>
          <w:sz w:val="24"/>
          <w:szCs w:val="24"/>
        </w:rPr>
        <w:tab/>
      </w:r>
      <w:r w:rsidRPr="00F517E2">
        <w:t>Bakgrund</w:t>
      </w:r>
      <w:r w:rsidRPr="00F517E2">
        <w:tab/>
      </w:r>
      <w:r w:rsidRPr="00F517E2">
        <w:fldChar w:fldCharType="begin" w:fldLock="1"/>
      </w:r>
      <w:r w:rsidRPr="00F517E2">
        <w:instrText xml:space="preserve"> PAGEREF _Toc277831110 \h </w:instrText>
      </w:r>
      <w:r w:rsidRPr="00F517E2">
        <w:fldChar w:fldCharType="separate"/>
      </w:r>
      <w:r w:rsidRPr="00F517E2">
        <w:t>10</w:t>
      </w:r>
      <w:r w:rsidRPr="00F517E2">
        <w:fldChar w:fldCharType="end"/>
      </w:r>
    </w:p>
    <w:p w:rsidR="00FD6CCE" w:rsidRPr="00F517E2" w:rsidRDefault="00FD6CCE">
      <w:pPr>
        <w:pStyle w:val="Innehll2"/>
        <w:tabs>
          <w:tab w:val="left" w:pos="851"/>
        </w:tabs>
        <w:rPr>
          <w:sz w:val="24"/>
          <w:szCs w:val="24"/>
        </w:rPr>
      </w:pPr>
      <w:r w:rsidRPr="00F517E2">
        <w:t>4.1</w:t>
      </w:r>
      <w:r w:rsidRPr="00F517E2">
        <w:rPr>
          <w:sz w:val="24"/>
          <w:szCs w:val="24"/>
        </w:rPr>
        <w:tab/>
      </w:r>
      <w:r w:rsidRPr="00F517E2">
        <w:t>Trygghet i en omställningssituation</w:t>
      </w:r>
      <w:r w:rsidRPr="00F517E2">
        <w:tab/>
      </w:r>
      <w:r w:rsidRPr="00F517E2">
        <w:fldChar w:fldCharType="begin" w:fldLock="1"/>
      </w:r>
      <w:r w:rsidRPr="00F517E2">
        <w:instrText xml:space="preserve"> PAGEREF _Toc277831111 \h </w:instrText>
      </w:r>
      <w:r w:rsidRPr="00F517E2">
        <w:fldChar w:fldCharType="separate"/>
      </w:r>
      <w:r w:rsidRPr="00F517E2">
        <w:t>10</w:t>
      </w:r>
      <w:r w:rsidRPr="00F517E2">
        <w:fldChar w:fldCharType="end"/>
      </w:r>
    </w:p>
    <w:p w:rsidR="00FD6CCE" w:rsidRPr="00F517E2" w:rsidRDefault="00FD6CCE">
      <w:pPr>
        <w:pStyle w:val="Innehll2"/>
        <w:tabs>
          <w:tab w:val="left" w:pos="851"/>
        </w:tabs>
        <w:rPr>
          <w:sz w:val="24"/>
          <w:szCs w:val="24"/>
        </w:rPr>
      </w:pPr>
      <w:r w:rsidRPr="00F517E2">
        <w:t>4.2</w:t>
      </w:r>
      <w:r w:rsidRPr="00F517E2">
        <w:rPr>
          <w:sz w:val="24"/>
          <w:szCs w:val="24"/>
        </w:rPr>
        <w:tab/>
      </w:r>
      <w:r w:rsidRPr="00F517E2">
        <w:t>Erfarenheterna av den tillsyn som bedrivits hittills</w:t>
      </w:r>
      <w:r w:rsidRPr="00F517E2">
        <w:tab/>
      </w:r>
      <w:r w:rsidRPr="00F517E2">
        <w:fldChar w:fldCharType="begin" w:fldLock="1"/>
      </w:r>
      <w:r w:rsidRPr="00F517E2">
        <w:instrText xml:space="preserve"> PAGEREF _Toc277831112 \h </w:instrText>
      </w:r>
      <w:r w:rsidRPr="00F517E2">
        <w:fldChar w:fldCharType="separate"/>
      </w:r>
      <w:r w:rsidRPr="00F517E2">
        <w:t>10</w:t>
      </w:r>
      <w:r w:rsidRPr="00F517E2">
        <w:fldChar w:fldCharType="end"/>
      </w:r>
    </w:p>
    <w:p w:rsidR="00FD6CCE" w:rsidRPr="00F517E2" w:rsidRDefault="00FD6CCE">
      <w:pPr>
        <w:pStyle w:val="Innehll2"/>
        <w:tabs>
          <w:tab w:val="left" w:pos="851"/>
        </w:tabs>
        <w:rPr>
          <w:sz w:val="24"/>
          <w:szCs w:val="24"/>
        </w:rPr>
      </w:pPr>
      <w:r w:rsidRPr="00F517E2">
        <w:t>4.3</w:t>
      </w:r>
      <w:r w:rsidRPr="00F517E2">
        <w:rPr>
          <w:sz w:val="24"/>
          <w:szCs w:val="24"/>
        </w:rPr>
        <w:tab/>
      </w:r>
      <w:r w:rsidRPr="00F517E2">
        <w:t>Enskild näringsverksamhet och handelsbolag</w:t>
      </w:r>
      <w:r w:rsidRPr="00F517E2">
        <w:tab/>
      </w:r>
      <w:r w:rsidRPr="00F517E2">
        <w:fldChar w:fldCharType="begin" w:fldLock="1"/>
      </w:r>
      <w:r w:rsidRPr="00F517E2">
        <w:instrText xml:space="preserve"> PAGEREF _Toc277831113 \h </w:instrText>
      </w:r>
      <w:r w:rsidRPr="00F517E2">
        <w:fldChar w:fldCharType="separate"/>
      </w:r>
      <w:r w:rsidRPr="00F517E2">
        <w:t>11</w:t>
      </w:r>
      <w:r w:rsidRPr="00F517E2">
        <w:fldChar w:fldCharType="end"/>
      </w:r>
    </w:p>
    <w:p w:rsidR="00FD6CCE" w:rsidRPr="00F517E2" w:rsidRDefault="00FD6CCE">
      <w:pPr>
        <w:pStyle w:val="Innehll2"/>
        <w:tabs>
          <w:tab w:val="left" w:pos="851"/>
        </w:tabs>
        <w:rPr>
          <w:sz w:val="24"/>
          <w:szCs w:val="24"/>
        </w:rPr>
      </w:pPr>
      <w:r w:rsidRPr="00F517E2">
        <w:t>4.4</w:t>
      </w:r>
      <w:r w:rsidRPr="00F517E2">
        <w:rPr>
          <w:sz w:val="24"/>
          <w:szCs w:val="24"/>
        </w:rPr>
        <w:tab/>
      </w:r>
      <w:r w:rsidRPr="00F517E2">
        <w:t>Utgångspunkter</w:t>
      </w:r>
      <w:r w:rsidRPr="00F517E2">
        <w:tab/>
      </w:r>
      <w:r w:rsidRPr="00F517E2">
        <w:fldChar w:fldCharType="begin" w:fldLock="1"/>
      </w:r>
      <w:r w:rsidRPr="00F517E2">
        <w:instrText xml:space="preserve"> PAGEREF _Toc277831114 \h </w:instrText>
      </w:r>
      <w:r w:rsidRPr="00F517E2">
        <w:fldChar w:fldCharType="separate"/>
      </w:r>
      <w:r w:rsidRPr="00F517E2">
        <w:t>12</w:t>
      </w:r>
      <w:r w:rsidRPr="00F517E2">
        <w:fldChar w:fldCharType="end"/>
      </w:r>
    </w:p>
    <w:p w:rsidR="00FD6CCE" w:rsidRPr="00F517E2" w:rsidRDefault="00FD6CCE" w:rsidP="006E264D">
      <w:pPr>
        <w:pStyle w:val="Innehll1"/>
        <w:tabs>
          <w:tab w:val="left" w:pos="285"/>
        </w:tabs>
        <w:rPr>
          <w:sz w:val="24"/>
          <w:szCs w:val="24"/>
        </w:rPr>
      </w:pPr>
      <w:r w:rsidRPr="00F517E2">
        <w:t>5</w:t>
      </w:r>
      <w:r w:rsidRPr="00F517E2">
        <w:rPr>
          <w:sz w:val="24"/>
          <w:szCs w:val="24"/>
        </w:rPr>
        <w:tab/>
      </w:r>
      <w:r w:rsidRPr="00F517E2">
        <w:t>Riksdagsstyrelsens överväganden och förslag</w:t>
      </w:r>
      <w:r w:rsidRPr="00F517E2">
        <w:tab/>
      </w:r>
      <w:r w:rsidRPr="00F517E2">
        <w:fldChar w:fldCharType="begin" w:fldLock="1"/>
      </w:r>
      <w:r w:rsidRPr="00F517E2">
        <w:instrText xml:space="preserve"> PAGEREF _Toc277831115 \h </w:instrText>
      </w:r>
      <w:r w:rsidRPr="00F517E2">
        <w:fldChar w:fldCharType="separate"/>
      </w:r>
      <w:r w:rsidRPr="00F517E2">
        <w:t>13</w:t>
      </w:r>
      <w:r w:rsidRPr="00F517E2">
        <w:fldChar w:fldCharType="end"/>
      </w:r>
    </w:p>
    <w:p w:rsidR="00FD6CCE" w:rsidRPr="00F517E2" w:rsidRDefault="00FD6CCE">
      <w:pPr>
        <w:pStyle w:val="Innehll2"/>
        <w:tabs>
          <w:tab w:val="left" w:pos="851"/>
        </w:tabs>
        <w:rPr>
          <w:sz w:val="24"/>
          <w:szCs w:val="24"/>
        </w:rPr>
      </w:pPr>
      <w:r w:rsidRPr="00F517E2">
        <w:t>5.1</w:t>
      </w:r>
      <w:r w:rsidRPr="00F517E2">
        <w:rPr>
          <w:sz w:val="24"/>
          <w:szCs w:val="24"/>
        </w:rPr>
        <w:tab/>
      </w:r>
      <w:r w:rsidRPr="00F517E2">
        <w:t>Möjligheterna till jämkning bör utvidgas</w:t>
      </w:r>
      <w:r w:rsidRPr="00F517E2">
        <w:tab/>
      </w:r>
      <w:r w:rsidRPr="00F517E2">
        <w:fldChar w:fldCharType="begin" w:fldLock="1"/>
      </w:r>
      <w:r w:rsidRPr="00F517E2">
        <w:instrText xml:space="preserve"> PAGEREF _Toc277831116 \h </w:instrText>
      </w:r>
      <w:r w:rsidRPr="00F517E2">
        <w:fldChar w:fldCharType="separate"/>
      </w:r>
      <w:r w:rsidRPr="00F517E2">
        <w:t>13</w:t>
      </w:r>
      <w:r w:rsidRPr="00F517E2">
        <w:fldChar w:fldCharType="end"/>
      </w:r>
    </w:p>
    <w:p w:rsidR="00FD6CCE" w:rsidRPr="00F517E2" w:rsidRDefault="00FD6CCE">
      <w:pPr>
        <w:pStyle w:val="Innehll2"/>
        <w:tabs>
          <w:tab w:val="left" w:pos="851"/>
        </w:tabs>
        <w:rPr>
          <w:sz w:val="24"/>
          <w:szCs w:val="24"/>
        </w:rPr>
      </w:pPr>
      <w:r w:rsidRPr="00F517E2">
        <w:t>5.2</w:t>
      </w:r>
      <w:r w:rsidRPr="00F517E2">
        <w:rPr>
          <w:sz w:val="24"/>
          <w:szCs w:val="24"/>
        </w:rPr>
        <w:tab/>
      </w:r>
      <w:r w:rsidRPr="00F517E2">
        <w:t>När bör jämkning kunna ske?</w:t>
      </w:r>
      <w:r w:rsidRPr="00F517E2">
        <w:tab/>
      </w:r>
      <w:r w:rsidRPr="00F517E2">
        <w:fldChar w:fldCharType="begin" w:fldLock="1"/>
      </w:r>
      <w:r w:rsidRPr="00F517E2">
        <w:instrText xml:space="preserve"> PAGEREF _Toc277831117 \h </w:instrText>
      </w:r>
      <w:r w:rsidRPr="00F517E2">
        <w:fldChar w:fldCharType="separate"/>
      </w:r>
      <w:r w:rsidRPr="00F517E2">
        <w:t>16</w:t>
      </w:r>
      <w:r w:rsidRPr="00F517E2">
        <w:fldChar w:fldCharType="end"/>
      </w:r>
    </w:p>
    <w:p w:rsidR="00FD6CCE" w:rsidRPr="00F517E2" w:rsidRDefault="00FD6CCE">
      <w:pPr>
        <w:pStyle w:val="Innehll3"/>
        <w:tabs>
          <w:tab w:val="left" w:pos="1361"/>
        </w:tabs>
        <w:rPr>
          <w:sz w:val="24"/>
          <w:szCs w:val="24"/>
        </w:rPr>
      </w:pPr>
      <w:r w:rsidRPr="00F517E2">
        <w:t>5.2.1</w:t>
      </w:r>
      <w:r w:rsidRPr="00F517E2">
        <w:rPr>
          <w:sz w:val="24"/>
          <w:szCs w:val="24"/>
        </w:rPr>
        <w:tab/>
      </w:r>
      <w:r w:rsidRPr="00F517E2">
        <w:t>Periodiseringsfond</w:t>
      </w:r>
      <w:r w:rsidRPr="00F517E2">
        <w:tab/>
      </w:r>
      <w:r w:rsidRPr="00F517E2">
        <w:fldChar w:fldCharType="begin" w:fldLock="1"/>
      </w:r>
      <w:r w:rsidRPr="00F517E2">
        <w:instrText xml:space="preserve"> PAGEREF _Toc277831118 \h </w:instrText>
      </w:r>
      <w:r w:rsidRPr="00F517E2">
        <w:fldChar w:fldCharType="separate"/>
      </w:r>
      <w:r w:rsidRPr="00F517E2">
        <w:t>16</w:t>
      </w:r>
      <w:r w:rsidRPr="00F517E2">
        <w:fldChar w:fldCharType="end"/>
      </w:r>
    </w:p>
    <w:p w:rsidR="00FD6CCE" w:rsidRPr="00F517E2" w:rsidRDefault="00FD6CCE">
      <w:pPr>
        <w:pStyle w:val="Innehll3"/>
        <w:tabs>
          <w:tab w:val="left" w:pos="1361"/>
        </w:tabs>
        <w:rPr>
          <w:sz w:val="24"/>
          <w:szCs w:val="24"/>
        </w:rPr>
      </w:pPr>
      <w:r w:rsidRPr="00F517E2">
        <w:t>5.2.2</w:t>
      </w:r>
      <w:r w:rsidRPr="00F517E2">
        <w:rPr>
          <w:sz w:val="24"/>
          <w:szCs w:val="24"/>
        </w:rPr>
        <w:tab/>
      </w:r>
      <w:r w:rsidRPr="00F517E2">
        <w:t>Upphovsmannakonto</w:t>
      </w:r>
      <w:r w:rsidRPr="00F517E2">
        <w:tab/>
      </w:r>
      <w:r w:rsidRPr="00F517E2">
        <w:fldChar w:fldCharType="begin" w:fldLock="1"/>
      </w:r>
      <w:r w:rsidRPr="00F517E2">
        <w:instrText xml:space="preserve"> PAGEREF _Toc277831119 \h </w:instrText>
      </w:r>
      <w:r w:rsidRPr="00F517E2">
        <w:fldChar w:fldCharType="separate"/>
      </w:r>
      <w:r w:rsidRPr="00F517E2">
        <w:t>20</w:t>
      </w:r>
      <w:r w:rsidRPr="00F517E2">
        <w:fldChar w:fldCharType="end"/>
      </w:r>
    </w:p>
    <w:p w:rsidR="00FD6CCE" w:rsidRPr="00F517E2" w:rsidRDefault="00FD6CCE">
      <w:pPr>
        <w:pStyle w:val="Innehll3"/>
        <w:tabs>
          <w:tab w:val="left" w:pos="1361"/>
        </w:tabs>
        <w:rPr>
          <w:sz w:val="24"/>
          <w:szCs w:val="24"/>
        </w:rPr>
      </w:pPr>
      <w:r w:rsidRPr="00F517E2">
        <w:t>5.2.3</w:t>
      </w:r>
      <w:r w:rsidRPr="00F517E2">
        <w:rPr>
          <w:sz w:val="24"/>
          <w:szCs w:val="24"/>
        </w:rPr>
        <w:tab/>
      </w:r>
      <w:r w:rsidRPr="00F517E2">
        <w:t>Expansionsfond</w:t>
      </w:r>
      <w:r w:rsidRPr="00F517E2">
        <w:tab/>
      </w:r>
      <w:r w:rsidRPr="00F517E2">
        <w:fldChar w:fldCharType="begin" w:fldLock="1"/>
      </w:r>
      <w:r w:rsidRPr="00F517E2">
        <w:instrText xml:space="preserve"> PAGEREF _Toc277831120 \h </w:instrText>
      </w:r>
      <w:r w:rsidRPr="00F517E2">
        <w:fldChar w:fldCharType="separate"/>
      </w:r>
      <w:r w:rsidRPr="00F517E2">
        <w:t>22</w:t>
      </w:r>
      <w:r w:rsidRPr="00F517E2">
        <w:fldChar w:fldCharType="end"/>
      </w:r>
    </w:p>
    <w:p w:rsidR="00FD6CCE" w:rsidRPr="00F517E2" w:rsidRDefault="00FD6CCE">
      <w:pPr>
        <w:pStyle w:val="Innehll3"/>
        <w:tabs>
          <w:tab w:val="left" w:pos="1361"/>
        </w:tabs>
        <w:rPr>
          <w:sz w:val="24"/>
          <w:szCs w:val="24"/>
        </w:rPr>
      </w:pPr>
      <w:r w:rsidRPr="00F517E2">
        <w:t>5.2.4</w:t>
      </w:r>
      <w:r w:rsidRPr="00F517E2">
        <w:rPr>
          <w:sz w:val="24"/>
          <w:szCs w:val="24"/>
        </w:rPr>
        <w:tab/>
      </w:r>
      <w:r w:rsidRPr="00F517E2">
        <w:t>Räntefördelning</w:t>
      </w:r>
      <w:r w:rsidRPr="00F517E2">
        <w:tab/>
      </w:r>
      <w:r w:rsidRPr="00F517E2">
        <w:fldChar w:fldCharType="begin" w:fldLock="1"/>
      </w:r>
      <w:r w:rsidRPr="00F517E2">
        <w:instrText xml:space="preserve"> PAGEREF _Toc277831121 \h </w:instrText>
      </w:r>
      <w:r w:rsidRPr="00F517E2">
        <w:fldChar w:fldCharType="separate"/>
      </w:r>
      <w:r w:rsidRPr="00F517E2">
        <w:t>24</w:t>
      </w:r>
      <w:r w:rsidRPr="00F517E2">
        <w:fldChar w:fldCharType="end"/>
      </w:r>
    </w:p>
    <w:p w:rsidR="00FD6CCE" w:rsidRPr="00F517E2" w:rsidRDefault="00FD6CCE">
      <w:pPr>
        <w:pStyle w:val="Innehll3"/>
        <w:tabs>
          <w:tab w:val="left" w:pos="1361"/>
        </w:tabs>
        <w:rPr>
          <w:sz w:val="24"/>
          <w:szCs w:val="24"/>
        </w:rPr>
      </w:pPr>
      <w:r w:rsidRPr="00F517E2">
        <w:t>5.2.5</w:t>
      </w:r>
      <w:r w:rsidRPr="00F517E2">
        <w:rPr>
          <w:sz w:val="24"/>
          <w:szCs w:val="24"/>
        </w:rPr>
        <w:tab/>
      </w:r>
      <w:r w:rsidRPr="00F517E2">
        <w:t>Pensionssparavdrag</w:t>
      </w:r>
      <w:r w:rsidRPr="00F517E2">
        <w:tab/>
      </w:r>
      <w:r w:rsidRPr="00F517E2">
        <w:fldChar w:fldCharType="begin" w:fldLock="1"/>
      </w:r>
      <w:r w:rsidRPr="00F517E2">
        <w:instrText xml:space="preserve"> PAGEREF _Toc277831122 \h </w:instrText>
      </w:r>
      <w:r w:rsidRPr="00F517E2">
        <w:fldChar w:fldCharType="separate"/>
      </w:r>
      <w:r w:rsidRPr="00F517E2">
        <w:t>25</w:t>
      </w:r>
      <w:r w:rsidRPr="00F517E2">
        <w:fldChar w:fldCharType="end"/>
      </w:r>
    </w:p>
    <w:p w:rsidR="00FD6CCE" w:rsidRPr="00F517E2" w:rsidRDefault="00FD6CCE">
      <w:pPr>
        <w:pStyle w:val="Innehll3"/>
        <w:tabs>
          <w:tab w:val="left" w:pos="1361"/>
        </w:tabs>
        <w:rPr>
          <w:sz w:val="24"/>
          <w:szCs w:val="24"/>
        </w:rPr>
      </w:pPr>
      <w:r w:rsidRPr="00F517E2">
        <w:t>5.2.6</w:t>
      </w:r>
      <w:r w:rsidRPr="00F517E2">
        <w:rPr>
          <w:sz w:val="24"/>
          <w:szCs w:val="24"/>
        </w:rPr>
        <w:tab/>
      </w:r>
      <w:r w:rsidRPr="00F517E2">
        <w:t>Flera verksamhetsgrenar</w:t>
      </w:r>
      <w:r w:rsidRPr="00F517E2">
        <w:tab/>
      </w:r>
      <w:r w:rsidRPr="00F517E2">
        <w:fldChar w:fldCharType="begin" w:fldLock="1"/>
      </w:r>
      <w:r w:rsidRPr="00F517E2">
        <w:instrText xml:space="preserve"> PAGEREF _Toc277831123 \h </w:instrText>
      </w:r>
      <w:r w:rsidRPr="00F517E2">
        <w:fldChar w:fldCharType="separate"/>
      </w:r>
      <w:r w:rsidRPr="00F517E2">
        <w:t>27</w:t>
      </w:r>
      <w:r w:rsidRPr="00F517E2">
        <w:fldChar w:fldCharType="end"/>
      </w:r>
    </w:p>
    <w:p w:rsidR="00FD6CCE" w:rsidRPr="00F517E2" w:rsidRDefault="00FD6CCE">
      <w:pPr>
        <w:pStyle w:val="Innehll3"/>
        <w:tabs>
          <w:tab w:val="left" w:pos="1361"/>
        </w:tabs>
        <w:rPr>
          <w:sz w:val="24"/>
          <w:szCs w:val="24"/>
        </w:rPr>
      </w:pPr>
      <w:r w:rsidRPr="00F517E2">
        <w:t>5.2.7</w:t>
      </w:r>
      <w:r w:rsidRPr="00F517E2">
        <w:rPr>
          <w:sz w:val="24"/>
          <w:szCs w:val="24"/>
        </w:rPr>
        <w:tab/>
      </w:r>
      <w:r w:rsidRPr="00F517E2">
        <w:t>Passiv näringsverksamhet</w:t>
      </w:r>
      <w:r w:rsidRPr="00F517E2">
        <w:tab/>
      </w:r>
      <w:r w:rsidRPr="00F517E2">
        <w:fldChar w:fldCharType="begin" w:fldLock="1"/>
      </w:r>
      <w:r w:rsidRPr="00F517E2">
        <w:instrText xml:space="preserve"> PAGEREF _Toc277831124 \h </w:instrText>
      </w:r>
      <w:r w:rsidRPr="00F517E2">
        <w:fldChar w:fldCharType="separate"/>
      </w:r>
      <w:r w:rsidRPr="00F517E2">
        <w:t>28</w:t>
      </w:r>
      <w:r w:rsidRPr="00F517E2">
        <w:fldChar w:fldCharType="end"/>
      </w:r>
    </w:p>
    <w:p w:rsidR="00FD6CCE" w:rsidRPr="00F517E2" w:rsidRDefault="00FD6CCE" w:rsidP="006E264D">
      <w:pPr>
        <w:pStyle w:val="Innehll3"/>
        <w:tabs>
          <w:tab w:val="left" w:pos="1361"/>
        </w:tabs>
        <w:ind w:left="1361" w:hanging="794"/>
        <w:rPr>
          <w:sz w:val="24"/>
          <w:szCs w:val="24"/>
        </w:rPr>
      </w:pPr>
      <w:r w:rsidRPr="00F517E2">
        <w:t>5.2.8</w:t>
      </w:r>
      <w:r w:rsidRPr="00F517E2">
        <w:rPr>
          <w:sz w:val="24"/>
          <w:szCs w:val="24"/>
        </w:rPr>
        <w:tab/>
      </w:r>
      <w:r w:rsidRPr="00F517E2">
        <w:t>Återförda avsättningar kan fordra nytt jämkningsbeslut</w:t>
      </w:r>
      <w:r w:rsidRPr="00F517E2">
        <w:tab/>
      </w:r>
      <w:r w:rsidRPr="00F517E2">
        <w:fldChar w:fldCharType="begin" w:fldLock="1"/>
      </w:r>
      <w:r w:rsidRPr="00F517E2">
        <w:instrText xml:space="preserve"> PAGEREF _Toc277831125 \h </w:instrText>
      </w:r>
      <w:r w:rsidRPr="00F517E2">
        <w:fldChar w:fldCharType="separate"/>
      </w:r>
      <w:r w:rsidRPr="00F517E2">
        <w:t>31</w:t>
      </w:r>
      <w:r w:rsidRPr="00F517E2">
        <w:fldChar w:fldCharType="end"/>
      </w:r>
    </w:p>
    <w:p w:rsidR="00FD6CCE" w:rsidRPr="00F517E2" w:rsidRDefault="00FD6CCE">
      <w:pPr>
        <w:pStyle w:val="Innehll3"/>
        <w:tabs>
          <w:tab w:val="left" w:pos="1361"/>
        </w:tabs>
        <w:rPr>
          <w:sz w:val="24"/>
          <w:szCs w:val="24"/>
        </w:rPr>
      </w:pPr>
      <w:r w:rsidRPr="00F517E2">
        <w:t>5.2.9</w:t>
      </w:r>
      <w:r w:rsidRPr="00F517E2">
        <w:rPr>
          <w:sz w:val="24"/>
          <w:szCs w:val="24"/>
        </w:rPr>
        <w:tab/>
      </w:r>
      <w:r w:rsidRPr="00F517E2">
        <w:t>Förtydligande av samordningsreglerna</w:t>
      </w:r>
      <w:r w:rsidRPr="00F517E2">
        <w:tab/>
      </w:r>
      <w:r w:rsidRPr="00F517E2">
        <w:fldChar w:fldCharType="begin" w:fldLock="1"/>
      </w:r>
      <w:r w:rsidRPr="00F517E2">
        <w:instrText xml:space="preserve"> PAGEREF _Toc277831126 \h </w:instrText>
      </w:r>
      <w:r w:rsidRPr="00F517E2">
        <w:fldChar w:fldCharType="separate"/>
      </w:r>
      <w:r w:rsidRPr="00F517E2">
        <w:t>33</w:t>
      </w:r>
      <w:r w:rsidRPr="00F517E2">
        <w:fldChar w:fldCharType="end"/>
      </w:r>
    </w:p>
    <w:p w:rsidR="00FD6CCE" w:rsidRPr="00F517E2" w:rsidRDefault="00FD6CCE">
      <w:pPr>
        <w:pStyle w:val="Innehll3"/>
        <w:tabs>
          <w:tab w:val="left" w:pos="1361"/>
        </w:tabs>
        <w:rPr>
          <w:sz w:val="24"/>
          <w:szCs w:val="24"/>
        </w:rPr>
      </w:pPr>
      <w:r w:rsidRPr="00F517E2">
        <w:t>5.2.10</w:t>
      </w:r>
      <w:r w:rsidRPr="00F517E2">
        <w:rPr>
          <w:sz w:val="24"/>
          <w:szCs w:val="24"/>
        </w:rPr>
        <w:tab/>
      </w:r>
      <w:r w:rsidRPr="00F517E2">
        <w:t>Uppgiftsskyldighet för garantitagare</w:t>
      </w:r>
      <w:r w:rsidRPr="00F517E2">
        <w:tab/>
      </w:r>
      <w:r w:rsidRPr="00F517E2">
        <w:fldChar w:fldCharType="begin" w:fldLock="1"/>
      </w:r>
      <w:r w:rsidRPr="00F517E2">
        <w:instrText xml:space="preserve"> PAGEREF _Toc277831127 \h </w:instrText>
      </w:r>
      <w:r w:rsidRPr="00F517E2">
        <w:fldChar w:fldCharType="separate"/>
      </w:r>
      <w:r w:rsidRPr="00F517E2">
        <w:t>34</w:t>
      </w:r>
      <w:r w:rsidRPr="00F517E2">
        <w:fldChar w:fldCharType="end"/>
      </w:r>
    </w:p>
    <w:p w:rsidR="00FD6CCE" w:rsidRPr="00F517E2" w:rsidRDefault="00FD6CCE">
      <w:pPr>
        <w:pStyle w:val="Innehll3"/>
        <w:tabs>
          <w:tab w:val="left" w:pos="1361"/>
        </w:tabs>
        <w:rPr>
          <w:sz w:val="24"/>
          <w:szCs w:val="24"/>
        </w:rPr>
      </w:pPr>
      <w:r w:rsidRPr="00F517E2">
        <w:t>5.2.11</w:t>
      </w:r>
      <w:r w:rsidRPr="00F517E2">
        <w:rPr>
          <w:sz w:val="24"/>
          <w:szCs w:val="24"/>
        </w:rPr>
        <w:tab/>
      </w:r>
      <w:r w:rsidRPr="00F517E2">
        <w:t>Uppgiftsskyldighet för Skatteverket</w:t>
      </w:r>
      <w:r w:rsidRPr="00F517E2">
        <w:tab/>
      </w:r>
      <w:r w:rsidRPr="00F517E2">
        <w:fldChar w:fldCharType="begin" w:fldLock="1"/>
      </w:r>
      <w:r w:rsidRPr="00F517E2">
        <w:instrText xml:space="preserve"> PAGEREF _Toc277831128 \h </w:instrText>
      </w:r>
      <w:r w:rsidRPr="00F517E2">
        <w:fldChar w:fldCharType="separate"/>
      </w:r>
      <w:r w:rsidRPr="00F517E2">
        <w:t>37</w:t>
      </w:r>
      <w:r w:rsidRPr="00F517E2">
        <w:fldChar w:fldCharType="end"/>
      </w:r>
    </w:p>
    <w:p w:rsidR="00FD6CCE" w:rsidRPr="00F517E2" w:rsidRDefault="00FD6CCE">
      <w:pPr>
        <w:pStyle w:val="Innehll3"/>
        <w:tabs>
          <w:tab w:val="left" w:pos="1361"/>
        </w:tabs>
        <w:rPr>
          <w:sz w:val="24"/>
          <w:szCs w:val="24"/>
        </w:rPr>
      </w:pPr>
      <w:r w:rsidRPr="00F517E2">
        <w:t>5.2.12</w:t>
      </w:r>
      <w:r w:rsidRPr="00F517E2">
        <w:rPr>
          <w:sz w:val="24"/>
          <w:szCs w:val="24"/>
        </w:rPr>
        <w:tab/>
      </w:r>
      <w:r w:rsidRPr="00F517E2">
        <w:t>Sekretess hos Riksdagens arvodesnämnd</w:t>
      </w:r>
      <w:r w:rsidRPr="00F517E2">
        <w:tab/>
      </w:r>
      <w:r w:rsidRPr="00F517E2">
        <w:fldChar w:fldCharType="begin" w:fldLock="1"/>
      </w:r>
      <w:r w:rsidRPr="00F517E2">
        <w:instrText xml:space="preserve"> PAGEREF _Toc277831129 \h </w:instrText>
      </w:r>
      <w:r w:rsidRPr="00F517E2">
        <w:fldChar w:fldCharType="separate"/>
      </w:r>
      <w:r w:rsidRPr="00F517E2">
        <w:t>38</w:t>
      </w:r>
      <w:r w:rsidRPr="00F517E2">
        <w:fldChar w:fldCharType="end"/>
      </w:r>
    </w:p>
    <w:p w:rsidR="00FD6CCE" w:rsidRPr="00F517E2" w:rsidRDefault="00FD6CCE" w:rsidP="006E264D">
      <w:pPr>
        <w:pStyle w:val="Innehll3"/>
        <w:tabs>
          <w:tab w:val="left" w:pos="1361"/>
        </w:tabs>
        <w:ind w:left="1361" w:hanging="794"/>
        <w:rPr>
          <w:sz w:val="24"/>
          <w:szCs w:val="24"/>
        </w:rPr>
      </w:pPr>
      <w:r w:rsidRPr="00F517E2">
        <w:t>5.2.13</w:t>
      </w:r>
      <w:r w:rsidRPr="00F517E2">
        <w:rPr>
          <w:sz w:val="24"/>
          <w:szCs w:val="24"/>
        </w:rPr>
        <w:tab/>
      </w:r>
      <w:r w:rsidRPr="00F517E2">
        <w:t>Följdändringar som rör ledamöter av Europaparlamentet</w:t>
      </w:r>
      <w:r w:rsidRPr="00F517E2">
        <w:tab/>
      </w:r>
      <w:r w:rsidRPr="00F517E2">
        <w:fldChar w:fldCharType="begin" w:fldLock="1"/>
      </w:r>
      <w:r w:rsidRPr="00F517E2">
        <w:instrText xml:space="preserve"> PAGEREF _Toc277831130 \h </w:instrText>
      </w:r>
      <w:r w:rsidRPr="00F517E2">
        <w:fldChar w:fldCharType="separate"/>
      </w:r>
      <w:r w:rsidRPr="00F517E2">
        <w:t>40</w:t>
      </w:r>
      <w:r w:rsidRPr="00F517E2">
        <w:fldChar w:fldCharType="end"/>
      </w:r>
    </w:p>
    <w:p w:rsidR="00FD6CCE" w:rsidRPr="00F517E2" w:rsidRDefault="00FD6CCE">
      <w:pPr>
        <w:pStyle w:val="Innehll3"/>
        <w:tabs>
          <w:tab w:val="left" w:pos="1361"/>
        </w:tabs>
        <w:rPr>
          <w:sz w:val="24"/>
          <w:szCs w:val="24"/>
        </w:rPr>
      </w:pPr>
      <w:r w:rsidRPr="00F517E2">
        <w:t>5.2.14</w:t>
      </w:r>
      <w:r w:rsidRPr="00F517E2">
        <w:rPr>
          <w:sz w:val="24"/>
          <w:szCs w:val="24"/>
        </w:rPr>
        <w:tab/>
      </w:r>
      <w:r w:rsidRPr="00F517E2">
        <w:t>Ikraftträdande</w:t>
      </w:r>
      <w:r w:rsidRPr="00F517E2">
        <w:tab/>
      </w:r>
      <w:r w:rsidRPr="00F517E2">
        <w:fldChar w:fldCharType="begin" w:fldLock="1"/>
      </w:r>
      <w:r w:rsidRPr="00F517E2">
        <w:instrText xml:space="preserve"> PAGEREF _Toc277831131 \h </w:instrText>
      </w:r>
      <w:r w:rsidRPr="00F517E2">
        <w:fldChar w:fldCharType="separate"/>
      </w:r>
      <w:r w:rsidRPr="00F517E2">
        <w:t>42</w:t>
      </w:r>
      <w:r w:rsidRPr="00F517E2">
        <w:fldChar w:fldCharType="end"/>
      </w:r>
    </w:p>
    <w:p w:rsidR="00FD6CCE" w:rsidRPr="00F517E2" w:rsidRDefault="00FD6CCE" w:rsidP="006E264D">
      <w:pPr>
        <w:pStyle w:val="Innehll1"/>
        <w:tabs>
          <w:tab w:val="left" w:pos="284"/>
          <w:tab w:val="left" w:pos="568"/>
        </w:tabs>
        <w:rPr>
          <w:sz w:val="24"/>
          <w:szCs w:val="24"/>
        </w:rPr>
      </w:pPr>
      <w:r w:rsidRPr="00F517E2">
        <w:t>6</w:t>
      </w:r>
      <w:r w:rsidRPr="00F517E2">
        <w:rPr>
          <w:sz w:val="24"/>
          <w:szCs w:val="24"/>
        </w:rPr>
        <w:tab/>
      </w:r>
      <w:r w:rsidRPr="00F517E2">
        <w:t>Kostnadskonsekvenser</w:t>
      </w:r>
      <w:r w:rsidRPr="00F517E2">
        <w:tab/>
      </w:r>
      <w:r w:rsidRPr="00F517E2">
        <w:fldChar w:fldCharType="begin" w:fldLock="1"/>
      </w:r>
      <w:r w:rsidRPr="00F517E2">
        <w:instrText xml:space="preserve"> PAGEREF _Toc277831132 \h </w:instrText>
      </w:r>
      <w:r w:rsidRPr="00F517E2">
        <w:fldChar w:fldCharType="separate"/>
      </w:r>
      <w:r w:rsidRPr="00F517E2">
        <w:t>44</w:t>
      </w:r>
      <w:r w:rsidRPr="00F517E2">
        <w:fldChar w:fldCharType="end"/>
      </w:r>
    </w:p>
    <w:p w:rsidR="00FD6CCE" w:rsidRPr="00F517E2" w:rsidRDefault="00FD6CCE" w:rsidP="006E264D">
      <w:pPr>
        <w:pStyle w:val="Innehll1"/>
        <w:tabs>
          <w:tab w:val="left" w:pos="284"/>
          <w:tab w:val="left" w:pos="568"/>
        </w:tabs>
        <w:rPr>
          <w:sz w:val="24"/>
          <w:szCs w:val="24"/>
        </w:rPr>
      </w:pPr>
      <w:r w:rsidRPr="00F517E2">
        <w:t>7</w:t>
      </w:r>
      <w:r w:rsidRPr="00F517E2">
        <w:rPr>
          <w:sz w:val="24"/>
          <w:szCs w:val="24"/>
        </w:rPr>
        <w:tab/>
      </w:r>
      <w:r w:rsidRPr="00F517E2">
        <w:t>Författningskommentar</w:t>
      </w:r>
      <w:r w:rsidRPr="00F517E2">
        <w:tab/>
      </w:r>
      <w:r w:rsidRPr="00F517E2">
        <w:fldChar w:fldCharType="begin" w:fldLock="1"/>
      </w:r>
      <w:r w:rsidRPr="00F517E2">
        <w:instrText xml:space="preserve"> PAGEREF _Toc277831133 \h </w:instrText>
      </w:r>
      <w:r w:rsidRPr="00F517E2">
        <w:fldChar w:fldCharType="separate"/>
      </w:r>
      <w:r w:rsidRPr="00F517E2">
        <w:t>45</w:t>
      </w:r>
      <w:r w:rsidRPr="00F517E2">
        <w:fldChar w:fldCharType="end"/>
      </w:r>
    </w:p>
    <w:p w:rsidR="00FD6CCE" w:rsidRPr="00F517E2" w:rsidRDefault="00FD6CCE">
      <w:pPr>
        <w:pStyle w:val="Innehll2"/>
        <w:tabs>
          <w:tab w:val="left" w:pos="851"/>
        </w:tabs>
        <w:rPr>
          <w:sz w:val="24"/>
          <w:szCs w:val="24"/>
        </w:rPr>
      </w:pPr>
      <w:r w:rsidRPr="00F517E2">
        <w:t>7.1</w:t>
      </w:r>
      <w:r w:rsidRPr="00F517E2">
        <w:rPr>
          <w:sz w:val="24"/>
          <w:szCs w:val="24"/>
        </w:rPr>
        <w:tab/>
      </w:r>
      <w:r w:rsidRPr="00F517E2">
        <w:t>Förslaget till lag om ändring i lagen (1994:1065) om ekonomiska villkor för riksdagens ledamöter</w:t>
      </w:r>
      <w:r w:rsidRPr="00F517E2">
        <w:tab/>
      </w:r>
      <w:r w:rsidRPr="00F517E2">
        <w:fldChar w:fldCharType="begin" w:fldLock="1"/>
      </w:r>
      <w:r w:rsidRPr="00F517E2">
        <w:instrText xml:space="preserve"> PAGEREF _Toc277831134 \h </w:instrText>
      </w:r>
      <w:r w:rsidRPr="00F517E2">
        <w:fldChar w:fldCharType="separate"/>
      </w:r>
      <w:r w:rsidRPr="00F517E2">
        <w:t>45</w:t>
      </w:r>
      <w:r w:rsidRPr="00F517E2">
        <w:fldChar w:fldCharType="end"/>
      </w:r>
    </w:p>
    <w:p w:rsidR="00FD6CCE" w:rsidRPr="00F517E2" w:rsidRDefault="00FD6CCE">
      <w:pPr>
        <w:pStyle w:val="Innehll2"/>
        <w:tabs>
          <w:tab w:val="left" w:pos="851"/>
        </w:tabs>
        <w:rPr>
          <w:sz w:val="24"/>
          <w:szCs w:val="24"/>
        </w:rPr>
      </w:pPr>
      <w:r w:rsidRPr="00F517E2">
        <w:t>7.2</w:t>
      </w:r>
      <w:r w:rsidRPr="00F517E2">
        <w:rPr>
          <w:sz w:val="24"/>
          <w:szCs w:val="24"/>
        </w:rPr>
        <w:tab/>
      </w:r>
      <w:r w:rsidRPr="00F517E2">
        <w:t>Förslaget till lag om ändring i övergångsbestämmelserna till den upphävda lagen (1996:304) om arvode m.m. till Sveriges ledamöter av Europaparlamentet</w:t>
      </w:r>
      <w:r w:rsidRPr="00F517E2">
        <w:tab/>
      </w:r>
      <w:r w:rsidRPr="00F517E2">
        <w:fldChar w:fldCharType="begin" w:fldLock="1"/>
      </w:r>
      <w:r w:rsidRPr="00F517E2">
        <w:instrText xml:space="preserve"> PAGEREF _Toc277831135 \h </w:instrText>
      </w:r>
      <w:r w:rsidRPr="00F517E2">
        <w:fldChar w:fldCharType="separate"/>
      </w:r>
      <w:r w:rsidRPr="00F517E2">
        <w:t>47</w:t>
      </w:r>
      <w:r w:rsidRPr="00F517E2">
        <w:fldChar w:fldCharType="end"/>
      </w:r>
    </w:p>
    <w:p w:rsidR="008B0565" w:rsidRPr="00F517E2" w:rsidRDefault="00DC2BF1" w:rsidP="008B0565">
      <w:pPr>
        <w:pStyle w:val="Innehll2"/>
        <w:tabs>
          <w:tab w:val="left" w:pos="851"/>
        </w:tabs>
      </w:pPr>
      <w:r w:rsidRPr="00F517E2">
        <w:fldChar w:fldCharType="end"/>
      </w:r>
    </w:p>
    <w:p w:rsidR="00DC2BF1" w:rsidRPr="00F517E2" w:rsidRDefault="00DC2BF1" w:rsidP="00DC2BF1">
      <w:pPr>
        <w:pStyle w:val="Normaltindrag"/>
        <w:sectPr w:rsidR="00DC2BF1" w:rsidRPr="00F517E2">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7A056D" w:rsidRPr="00F517E2" w:rsidRDefault="007A056D" w:rsidP="003D372D">
      <w:pPr>
        <w:pStyle w:val="Rubrik1"/>
        <w:rPr>
          <w:noProof w:val="0"/>
        </w:rPr>
      </w:pPr>
      <w:bookmarkStart w:id="12" w:name="_Toc277831105"/>
      <w:r w:rsidRPr="00F517E2">
        <w:rPr>
          <w:noProof w:val="0"/>
        </w:rPr>
        <w:t>Förslag till riksdagsbeslut</w:t>
      </w:r>
      <w:bookmarkEnd w:id="12"/>
    </w:p>
    <w:p w:rsidR="007A056D" w:rsidRPr="00F517E2" w:rsidRDefault="007A056D" w:rsidP="00091B5C">
      <w:pPr>
        <w:spacing w:before="0"/>
      </w:pPr>
      <w:r w:rsidRPr="00F517E2">
        <w:t>Riksdagen antar riksdagsstyrelsens förslag till</w:t>
      </w:r>
    </w:p>
    <w:p w:rsidR="007A056D" w:rsidRPr="00F517E2" w:rsidRDefault="007A056D" w:rsidP="007A056D">
      <w:r w:rsidRPr="00F517E2">
        <w:t xml:space="preserve">1. </w:t>
      </w:r>
      <w:r w:rsidR="00CC0D37" w:rsidRPr="00F517E2">
        <w:t>lag om ändring i lagen (1994:1065) om ekonomiska villkor för riksdagens ledamöter</w:t>
      </w:r>
      <w:r w:rsidRPr="00F517E2">
        <w:t>,</w:t>
      </w:r>
    </w:p>
    <w:p w:rsidR="00CC0D37" w:rsidRPr="00F517E2" w:rsidRDefault="007A056D" w:rsidP="007A056D">
      <w:r w:rsidRPr="00F517E2">
        <w:t xml:space="preserve">2. </w:t>
      </w:r>
      <w:r w:rsidR="00CC0D37" w:rsidRPr="00F517E2">
        <w:t xml:space="preserve">lag om ändring i </w:t>
      </w:r>
      <w:r w:rsidR="00B96116" w:rsidRPr="00F517E2">
        <w:t xml:space="preserve">övergångsbestämmelserna till den upphävda </w:t>
      </w:r>
      <w:r w:rsidR="00CC0D37" w:rsidRPr="00F517E2">
        <w:t>lagen (1996:304) om arvode m.m. till Sv</w:t>
      </w:r>
      <w:r w:rsidR="00CC0D37" w:rsidRPr="00F517E2">
        <w:t>e</w:t>
      </w:r>
      <w:r w:rsidR="00CC0D37" w:rsidRPr="00F517E2">
        <w:t>riges ledamöter av Europaparlamentet.</w:t>
      </w:r>
    </w:p>
    <w:p w:rsidR="007A056D" w:rsidRPr="00F517E2" w:rsidRDefault="007A056D" w:rsidP="00FF4BD7">
      <w:pPr>
        <w:spacing w:before="480"/>
      </w:pPr>
      <w:r w:rsidRPr="00F517E2">
        <w:t xml:space="preserve">Stockholm den </w:t>
      </w:r>
      <w:r w:rsidR="00F40437" w:rsidRPr="00F517E2">
        <w:t>17 november 2010</w:t>
      </w:r>
      <w:r w:rsidRPr="00F517E2">
        <w:t xml:space="preserve"> </w:t>
      </w:r>
    </w:p>
    <w:p w:rsidR="007A056D" w:rsidRPr="00F517E2" w:rsidRDefault="007A056D" w:rsidP="00FF4BD7">
      <w:pPr>
        <w:spacing w:before="240"/>
      </w:pPr>
      <w:r w:rsidRPr="00F517E2">
        <w:t>På riksdagsstyrelsens vägnar</w:t>
      </w:r>
    </w:p>
    <w:p w:rsidR="00F40437" w:rsidRPr="00F517E2" w:rsidRDefault="00F40437" w:rsidP="00A16BD4">
      <w:pPr>
        <w:spacing w:before="840"/>
        <w:rPr>
          <w:i/>
        </w:rPr>
      </w:pPr>
      <w:r w:rsidRPr="00F517E2">
        <w:rPr>
          <w:i/>
        </w:rPr>
        <w:t>Per Westerberg</w:t>
      </w:r>
    </w:p>
    <w:p w:rsidR="00F40437" w:rsidRPr="00F517E2" w:rsidRDefault="00F40437" w:rsidP="00F40437">
      <w:pPr>
        <w:pStyle w:val="Normaltindrag"/>
      </w:pPr>
    </w:p>
    <w:p w:rsidR="00F40437" w:rsidRPr="00F517E2" w:rsidRDefault="00F40437" w:rsidP="00F40437">
      <w:r w:rsidRPr="00F517E2">
        <w:tab/>
      </w:r>
      <w:r w:rsidRPr="00F517E2">
        <w:tab/>
      </w:r>
      <w:r w:rsidRPr="00F517E2">
        <w:tab/>
      </w:r>
      <w:r w:rsidRPr="00F517E2">
        <w:rPr>
          <w:i/>
        </w:rPr>
        <w:t>Kathrin Flossing</w:t>
      </w:r>
    </w:p>
    <w:p w:rsidR="00F40437" w:rsidRPr="00F517E2" w:rsidRDefault="00F40437" w:rsidP="00F40437">
      <w:pPr>
        <w:pStyle w:val="Normaltindrag"/>
      </w:pPr>
    </w:p>
    <w:p w:rsidR="00F40437" w:rsidRPr="00F517E2" w:rsidRDefault="00F40437" w:rsidP="00F40437">
      <w:pPr>
        <w:pStyle w:val="Normaltindrag"/>
      </w:pPr>
    </w:p>
    <w:p w:rsidR="00DC3E3A" w:rsidRPr="00F517E2" w:rsidRDefault="00F40437" w:rsidP="00A16BD4">
      <w:pPr>
        <w:pStyle w:val="Deltagare"/>
        <w:rPr>
          <w:noProof w:val="0"/>
        </w:rPr>
      </w:pPr>
      <w:r w:rsidRPr="00F517E2">
        <w:rPr>
          <w:noProof w:val="0"/>
        </w:rPr>
        <w:t>I beslutet har deltagit: Per Westerberg, ordförande</w:t>
      </w:r>
      <w:r w:rsidR="00DC3E3A" w:rsidRPr="00F517E2">
        <w:rPr>
          <w:noProof w:val="0"/>
        </w:rPr>
        <w:t>, Sven-Erik Österberg (S), Anna Kinberg Batra (M), Mikaela Valtersson (M</w:t>
      </w:r>
      <w:r w:rsidR="009C0355" w:rsidRPr="00F517E2">
        <w:rPr>
          <w:noProof w:val="0"/>
        </w:rPr>
        <w:t>P</w:t>
      </w:r>
      <w:r w:rsidR="00DC3E3A" w:rsidRPr="00F517E2">
        <w:rPr>
          <w:noProof w:val="0"/>
        </w:rPr>
        <w:t>), Allan Widman (</w:t>
      </w:r>
      <w:r w:rsidR="00FA4462" w:rsidRPr="00F517E2">
        <w:rPr>
          <w:noProof w:val="0"/>
        </w:rPr>
        <w:t>F</w:t>
      </w:r>
      <w:r w:rsidR="009C0355" w:rsidRPr="00F517E2">
        <w:rPr>
          <w:noProof w:val="0"/>
        </w:rPr>
        <w:t>P</w:t>
      </w:r>
      <w:r w:rsidR="00DC3E3A" w:rsidRPr="00F517E2">
        <w:rPr>
          <w:noProof w:val="0"/>
        </w:rPr>
        <w:t>), Karin Åström (</w:t>
      </w:r>
      <w:r w:rsidR="00FA4462" w:rsidRPr="00F517E2">
        <w:rPr>
          <w:noProof w:val="0"/>
        </w:rPr>
        <w:t>S</w:t>
      </w:r>
      <w:r w:rsidR="00DC3E3A" w:rsidRPr="00F517E2">
        <w:rPr>
          <w:noProof w:val="0"/>
        </w:rPr>
        <w:t>), Margareta Pålsson (</w:t>
      </w:r>
      <w:r w:rsidR="008D444B" w:rsidRPr="00F517E2">
        <w:rPr>
          <w:noProof w:val="0"/>
        </w:rPr>
        <w:t>M</w:t>
      </w:r>
      <w:r w:rsidR="00DC3E3A" w:rsidRPr="00F517E2">
        <w:rPr>
          <w:noProof w:val="0"/>
        </w:rPr>
        <w:t>), Leif Jakobsson (</w:t>
      </w:r>
      <w:r w:rsidR="00FA4462" w:rsidRPr="00F517E2">
        <w:rPr>
          <w:noProof w:val="0"/>
        </w:rPr>
        <w:t>S</w:t>
      </w:r>
      <w:r w:rsidR="00DC3E3A" w:rsidRPr="00F517E2">
        <w:rPr>
          <w:noProof w:val="0"/>
        </w:rPr>
        <w:t>), Tomas Tobé (</w:t>
      </w:r>
      <w:r w:rsidR="00FA4462" w:rsidRPr="00F517E2">
        <w:rPr>
          <w:noProof w:val="0"/>
        </w:rPr>
        <w:t>M</w:t>
      </w:r>
      <w:r w:rsidR="00DC3E3A" w:rsidRPr="00F517E2">
        <w:rPr>
          <w:noProof w:val="0"/>
        </w:rPr>
        <w:t>), Pia Nilsson (S), Magdalena Andersson</w:t>
      </w:r>
      <w:r w:rsidR="008D444B" w:rsidRPr="00F517E2">
        <w:rPr>
          <w:noProof w:val="0"/>
        </w:rPr>
        <w:t xml:space="preserve"> (M).</w:t>
      </w:r>
    </w:p>
    <w:p w:rsidR="003D372D" w:rsidRPr="00F517E2" w:rsidRDefault="003D372D" w:rsidP="003D372D"/>
    <w:p w:rsidR="003D372D" w:rsidRPr="00F517E2" w:rsidRDefault="003D372D" w:rsidP="003D372D">
      <w:pPr>
        <w:sectPr w:rsidR="003D372D" w:rsidRPr="00F517E2" w:rsidSect="003D372D">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7" w:left="1304" w:header="340" w:footer="227" w:gutter="0"/>
          <w:cols w:space="720"/>
          <w:titlePg/>
          <w:docGrid w:linePitch="258"/>
        </w:sectPr>
      </w:pPr>
    </w:p>
    <w:p w:rsidR="007A056D" w:rsidRPr="00F517E2" w:rsidRDefault="007A056D" w:rsidP="007C373A">
      <w:pPr>
        <w:pStyle w:val="Rubrik1"/>
        <w:rPr>
          <w:noProof w:val="0"/>
        </w:rPr>
      </w:pPr>
      <w:bookmarkStart w:id="13" w:name="_Toc277831106"/>
      <w:r w:rsidRPr="00F517E2">
        <w:rPr>
          <w:noProof w:val="0"/>
        </w:rPr>
        <w:t>Lagtext</w:t>
      </w:r>
      <w:bookmarkEnd w:id="13"/>
    </w:p>
    <w:p w:rsidR="007A056D" w:rsidRPr="00F517E2" w:rsidRDefault="007A056D" w:rsidP="00153871">
      <w:pPr>
        <w:pStyle w:val="Rubrik2"/>
        <w:spacing w:before="0"/>
      </w:pPr>
      <w:bookmarkStart w:id="14" w:name="_Toc277831107"/>
      <w:r w:rsidRPr="00F517E2">
        <w:t>Förslag till lag om ändring i lagen (1994:1065) om ekonomiska villkor för riksdagens ledamöter</w:t>
      </w:r>
      <w:bookmarkEnd w:id="14"/>
    </w:p>
    <w:p w:rsidR="000A176B" w:rsidRPr="00F517E2" w:rsidRDefault="000A176B" w:rsidP="000A176B">
      <w:r w:rsidRPr="00F517E2">
        <w:t>Härigenom föreskrivs i fråga om lagen (1994:1065) om ekonomiska villkor för riksdagens ledamöter</w:t>
      </w:r>
    </w:p>
    <w:p w:rsidR="000A176B" w:rsidRPr="00F517E2" w:rsidRDefault="000A176B" w:rsidP="000A176B">
      <w:pPr>
        <w:ind w:firstLine="180"/>
      </w:pPr>
      <w:r w:rsidRPr="00F517E2">
        <w:rPr>
          <w:i/>
        </w:rPr>
        <w:t>dels</w:t>
      </w:r>
      <w:r w:rsidRPr="00F517E2">
        <w:t xml:space="preserve"> att 13 kap. 13, 16 och 27 §§ samt rubriken närmast före 27 § ska ha följande lydelse,</w:t>
      </w:r>
    </w:p>
    <w:p w:rsidR="000A176B" w:rsidRPr="00F517E2" w:rsidRDefault="000A176B" w:rsidP="000A176B">
      <w:pPr>
        <w:ind w:firstLine="180"/>
      </w:pPr>
      <w:r w:rsidRPr="00F517E2">
        <w:rPr>
          <w:i/>
        </w:rPr>
        <w:t>dels</w:t>
      </w:r>
      <w:r w:rsidRPr="00F517E2">
        <w:t xml:space="preserve"> att det i lagen ska införas två nya paragrafer, 13 kap. 24 b och 24 c §§, av följande lydelse.</w:t>
      </w:r>
    </w:p>
    <w:p w:rsidR="007C3F1E" w:rsidRPr="00F517E2" w:rsidRDefault="007C3F1E" w:rsidP="007C3F1E">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7C3F1E" w:rsidRPr="00F517E2" w:rsidTr="00387EC7">
        <w:tblPrEx>
          <w:tblCellMar>
            <w:top w:w="0" w:type="dxa"/>
            <w:bottom w:w="0" w:type="dxa"/>
          </w:tblCellMar>
        </w:tblPrEx>
        <w:trPr>
          <w:tblHeader/>
        </w:trPr>
        <w:tc>
          <w:tcPr>
            <w:tcW w:w="3090" w:type="dxa"/>
          </w:tcPr>
          <w:p w:rsidR="007C3F1E" w:rsidRPr="00F517E2" w:rsidRDefault="007C3F1E" w:rsidP="00387EC7">
            <w:pPr>
              <w:pStyle w:val="LagtextRubrik"/>
            </w:pPr>
            <w:r w:rsidRPr="00F517E2">
              <w:t>Nuvarande lydelse</w:t>
            </w:r>
          </w:p>
        </w:tc>
        <w:tc>
          <w:tcPr>
            <w:tcW w:w="3090" w:type="dxa"/>
          </w:tcPr>
          <w:p w:rsidR="007C3F1E" w:rsidRPr="00F517E2" w:rsidRDefault="007C3F1E" w:rsidP="00387EC7">
            <w:pPr>
              <w:pStyle w:val="LagtextRubrik"/>
            </w:pPr>
            <w:r w:rsidRPr="00F517E2">
              <w:t>Föreslagen lydelse</w:t>
            </w:r>
          </w:p>
        </w:tc>
      </w:tr>
      <w:tr w:rsidR="007C3F1E" w:rsidRPr="00F517E2" w:rsidTr="00387EC7">
        <w:tblPrEx>
          <w:tblCellMar>
            <w:top w:w="0" w:type="dxa"/>
            <w:bottom w:w="0" w:type="dxa"/>
          </w:tblCellMar>
        </w:tblPrEx>
        <w:tc>
          <w:tcPr>
            <w:tcW w:w="6180" w:type="dxa"/>
            <w:gridSpan w:val="2"/>
          </w:tcPr>
          <w:p w:rsidR="007C3F1E" w:rsidRPr="00F517E2" w:rsidRDefault="007C3F1E" w:rsidP="00387EC7">
            <w:pPr>
              <w:pStyle w:val="LagtextIndrag"/>
              <w:jc w:val="center"/>
              <w:rPr>
                <w:b/>
              </w:rPr>
            </w:pPr>
            <w:r w:rsidRPr="00F517E2">
              <w:rPr>
                <w:b/>
              </w:rPr>
              <w:t>13 kap.</w:t>
            </w:r>
          </w:p>
        </w:tc>
      </w:tr>
      <w:tr w:rsidR="007C3F1E" w:rsidRPr="00F517E2" w:rsidTr="00387EC7">
        <w:tblPrEx>
          <w:tblCellMar>
            <w:top w:w="0" w:type="dxa"/>
            <w:bottom w:w="0" w:type="dxa"/>
          </w:tblCellMar>
        </w:tblPrEx>
        <w:tc>
          <w:tcPr>
            <w:tcW w:w="6180" w:type="dxa"/>
            <w:gridSpan w:val="2"/>
          </w:tcPr>
          <w:p w:rsidR="007C3F1E" w:rsidRPr="00F517E2" w:rsidRDefault="007C3F1E" w:rsidP="00387EC7">
            <w:pPr>
              <w:pStyle w:val="LagtextIndrag"/>
              <w:jc w:val="center"/>
            </w:pPr>
          </w:p>
        </w:tc>
      </w:tr>
      <w:tr w:rsidR="007C3F1E" w:rsidRPr="00F517E2" w:rsidTr="007C3F1E">
        <w:tblPrEx>
          <w:tblCellMar>
            <w:top w:w="0" w:type="dxa"/>
            <w:bottom w:w="0" w:type="dxa"/>
          </w:tblCellMar>
        </w:tblPrEx>
        <w:tc>
          <w:tcPr>
            <w:tcW w:w="6180" w:type="dxa"/>
            <w:gridSpan w:val="2"/>
          </w:tcPr>
          <w:p w:rsidR="007C3F1E" w:rsidRPr="00F517E2" w:rsidRDefault="007C3F1E" w:rsidP="007C3F1E">
            <w:pPr>
              <w:pStyle w:val="Kommentarsreferens"/>
              <w:spacing w:line="220" w:lineRule="exact"/>
              <w:ind w:firstLine="170"/>
              <w:jc w:val="center"/>
            </w:pPr>
            <w:r w:rsidRPr="00F517E2">
              <w:t>13 §</w:t>
            </w:r>
            <w:r w:rsidRPr="00F517E2">
              <w:rPr>
                <w:rStyle w:val="Fotnotsreferens"/>
                <w:sz w:val="24"/>
                <w:szCs w:val="24"/>
              </w:rPr>
              <w:footnoteReference w:id="1"/>
            </w:r>
          </w:p>
        </w:tc>
      </w:tr>
      <w:tr w:rsidR="007C3F1E" w:rsidRPr="00F517E2" w:rsidTr="00387EC7">
        <w:tblPrEx>
          <w:tblCellMar>
            <w:top w:w="0" w:type="dxa"/>
            <w:bottom w:w="0" w:type="dxa"/>
          </w:tblCellMar>
        </w:tblPrEx>
        <w:tc>
          <w:tcPr>
            <w:tcW w:w="6180" w:type="dxa"/>
            <w:gridSpan w:val="2"/>
          </w:tcPr>
          <w:p w:rsidR="007C3F1E" w:rsidRPr="00F517E2" w:rsidRDefault="007C3F1E" w:rsidP="00387EC7">
            <w:pPr>
              <w:pStyle w:val="LagtextIndrag"/>
            </w:pPr>
            <w:r w:rsidRPr="00F517E2">
              <w:t>Inkomstgarantin minskas också, på det sätt som framgår av 14 §, med fö</w:t>
            </w:r>
            <w:r w:rsidRPr="00F517E2">
              <w:t>l</w:t>
            </w:r>
            <w:r w:rsidRPr="00F517E2">
              <w:t xml:space="preserve">jande inkomster: </w:t>
            </w:r>
          </w:p>
        </w:tc>
      </w:tr>
      <w:tr w:rsidR="007C3F1E" w:rsidRPr="00F517E2" w:rsidTr="00387EC7">
        <w:tblPrEx>
          <w:tblCellMar>
            <w:top w:w="0" w:type="dxa"/>
            <w:bottom w:w="0" w:type="dxa"/>
          </w:tblCellMar>
        </w:tblPrEx>
        <w:tc>
          <w:tcPr>
            <w:tcW w:w="3090" w:type="dxa"/>
          </w:tcPr>
          <w:p w:rsidR="007C3F1E" w:rsidRPr="00F517E2" w:rsidRDefault="007C3F1E" w:rsidP="00387EC7">
            <w:pPr>
              <w:pStyle w:val="LagtextIndrag"/>
            </w:pPr>
            <w:r w:rsidRPr="00F517E2">
              <w:t>1. inkomst som är pension</w:t>
            </w:r>
            <w:r w:rsidRPr="00F517E2">
              <w:t>s</w:t>
            </w:r>
            <w:r w:rsidRPr="00F517E2">
              <w:t xml:space="preserve">grundande enligt 2 kap. lagen (1998:674) om inkomstgrundad ålderspension, </w:t>
            </w:r>
          </w:p>
        </w:tc>
        <w:tc>
          <w:tcPr>
            <w:tcW w:w="3090" w:type="dxa"/>
          </w:tcPr>
          <w:p w:rsidR="007C3F1E" w:rsidRPr="00F517E2" w:rsidRDefault="007C3F1E" w:rsidP="00387EC7">
            <w:pPr>
              <w:pStyle w:val="LagtextIndrag"/>
              <w:rPr>
                <w:i/>
              </w:rPr>
            </w:pPr>
            <w:r w:rsidRPr="00F517E2">
              <w:t>1. inkomst</w:t>
            </w:r>
            <w:r w:rsidRPr="00F517E2">
              <w:rPr>
                <w:i/>
              </w:rPr>
              <w:t xml:space="preserve"> av sådant slag </w:t>
            </w:r>
            <w:r w:rsidRPr="00F517E2">
              <w:t>som är pensionsgrundande enligt 2 kap. lagen (1998:674) om inkomstgru</w:t>
            </w:r>
            <w:r w:rsidRPr="00F517E2">
              <w:t>n</w:t>
            </w:r>
            <w:r w:rsidRPr="00F517E2">
              <w:t>dad ålderspension,</w:t>
            </w:r>
          </w:p>
        </w:tc>
      </w:tr>
      <w:tr w:rsidR="007C3F1E" w:rsidRPr="00F517E2" w:rsidTr="00387EC7">
        <w:tblPrEx>
          <w:tblCellMar>
            <w:top w:w="0" w:type="dxa"/>
            <w:bottom w:w="0" w:type="dxa"/>
          </w:tblCellMar>
        </w:tblPrEx>
        <w:tc>
          <w:tcPr>
            <w:tcW w:w="6180" w:type="dxa"/>
            <w:gridSpan w:val="2"/>
          </w:tcPr>
          <w:p w:rsidR="007C3F1E" w:rsidRPr="00F517E2" w:rsidRDefault="007C3F1E" w:rsidP="001214AA">
            <w:pPr>
              <w:pStyle w:val="Lagtext"/>
              <w:ind w:firstLine="142"/>
            </w:pPr>
            <w:r w:rsidRPr="00F517E2">
              <w:t>2. sådan inkomst av anställning eller uppdrag utomlands som inte beskattas i Sverige,</w:t>
            </w:r>
          </w:p>
          <w:p w:rsidR="007C3F1E" w:rsidRPr="00F517E2" w:rsidRDefault="007C3F1E" w:rsidP="001214AA">
            <w:pPr>
              <w:pStyle w:val="Lagtext"/>
              <w:ind w:firstLine="142"/>
            </w:pPr>
            <w:r w:rsidRPr="00F517E2">
              <w:t>3. delpension enligt kollektivavtal,</w:t>
            </w:r>
          </w:p>
          <w:p w:rsidR="007C3F1E" w:rsidRPr="00F517E2" w:rsidRDefault="007C3F1E" w:rsidP="001214AA">
            <w:pPr>
              <w:pStyle w:val="Lagtext"/>
              <w:ind w:firstLine="142"/>
            </w:pPr>
            <w:r w:rsidRPr="00F517E2">
              <w:t>4. pension och livränta i andra fall än som avses i 12 §,</w:t>
            </w:r>
          </w:p>
          <w:p w:rsidR="007C3F1E" w:rsidRPr="00F517E2" w:rsidRDefault="007C3F1E" w:rsidP="001214AA">
            <w:pPr>
              <w:pStyle w:val="LagtextIndrag"/>
              <w:ind w:firstLine="142"/>
            </w:pPr>
            <w:r w:rsidRPr="00F517E2">
              <w:t>5. andra kontanta förmåner på grund av anställning eller uppdrag än dem som avses i 1</w:t>
            </w:r>
            <w:r w:rsidR="00C1661A" w:rsidRPr="00F517E2">
              <w:t>–</w:t>
            </w:r>
            <w:r w:rsidRPr="00F517E2">
              <w:t xml:space="preserve">4.  </w:t>
            </w:r>
          </w:p>
        </w:tc>
      </w:tr>
      <w:tr w:rsidR="00387EC7" w:rsidRPr="00F517E2" w:rsidTr="00387EC7">
        <w:tblPrEx>
          <w:tblCellMar>
            <w:top w:w="0" w:type="dxa"/>
            <w:bottom w:w="0" w:type="dxa"/>
          </w:tblCellMar>
        </w:tblPrEx>
        <w:tc>
          <w:tcPr>
            <w:tcW w:w="6180" w:type="dxa"/>
            <w:gridSpan w:val="2"/>
          </w:tcPr>
          <w:p w:rsidR="00387EC7" w:rsidRPr="00F517E2" w:rsidRDefault="00387EC7" w:rsidP="007C3F1E">
            <w:pPr>
              <w:pStyle w:val="Lagtext"/>
            </w:pPr>
          </w:p>
        </w:tc>
      </w:tr>
      <w:tr w:rsidR="00387EC7" w:rsidRPr="00F517E2" w:rsidTr="00387EC7">
        <w:tblPrEx>
          <w:tblCellMar>
            <w:top w:w="0" w:type="dxa"/>
            <w:bottom w:w="0" w:type="dxa"/>
          </w:tblCellMar>
        </w:tblPrEx>
        <w:tc>
          <w:tcPr>
            <w:tcW w:w="6180" w:type="dxa"/>
            <w:gridSpan w:val="2"/>
          </w:tcPr>
          <w:p w:rsidR="00387EC7" w:rsidRPr="00F517E2" w:rsidRDefault="00387EC7" w:rsidP="00387EC7">
            <w:pPr>
              <w:pStyle w:val="Lagtext"/>
              <w:jc w:val="center"/>
            </w:pPr>
            <w:r w:rsidRPr="00F517E2">
              <w:t>16 §</w:t>
            </w:r>
            <w:r w:rsidRPr="00F517E2">
              <w:rPr>
                <w:rStyle w:val="Fotnotsreferens"/>
                <w:sz w:val="24"/>
                <w:szCs w:val="24"/>
              </w:rPr>
              <w:footnoteReference w:id="2"/>
            </w:r>
          </w:p>
        </w:tc>
      </w:tr>
      <w:tr w:rsidR="00387EC7" w:rsidRPr="00F517E2" w:rsidTr="00387EC7">
        <w:tblPrEx>
          <w:tblCellMar>
            <w:top w:w="0" w:type="dxa"/>
            <w:bottom w:w="0" w:type="dxa"/>
          </w:tblCellMar>
        </w:tblPrEx>
        <w:tc>
          <w:tcPr>
            <w:tcW w:w="3090" w:type="dxa"/>
          </w:tcPr>
          <w:p w:rsidR="00387EC7" w:rsidRPr="00F517E2" w:rsidRDefault="00387EC7" w:rsidP="00387EC7">
            <w:pPr>
              <w:pStyle w:val="LagtextIndrag"/>
            </w:pPr>
            <w:r w:rsidRPr="00F517E2">
              <w:rPr>
                <w:i/>
              </w:rPr>
              <w:t xml:space="preserve">Riksdagens arvodesnämnd får </w:t>
            </w:r>
            <w:r w:rsidRPr="00F517E2">
              <w:t>b</w:t>
            </w:r>
            <w:r w:rsidRPr="00F517E2">
              <w:t>e</w:t>
            </w:r>
            <w:r w:rsidRPr="00F517E2">
              <w:t>sluta att rätt till inkomstgaranti inte föreligger eller att utbetalnin</w:t>
            </w:r>
            <w:r w:rsidRPr="00F517E2">
              <w:t>g</w:t>
            </w:r>
            <w:r w:rsidRPr="00F517E2">
              <w:t xml:space="preserve">en av inkomstgarantin </w:t>
            </w:r>
            <w:r w:rsidRPr="00F517E2">
              <w:rPr>
                <w:i/>
              </w:rPr>
              <w:t>skall</w:t>
            </w:r>
            <w:r w:rsidRPr="00F517E2">
              <w:t xml:space="preserve"> minskas eller helt upphöra om en garantit</w:t>
            </w:r>
            <w:r w:rsidRPr="00F517E2">
              <w:t>a</w:t>
            </w:r>
            <w:r w:rsidRPr="00F517E2">
              <w:t>gare</w:t>
            </w:r>
          </w:p>
          <w:p w:rsidR="00387EC7" w:rsidRPr="00F517E2" w:rsidRDefault="00387EC7" w:rsidP="00387EC7">
            <w:pPr>
              <w:pStyle w:val="LagtextIndrag"/>
              <w:rPr>
                <w:i/>
              </w:rPr>
            </w:pPr>
            <w:r w:rsidRPr="00F517E2">
              <w:t>1. förvärvsarbetar i väsentlig o</w:t>
            </w:r>
            <w:r w:rsidRPr="00F517E2">
              <w:t>m</w:t>
            </w:r>
            <w:r w:rsidRPr="00F517E2">
              <w:t>fattning åt någon annan och inte tar ut skälig ersättning för detta arbete</w:t>
            </w:r>
            <w:r w:rsidRPr="00F517E2">
              <w:rPr>
                <w:i/>
              </w:rPr>
              <w:t xml:space="preserve">, eller </w:t>
            </w:r>
          </w:p>
          <w:p w:rsidR="00863448" w:rsidRPr="00F517E2" w:rsidRDefault="00863448" w:rsidP="00387EC7">
            <w:pPr>
              <w:pStyle w:val="LagtextIndrag"/>
              <w:rPr>
                <w:i/>
              </w:rPr>
            </w:pPr>
          </w:p>
          <w:p w:rsidR="00863448" w:rsidRPr="00F517E2" w:rsidRDefault="00863448" w:rsidP="00387EC7">
            <w:pPr>
              <w:pStyle w:val="LagtextIndrag"/>
              <w:rPr>
                <w:i/>
              </w:rPr>
            </w:pPr>
          </w:p>
          <w:p w:rsidR="00863448" w:rsidRPr="00F517E2" w:rsidRDefault="00863448" w:rsidP="00387EC7">
            <w:pPr>
              <w:pStyle w:val="LagtextIndrag"/>
              <w:rPr>
                <w:i/>
              </w:rPr>
            </w:pPr>
          </w:p>
          <w:p w:rsidR="00863448" w:rsidRPr="00F517E2" w:rsidRDefault="00863448" w:rsidP="00387EC7">
            <w:pPr>
              <w:pStyle w:val="LagtextIndrag"/>
              <w:rPr>
                <w:i/>
              </w:rPr>
            </w:pPr>
          </w:p>
          <w:p w:rsidR="00863448" w:rsidRPr="00F517E2" w:rsidRDefault="00863448" w:rsidP="00387EC7">
            <w:pPr>
              <w:pStyle w:val="LagtextIndrag"/>
              <w:rPr>
                <w:i/>
              </w:rPr>
            </w:pPr>
          </w:p>
          <w:p w:rsidR="00863448" w:rsidRPr="00F517E2" w:rsidRDefault="00863448" w:rsidP="00387EC7">
            <w:pPr>
              <w:pStyle w:val="LagtextIndrag"/>
              <w:rPr>
                <w:i/>
              </w:rPr>
            </w:pPr>
          </w:p>
          <w:p w:rsidR="00863448" w:rsidRPr="00F517E2" w:rsidRDefault="00863448" w:rsidP="00387EC7">
            <w:pPr>
              <w:pStyle w:val="LagtextIndrag"/>
              <w:rPr>
                <w:i/>
              </w:rPr>
            </w:pPr>
          </w:p>
          <w:p w:rsidR="00863448" w:rsidRPr="00F517E2" w:rsidRDefault="00863448" w:rsidP="00387EC7">
            <w:pPr>
              <w:pStyle w:val="LagtextIndrag"/>
              <w:rPr>
                <w:i/>
              </w:rPr>
            </w:pPr>
          </w:p>
          <w:p w:rsidR="00863448" w:rsidRPr="00F517E2" w:rsidRDefault="00863448" w:rsidP="00387EC7">
            <w:pPr>
              <w:pStyle w:val="LagtextIndrag"/>
              <w:rPr>
                <w:i/>
              </w:rPr>
            </w:pPr>
          </w:p>
          <w:p w:rsidR="00863448" w:rsidRPr="00F517E2" w:rsidRDefault="00863448" w:rsidP="00387EC7">
            <w:pPr>
              <w:pStyle w:val="LagtextIndrag"/>
              <w:rPr>
                <w:i/>
              </w:rPr>
            </w:pPr>
          </w:p>
          <w:p w:rsidR="00863448" w:rsidRPr="00F517E2" w:rsidRDefault="00863448" w:rsidP="00387EC7">
            <w:pPr>
              <w:pStyle w:val="LagtextIndrag"/>
              <w:rPr>
                <w:i/>
              </w:rPr>
            </w:pPr>
          </w:p>
          <w:p w:rsidR="00863448" w:rsidRPr="00F517E2" w:rsidRDefault="00863448" w:rsidP="00387EC7">
            <w:pPr>
              <w:pStyle w:val="LagtextIndrag"/>
              <w:rPr>
                <w:i/>
              </w:rPr>
            </w:pPr>
          </w:p>
          <w:p w:rsidR="00863448" w:rsidRPr="00F517E2" w:rsidRDefault="00863448" w:rsidP="00387EC7">
            <w:pPr>
              <w:pStyle w:val="LagtextIndrag"/>
              <w:rPr>
                <w:i/>
              </w:rPr>
            </w:pPr>
          </w:p>
          <w:p w:rsidR="00387EC7" w:rsidRPr="00F517E2" w:rsidRDefault="00387EC7" w:rsidP="00387EC7">
            <w:pPr>
              <w:pStyle w:val="LagtextIndrag"/>
            </w:pPr>
            <w:r w:rsidRPr="00F517E2">
              <w:rPr>
                <w:i/>
              </w:rPr>
              <w:t xml:space="preserve">2. </w:t>
            </w:r>
            <w:r w:rsidRPr="00F517E2">
              <w:t>dömts för brott som me</w:t>
            </w:r>
            <w:r w:rsidRPr="00F517E2">
              <w:t>d</w:t>
            </w:r>
            <w:r w:rsidRPr="00F517E2">
              <w:t>fört att garantitagaren skiljts från uppdraget som rik</w:t>
            </w:r>
            <w:r w:rsidRPr="00F517E2">
              <w:t>s</w:t>
            </w:r>
            <w:r w:rsidRPr="00F517E2">
              <w:t>dagsledamot eller dömts för brott av sådan allvarlig art att det framstår som sannolikt att garantit</w:t>
            </w:r>
            <w:r w:rsidRPr="00F517E2">
              <w:t>a</w:t>
            </w:r>
            <w:r w:rsidRPr="00F517E2">
              <w:t>garen skulle ha skiljts från uppdraget som riksdagsledamot om han eller hon hade varit kvar i rik</w:t>
            </w:r>
            <w:r w:rsidRPr="00F517E2">
              <w:t>s</w:t>
            </w:r>
            <w:r w:rsidRPr="00F517E2">
              <w:t xml:space="preserve">dagen. </w:t>
            </w:r>
          </w:p>
        </w:tc>
        <w:tc>
          <w:tcPr>
            <w:tcW w:w="3090" w:type="dxa"/>
          </w:tcPr>
          <w:p w:rsidR="00BD6226" w:rsidRPr="00F517E2" w:rsidRDefault="00BD6226" w:rsidP="00BD6226">
            <w:pPr>
              <w:pStyle w:val="LagtextIndrag"/>
            </w:pPr>
            <w:r w:rsidRPr="00F517E2">
              <w:rPr>
                <w:i/>
              </w:rPr>
              <w:t>Om det är skäligt får Rik</w:t>
            </w:r>
            <w:r w:rsidRPr="00F517E2">
              <w:rPr>
                <w:i/>
              </w:rPr>
              <w:t>s</w:t>
            </w:r>
            <w:r w:rsidRPr="00F517E2">
              <w:rPr>
                <w:i/>
              </w:rPr>
              <w:t xml:space="preserve">dagens arvodesnämnd </w:t>
            </w:r>
            <w:r w:rsidRPr="00F517E2">
              <w:t>besluta att rätt till inkomstgaranti inte föreligger eller att utbetalnin</w:t>
            </w:r>
            <w:r w:rsidRPr="00F517E2">
              <w:t>g</w:t>
            </w:r>
            <w:r w:rsidRPr="00F517E2">
              <w:t xml:space="preserve">en av inkomstgarantin </w:t>
            </w:r>
            <w:r w:rsidRPr="00F517E2">
              <w:rPr>
                <w:i/>
              </w:rPr>
              <w:t>ska</w:t>
            </w:r>
            <w:r w:rsidRPr="00F517E2">
              <w:t xml:space="preserve"> minskas eller helt upphöra om en garantitagare</w:t>
            </w:r>
          </w:p>
          <w:p w:rsidR="00BD6226" w:rsidRPr="00F517E2" w:rsidRDefault="00BD6226" w:rsidP="00BD6226">
            <w:pPr>
              <w:pStyle w:val="LagtextIndrag"/>
            </w:pPr>
            <w:r w:rsidRPr="00F517E2">
              <w:t>1. förvärvsarbetar i väsentlig o</w:t>
            </w:r>
            <w:r w:rsidRPr="00F517E2">
              <w:t>m</w:t>
            </w:r>
            <w:r w:rsidRPr="00F517E2">
              <w:t xml:space="preserve">fattning åt någon annan och inte tar ut skälig ersättning för detta arbete, </w:t>
            </w:r>
          </w:p>
          <w:p w:rsidR="00BD6226" w:rsidRPr="00F517E2" w:rsidRDefault="00BD6226" w:rsidP="00BD6226">
            <w:pPr>
              <w:pStyle w:val="LagtextIndrag"/>
              <w:rPr>
                <w:i/>
              </w:rPr>
            </w:pPr>
            <w:r w:rsidRPr="00F517E2">
              <w:rPr>
                <w:i/>
              </w:rPr>
              <w:t>2. redovisar inkomst av aktiv nä</w:t>
            </w:r>
            <w:r w:rsidRPr="00F517E2">
              <w:rPr>
                <w:i/>
              </w:rPr>
              <w:t>r</w:t>
            </w:r>
            <w:r w:rsidRPr="00F517E2">
              <w:rPr>
                <w:i/>
              </w:rPr>
              <w:t>ingsverksamhet och denna har red</w:t>
            </w:r>
            <w:r w:rsidRPr="00F517E2">
              <w:rPr>
                <w:i/>
              </w:rPr>
              <w:t>u</w:t>
            </w:r>
            <w:r w:rsidRPr="00F517E2">
              <w:rPr>
                <w:i/>
              </w:rPr>
              <w:t xml:space="preserve">cerats på grund av avdrag för </w:t>
            </w:r>
          </w:p>
          <w:p w:rsidR="00DF7DF0" w:rsidRPr="00F517E2" w:rsidRDefault="00D16DE2" w:rsidP="00EC24B9">
            <w:pPr>
              <w:pStyle w:val="LagtextIndrag"/>
              <w:ind w:left="29" w:firstLine="0"/>
              <w:rPr>
                <w:i/>
              </w:rPr>
            </w:pPr>
            <w:r w:rsidRPr="00F517E2">
              <w:rPr>
                <w:i/>
              </w:rPr>
              <w:t xml:space="preserve">– </w:t>
            </w:r>
            <w:r w:rsidR="00BD6226" w:rsidRPr="00F517E2">
              <w:rPr>
                <w:i/>
              </w:rPr>
              <w:t>avsättning till periodisering</w:t>
            </w:r>
            <w:r w:rsidR="00BD6226" w:rsidRPr="00F517E2">
              <w:rPr>
                <w:i/>
              </w:rPr>
              <w:t>s</w:t>
            </w:r>
            <w:r w:rsidR="00BD6226" w:rsidRPr="00F517E2">
              <w:rPr>
                <w:i/>
              </w:rPr>
              <w:t>fond,</w:t>
            </w:r>
          </w:p>
          <w:p w:rsidR="00D16DE2" w:rsidRPr="00F517E2" w:rsidRDefault="00D16DE2" w:rsidP="00EC24B9">
            <w:pPr>
              <w:pStyle w:val="LagtextIndrag"/>
              <w:ind w:left="29" w:firstLine="0"/>
              <w:rPr>
                <w:i/>
              </w:rPr>
            </w:pPr>
            <w:r w:rsidRPr="00F517E2">
              <w:rPr>
                <w:i/>
              </w:rPr>
              <w:t xml:space="preserve">– </w:t>
            </w:r>
            <w:r w:rsidR="00BD6226" w:rsidRPr="00F517E2">
              <w:rPr>
                <w:i/>
              </w:rPr>
              <w:t>avsättning till upphovsmannako</w:t>
            </w:r>
            <w:r w:rsidR="00BD6226" w:rsidRPr="00F517E2">
              <w:rPr>
                <w:i/>
              </w:rPr>
              <w:t>n</w:t>
            </w:r>
            <w:r w:rsidR="00BD6226" w:rsidRPr="00F517E2">
              <w:rPr>
                <w:i/>
              </w:rPr>
              <w:t>to,</w:t>
            </w:r>
          </w:p>
          <w:p w:rsidR="00DF7DF0" w:rsidRPr="00F517E2" w:rsidRDefault="00DF7DF0" w:rsidP="00EC24B9">
            <w:pPr>
              <w:pStyle w:val="LagtextIndrag"/>
              <w:ind w:left="29" w:firstLine="0"/>
              <w:rPr>
                <w:i/>
              </w:rPr>
            </w:pPr>
            <w:r w:rsidRPr="00F517E2">
              <w:rPr>
                <w:i/>
              </w:rPr>
              <w:t xml:space="preserve">– </w:t>
            </w:r>
            <w:r w:rsidR="00BD6226" w:rsidRPr="00F517E2">
              <w:rPr>
                <w:i/>
              </w:rPr>
              <w:t>avsättning till expansion</w:t>
            </w:r>
            <w:r w:rsidR="00BD6226" w:rsidRPr="00F517E2">
              <w:rPr>
                <w:i/>
              </w:rPr>
              <w:t>s</w:t>
            </w:r>
            <w:r w:rsidR="00BD6226" w:rsidRPr="00F517E2">
              <w:rPr>
                <w:i/>
              </w:rPr>
              <w:t>fond</w:t>
            </w:r>
          </w:p>
          <w:p w:rsidR="00DF7DF0" w:rsidRPr="00F517E2" w:rsidRDefault="00DF7DF0" w:rsidP="00EC24B9">
            <w:pPr>
              <w:pStyle w:val="LagtextIndrag"/>
              <w:ind w:left="29" w:firstLine="0"/>
              <w:rPr>
                <w:i/>
              </w:rPr>
            </w:pPr>
            <w:r w:rsidRPr="00F517E2">
              <w:rPr>
                <w:i/>
              </w:rPr>
              <w:t xml:space="preserve">– </w:t>
            </w:r>
            <w:r w:rsidR="00BD6226" w:rsidRPr="00F517E2">
              <w:rPr>
                <w:i/>
              </w:rPr>
              <w:t xml:space="preserve">eget pensionssparande, </w:t>
            </w:r>
          </w:p>
          <w:p w:rsidR="00BD6226" w:rsidRPr="00F517E2" w:rsidRDefault="00DF7DF0" w:rsidP="00EC24B9">
            <w:pPr>
              <w:pStyle w:val="LagtextIndrag"/>
              <w:ind w:left="29" w:firstLine="0"/>
              <w:rPr>
                <w:i/>
              </w:rPr>
            </w:pPr>
            <w:r w:rsidRPr="00F517E2">
              <w:rPr>
                <w:i/>
              </w:rPr>
              <w:t xml:space="preserve">– </w:t>
            </w:r>
            <w:r w:rsidR="00BD6226" w:rsidRPr="00F517E2">
              <w:rPr>
                <w:i/>
              </w:rPr>
              <w:t>underskott av annan verksamhet</w:t>
            </w:r>
            <w:r w:rsidR="00BD6226" w:rsidRPr="00F517E2">
              <w:rPr>
                <w:i/>
              </w:rPr>
              <w:t>s</w:t>
            </w:r>
            <w:r w:rsidR="00BD6226" w:rsidRPr="00F517E2">
              <w:rPr>
                <w:i/>
              </w:rPr>
              <w:t>gren,</w:t>
            </w:r>
          </w:p>
          <w:p w:rsidR="00BD6226" w:rsidRPr="00F517E2" w:rsidRDefault="00BD6226" w:rsidP="00BD6226">
            <w:pPr>
              <w:pStyle w:val="LagtextIndrag"/>
              <w:rPr>
                <w:i/>
              </w:rPr>
            </w:pPr>
            <w:r w:rsidRPr="00F517E2">
              <w:rPr>
                <w:i/>
              </w:rPr>
              <w:t>3. redovisar inkomst av passiv nä</w:t>
            </w:r>
            <w:r w:rsidRPr="00F517E2">
              <w:rPr>
                <w:i/>
              </w:rPr>
              <w:t>r</w:t>
            </w:r>
            <w:r w:rsidRPr="00F517E2">
              <w:rPr>
                <w:i/>
              </w:rPr>
              <w:t>ingsverksamhet där det ingår arbet</w:t>
            </w:r>
            <w:r w:rsidRPr="00F517E2">
              <w:rPr>
                <w:i/>
              </w:rPr>
              <w:t>s</w:t>
            </w:r>
            <w:r w:rsidRPr="00F517E2">
              <w:rPr>
                <w:i/>
              </w:rPr>
              <w:t xml:space="preserve">inkomster, eller </w:t>
            </w:r>
          </w:p>
          <w:p w:rsidR="00387EC7" w:rsidRPr="00F517E2" w:rsidRDefault="00BD6226" w:rsidP="00387EC7">
            <w:pPr>
              <w:pStyle w:val="LagtextIndrag"/>
            </w:pPr>
            <w:r w:rsidRPr="00F517E2">
              <w:rPr>
                <w:i/>
              </w:rPr>
              <w:t xml:space="preserve">4. </w:t>
            </w:r>
            <w:r w:rsidRPr="00F517E2">
              <w:t>dömts för brott som medfört att garantitagaren skiljts från uppdraget som riksdagsled</w:t>
            </w:r>
            <w:r w:rsidRPr="00F517E2">
              <w:t>a</w:t>
            </w:r>
            <w:r w:rsidRPr="00F517E2">
              <w:t>mot eller dömts för brott av sådan allvarlig art att det framstår som sannolikt att garantit</w:t>
            </w:r>
            <w:r w:rsidRPr="00F517E2">
              <w:t>a</w:t>
            </w:r>
            <w:r w:rsidRPr="00F517E2">
              <w:t>garen skulle ha skiljts från uppdraget som riksdagsled</w:t>
            </w:r>
            <w:r w:rsidRPr="00F517E2">
              <w:t>a</w:t>
            </w:r>
            <w:r w:rsidRPr="00F517E2">
              <w:t xml:space="preserve">mot om han eller hon hade varit kvar i riksdagen. </w:t>
            </w:r>
          </w:p>
        </w:tc>
      </w:tr>
      <w:tr w:rsidR="00F7483C" w:rsidRPr="00F517E2" w:rsidTr="00BD6226">
        <w:tblPrEx>
          <w:tblCellMar>
            <w:top w:w="0" w:type="dxa"/>
            <w:bottom w:w="0" w:type="dxa"/>
          </w:tblCellMar>
        </w:tblPrEx>
        <w:tc>
          <w:tcPr>
            <w:tcW w:w="6180" w:type="dxa"/>
            <w:gridSpan w:val="2"/>
          </w:tcPr>
          <w:p w:rsidR="00F7483C" w:rsidRPr="00F517E2" w:rsidRDefault="00F7483C" w:rsidP="00BD6226">
            <w:pPr>
              <w:pStyle w:val="Lagtext"/>
              <w:jc w:val="center"/>
              <w:rPr>
                <w:i/>
              </w:rPr>
            </w:pPr>
          </w:p>
        </w:tc>
      </w:tr>
      <w:tr w:rsidR="00BD6226" w:rsidRPr="00F517E2" w:rsidTr="00BD6226">
        <w:tblPrEx>
          <w:tblCellMar>
            <w:top w:w="0" w:type="dxa"/>
            <w:bottom w:w="0" w:type="dxa"/>
          </w:tblCellMar>
        </w:tblPrEx>
        <w:tc>
          <w:tcPr>
            <w:tcW w:w="6180" w:type="dxa"/>
            <w:gridSpan w:val="2"/>
          </w:tcPr>
          <w:p w:rsidR="00BD6226" w:rsidRPr="00F517E2" w:rsidRDefault="00BD6226" w:rsidP="00BD6226">
            <w:pPr>
              <w:pStyle w:val="Lagtext"/>
              <w:jc w:val="center"/>
              <w:rPr>
                <w:i/>
              </w:rPr>
            </w:pPr>
            <w:r w:rsidRPr="00F517E2">
              <w:rPr>
                <w:i/>
              </w:rPr>
              <w:t>24 b §</w:t>
            </w:r>
          </w:p>
        </w:tc>
      </w:tr>
      <w:tr w:rsidR="00BD6226" w:rsidRPr="00F517E2" w:rsidTr="00BD6226">
        <w:tblPrEx>
          <w:tblCellMar>
            <w:top w:w="0" w:type="dxa"/>
            <w:bottom w:w="0" w:type="dxa"/>
          </w:tblCellMar>
        </w:tblPrEx>
        <w:tc>
          <w:tcPr>
            <w:tcW w:w="3090" w:type="dxa"/>
          </w:tcPr>
          <w:p w:rsidR="00BD6226" w:rsidRPr="00F517E2" w:rsidRDefault="00BD6226" w:rsidP="00BD6226">
            <w:pPr>
              <w:pStyle w:val="LagtextIndrag"/>
            </w:pPr>
          </w:p>
        </w:tc>
        <w:tc>
          <w:tcPr>
            <w:tcW w:w="3090" w:type="dxa"/>
          </w:tcPr>
          <w:p w:rsidR="00BD6226" w:rsidRPr="00F517E2" w:rsidRDefault="00BD6226" w:rsidP="00BD6226">
            <w:pPr>
              <w:pStyle w:val="LagtextIndrag"/>
            </w:pPr>
            <w:r w:rsidRPr="00F517E2">
              <w:rPr>
                <w:i/>
              </w:rPr>
              <w:t>En garantitagare ska på beg</w:t>
            </w:r>
            <w:r w:rsidRPr="00F517E2">
              <w:rPr>
                <w:i/>
              </w:rPr>
              <w:t>ä</w:t>
            </w:r>
            <w:r w:rsidRPr="00F517E2">
              <w:rPr>
                <w:i/>
              </w:rPr>
              <w:t>ran lämna Riksdagens arvodesnämnd sådana uppgifter som nämnden b</w:t>
            </w:r>
            <w:r w:rsidRPr="00F517E2">
              <w:rPr>
                <w:i/>
              </w:rPr>
              <w:t>e</w:t>
            </w:r>
            <w:r w:rsidRPr="00F517E2">
              <w:rPr>
                <w:i/>
              </w:rPr>
              <w:t>höver för sin prö</w:t>
            </w:r>
            <w:r w:rsidRPr="00F517E2">
              <w:rPr>
                <w:i/>
              </w:rPr>
              <w:t>v</w:t>
            </w:r>
            <w:r w:rsidRPr="00F517E2">
              <w:rPr>
                <w:i/>
              </w:rPr>
              <w:t>ning av ett ärende om jämkning av inkomstgaranti enligt 16 § 1</w:t>
            </w:r>
            <w:r w:rsidR="00D84EF4" w:rsidRPr="00F517E2">
              <w:rPr>
                <w:i/>
              </w:rPr>
              <w:t>–</w:t>
            </w:r>
            <w:r w:rsidRPr="00F517E2">
              <w:rPr>
                <w:i/>
              </w:rPr>
              <w:t>3.</w:t>
            </w:r>
          </w:p>
        </w:tc>
      </w:tr>
      <w:tr w:rsidR="00F7483C" w:rsidRPr="00F517E2" w:rsidTr="00BD6226">
        <w:tblPrEx>
          <w:tblCellMar>
            <w:top w:w="0" w:type="dxa"/>
            <w:bottom w:w="0" w:type="dxa"/>
          </w:tblCellMar>
        </w:tblPrEx>
        <w:tc>
          <w:tcPr>
            <w:tcW w:w="6180" w:type="dxa"/>
            <w:gridSpan w:val="2"/>
          </w:tcPr>
          <w:p w:rsidR="00F7483C" w:rsidRPr="00F517E2" w:rsidRDefault="00F7483C" w:rsidP="00BD6226">
            <w:pPr>
              <w:pStyle w:val="Lagtext"/>
              <w:jc w:val="center"/>
              <w:rPr>
                <w:i/>
              </w:rPr>
            </w:pPr>
          </w:p>
        </w:tc>
      </w:tr>
      <w:tr w:rsidR="00BD6226" w:rsidRPr="00F517E2" w:rsidTr="00BD6226">
        <w:tblPrEx>
          <w:tblCellMar>
            <w:top w:w="0" w:type="dxa"/>
            <w:bottom w:w="0" w:type="dxa"/>
          </w:tblCellMar>
        </w:tblPrEx>
        <w:tc>
          <w:tcPr>
            <w:tcW w:w="6180" w:type="dxa"/>
            <w:gridSpan w:val="2"/>
          </w:tcPr>
          <w:p w:rsidR="00BD6226" w:rsidRPr="00F517E2" w:rsidRDefault="00BD6226" w:rsidP="00BD6226">
            <w:pPr>
              <w:pStyle w:val="Lagtext"/>
              <w:jc w:val="center"/>
              <w:rPr>
                <w:i/>
              </w:rPr>
            </w:pPr>
            <w:r w:rsidRPr="00F517E2">
              <w:rPr>
                <w:i/>
              </w:rPr>
              <w:t>24 c §</w:t>
            </w:r>
          </w:p>
        </w:tc>
      </w:tr>
      <w:tr w:rsidR="00BD6226" w:rsidRPr="00F517E2" w:rsidTr="00BD6226">
        <w:tblPrEx>
          <w:tblCellMar>
            <w:top w:w="0" w:type="dxa"/>
            <w:bottom w:w="0" w:type="dxa"/>
          </w:tblCellMar>
        </w:tblPrEx>
        <w:tc>
          <w:tcPr>
            <w:tcW w:w="3090" w:type="dxa"/>
          </w:tcPr>
          <w:p w:rsidR="00BD6226" w:rsidRPr="00F517E2" w:rsidRDefault="00BD6226" w:rsidP="00BD6226">
            <w:pPr>
              <w:pStyle w:val="LagtextIndrag"/>
            </w:pPr>
          </w:p>
        </w:tc>
        <w:tc>
          <w:tcPr>
            <w:tcW w:w="3090" w:type="dxa"/>
          </w:tcPr>
          <w:p w:rsidR="00BD6226" w:rsidRPr="00F517E2" w:rsidRDefault="00BD6226" w:rsidP="00BD6226">
            <w:pPr>
              <w:pStyle w:val="LagtextIndrag"/>
            </w:pPr>
            <w:r w:rsidRPr="00F517E2">
              <w:rPr>
                <w:i/>
              </w:rPr>
              <w:t>Skatteverket ska på begäran lämna Riksdagens arvode</w:t>
            </w:r>
            <w:r w:rsidRPr="00F517E2">
              <w:rPr>
                <w:i/>
              </w:rPr>
              <w:t>s</w:t>
            </w:r>
            <w:r w:rsidRPr="00F517E2">
              <w:rPr>
                <w:i/>
              </w:rPr>
              <w:t>nämnd sådana uppgifter om namngiven person som har betydelse i ett ärende om jäm</w:t>
            </w:r>
            <w:r w:rsidRPr="00F517E2">
              <w:rPr>
                <w:i/>
              </w:rPr>
              <w:t>k</w:t>
            </w:r>
            <w:r w:rsidRPr="00F517E2">
              <w:rPr>
                <w:i/>
              </w:rPr>
              <w:t>ning av inkomstgaranti enligt 16 § 1</w:t>
            </w:r>
            <w:r w:rsidR="00D84EF4" w:rsidRPr="00F517E2">
              <w:rPr>
                <w:i/>
              </w:rPr>
              <w:t>–</w:t>
            </w:r>
            <w:r w:rsidRPr="00F517E2">
              <w:rPr>
                <w:i/>
              </w:rPr>
              <w:t>3. De</w:t>
            </w:r>
            <w:r w:rsidRPr="00F517E2">
              <w:rPr>
                <w:i/>
              </w:rPr>
              <w:t>t</w:t>
            </w:r>
            <w:r w:rsidRPr="00F517E2">
              <w:rPr>
                <w:i/>
              </w:rPr>
              <w:t>samma gäller uppgifter som har betydelse för frågan om inkoms</w:t>
            </w:r>
            <w:r w:rsidRPr="00F517E2">
              <w:rPr>
                <w:i/>
              </w:rPr>
              <w:t>t</w:t>
            </w:r>
            <w:r w:rsidRPr="00F517E2">
              <w:rPr>
                <w:i/>
              </w:rPr>
              <w:t>garanti enligt 27 §.</w:t>
            </w:r>
          </w:p>
        </w:tc>
      </w:tr>
      <w:tr w:rsidR="00BC035B" w:rsidRPr="00F517E2" w:rsidTr="00573A5C">
        <w:tblPrEx>
          <w:tblCellMar>
            <w:top w:w="0" w:type="dxa"/>
            <w:bottom w:w="0" w:type="dxa"/>
          </w:tblCellMar>
        </w:tblPrEx>
        <w:tc>
          <w:tcPr>
            <w:tcW w:w="3090" w:type="dxa"/>
            <w:vAlign w:val="center"/>
          </w:tcPr>
          <w:p w:rsidR="00BC035B" w:rsidRPr="00F517E2" w:rsidRDefault="00BC035B" w:rsidP="00573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left"/>
              <w:rPr>
                <w:b/>
                <w:color w:val="000000"/>
                <w:szCs w:val="19"/>
              </w:rPr>
            </w:pPr>
            <w:r w:rsidRPr="00F517E2">
              <w:rPr>
                <w:b/>
                <w:color w:val="000000"/>
                <w:szCs w:val="19"/>
              </w:rPr>
              <w:t>Ansökan om inkomstgara</w:t>
            </w:r>
            <w:r w:rsidRPr="00F517E2">
              <w:rPr>
                <w:b/>
                <w:color w:val="000000"/>
                <w:szCs w:val="19"/>
              </w:rPr>
              <w:t>n</w:t>
            </w:r>
            <w:r w:rsidRPr="00F517E2">
              <w:rPr>
                <w:b/>
                <w:color w:val="000000"/>
                <w:szCs w:val="19"/>
              </w:rPr>
              <w:t>ti efter jämkningsbeslut</w:t>
            </w:r>
          </w:p>
          <w:p w:rsidR="00BC035B" w:rsidRPr="00F517E2" w:rsidRDefault="00BC035B" w:rsidP="00573A5C">
            <w:pPr>
              <w:pStyle w:val="LagtextIndrag"/>
              <w:jc w:val="left"/>
            </w:pPr>
          </w:p>
        </w:tc>
        <w:tc>
          <w:tcPr>
            <w:tcW w:w="3090" w:type="dxa"/>
            <w:vAlign w:val="center"/>
          </w:tcPr>
          <w:p w:rsidR="00BC035B" w:rsidRPr="00F517E2" w:rsidRDefault="00573A5C" w:rsidP="00573A5C">
            <w:pPr>
              <w:pStyle w:val="Lagtext"/>
              <w:jc w:val="left"/>
              <w:rPr>
                <w:b/>
                <w:color w:val="000000"/>
                <w:szCs w:val="19"/>
              </w:rPr>
            </w:pPr>
            <w:r w:rsidRPr="00F517E2">
              <w:rPr>
                <w:b/>
                <w:color w:val="000000"/>
                <w:szCs w:val="19"/>
              </w:rPr>
              <w:t xml:space="preserve">Ansökan om inkomstgaranti </w:t>
            </w:r>
            <w:r w:rsidR="004411DE" w:rsidRPr="00F517E2">
              <w:rPr>
                <w:b/>
                <w:i/>
                <w:color w:val="000000"/>
                <w:szCs w:val="19"/>
              </w:rPr>
              <w:t>m.m.</w:t>
            </w:r>
            <w:r w:rsidR="004411DE" w:rsidRPr="00F517E2">
              <w:rPr>
                <w:b/>
                <w:color w:val="000000"/>
                <w:szCs w:val="19"/>
              </w:rPr>
              <w:t xml:space="preserve"> </w:t>
            </w:r>
            <w:r w:rsidRPr="00F517E2">
              <w:rPr>
                <w:b/>
                <w:color w:val="000000"/>
                <w:szCs w:val="19"/>
              </w:rPr>
              <w:t>e</w:t>
            </w:r>
            <w:r w:rsidRPr="00F517E2">
              <w:rPr>
                <w:b/>
                <w:color w:val="000000"/>
                <w:szCs w:val="19"/>
              </w:rPr>
              <w:t>f</w:t>
            </w:r>
            <w:r w:rsidRPr="00F517E2">
              <w:rPr>
                <w:b/>
                <w:color w:val="000000"/>
                <w:szCs w:val="19"/>
              </w:rPr>
              <w:t>ter jämkningsbeslut</w:t>
            </w:r>
          </w:p>
          <w:p w:rsidR="00573A5C" w:rsidRPr="00F517E2" w:rsidRDefault="00573A5C" w:rsidP="00573A5C">
            <w:pPr>
              <w:pStyle w:val="Lagtext"/>
              <w:jc w:val="left"/>
              <w:rPr>
                <w:b/>
                <w:bCs/>
                <w:i/>
                <w:iCs/>
              </w:rPr>
            </w:pPr>
          </w:p>
        </w:tc>
      </w:tr>
      <w:tr w:rsidR="00F7483C" w:rsidRPr="00F517E2" w:rsidTr="00573A5C">
        <w:tblPrEx>
          <w:tblCellMar>
            <w:top w:w="0" w:type="dxa"/>
            <w:bottom w:w="0" w:type="dxa"/>
          </w:tblCellMar>
        </w:tblPrEx>
        <w:tc>
          <w:tcPr>
            <w:tcW w:w="6180" w:type="dxa"/>
            <w:gridSpan w:val="2"/>
          </w:tcPr>
          <w:p w:rsidR="00F7483C" w:rsidRPr="00F517E2" w:rsidRDefault="00F7483C" w:rsidP="00573A5C">
            <w:pPr>
              <w:pStyle w:val="Lagtext"/>
              <w:jc w:val="center"/>
            </w:pPr>
          </w:p>
        </w:tc>
      </w:tr>
      <w:tr w:rsidR="00573A5C" w:rsidRPr="00F517E2" w:rsidTr="00573A5C">
        <w:tblPrEx>
          <w:tblCellMar>
            <w:top w:w="0" w:type="dxa"/>
            <w:bottom w:w="0" w:type="dxa"/>
          </w:tblCellMar>
        </w:tblPrEx>
        <w:tc>
          <w:tcPr>
            <w:tcW w:w="6180" w:type="dxa"/>
            <w:gridSpan w:val="2"/>
          </w:tcPr>
          <w:p w:rsidR="00573A5C" w:rsidRPr="00F517E2" w:rsidRDefault="00573A5C" w:rsidP="00573A5C">
            <w:pPr>
              <w:pStyle w:val="Lagtext"/>
              <w:jc w:val="center"/>
            </w:pPr>
            <w:r w:rsidRPr="00F517E2">
              <w:t>27 §</w:t>
            </w:r>
            <w:r w:rsidRPr="00F517E2">
              <w:rPr>
                <w:rStyle w:val="Fotnotsreferens"/>
                <w:sz w:val="24"/>
                <w:szCs w:val="24"/>
              </w:rPr>
              <w:footnoteReference w:id="3"/>
            </w:r>
          </w:p>
        </w:tc>
      </w:tr>
      <w:tr w:rsidR="00573A5C" w:rsidRPr="00F517E2" w:rsidTr="00573A5C">
        <w:tblPrEx>
          <w:tblCellMar>
            <w:top w:w="0" w:type="dxa"/>
            <w:bottom w:w="0" w:type="dxa"/>
          </w:tblCellMar>
        </w:tblPrEx>
        <w:tc>
          <w:tcPr>
            <w:tcW w:w="6180" w:type="dxa"/>
            <w:gridSpan w:val="2"/>
          </w:tcPr>
          <w:p w:rsidR="00573A5C" w:rsidRPr="00F517E2" w:rsidRDefault="00573A5C" w:rsidP="00573A5C">
            <w:pPr>
              <w:pStyle w:val="Normaltindrag"/>
            </w:pPr>
            <w:r w:rsidRPr="00F517E2">
              <w:t>En garantitagare, vars rätt till inkomstgaranti har jämkats enligt 16 §, äger rätt att när nya förhållanden inträtt på nytt ansöka om inkomstgaranti. En sådan ansökan prövas av Riksdagens arvodesnämnd..</w:t>
            </w:r>
          </w:p>
        </w:tc>
      </w:tr>
      <w:tr w:rsidR="00573A5C" w:rsidRPr="00F517E2" w:rsidTr="00573A5C">
        <w:tblPrEx>
          <w:tblCellMar>
            <w:top w:w="0" w:type="dxa"/>
            <w:bottom w:w="0" w:type="dxa"/>
          </w:tblCellMar>
        </w:tblPrEx>
        <w:tc>
          <w:tcPr>
            <w:tcW w:w="3090" w:type="dxa"/>
          </w:tcPr>
          <w:p w:rsidR="00573A5C" w:rsidRPr="00F517E2" w:rsidRDefault="00573A5C" w:rsidP="00573A5C">
            <w:pPr>
              <w:pStyle w:val="LagtextIndrag"/>
            </w:pPr>
          </w:p>
          <w:p w:rsidR="00573A5C" w:rsidRPr="00F517E2" w:rsidRDefault="00573A5C" w:rsidP="00573A5C">
            <w:pPr>
              <w:pStyle w:val="LagtextIndrag"/>
            </w:pPr>
          </w:p>
        </w:tc>
        <w:tc>
          <w:tcPr>
            <w:tcW w:w="3090" w:type="dxa"/>
          </w:tcPr>
          <w:p w:rsidR="00573A5C" w:rsidRPr="00F517E2" w:rsidRDefault="00573A5C" w:rsidP="00573A5C">
            <w:pPr>
              <w:pStyle w:val="LagtextIndrag"/>
              <w:rPr>
                <w:i/>
              </w:rPr>
            </w:pPr>
            <w:r w:rsidRPr="00F517E2">
              <w:rPr>
                <w:i/>
              </w:rPr>
              <w:t>Om ett beslut som fattats med ti</w:t>
            </w:r>
            <w:r w:rsidRPr="00F517E2">
              <w:rPr>
                <w:i/>
              </w:rPr>
              <w:t>l</w:t>
            </w:r>
            <w:r w:rsidRPr="00F517E2">
              <w:rPr>
                <w:i/>
              </w:rPr>
              <w:t>lämpning av 16 § har gru</w:t>
            </w:r>
            <w:r w:rsidRPr="00F517E2">
              <w:rPr>
                <w:i/>
              </w:rPr>
              <w:t>n</w:t>
            </w:r>
            <w:r w:rsidRPr="00F517E2">
              <w:rPr>
                <w:i/>
              </w:rPr>
              <w:t>dat sig på att garantit</w:t>
            </w:r>
            <w:r w:rsidRPr="00F517E2">
              <w:rPr>
                <w:i/>
              </w:rPr>
              <w:t>a</w:t>
            </w:r>
            <w:r w:rsidRPr="00F517E2">
              <w:rPr>
                <w:i/>
              </w:rPr>
              <w:t>garen gjort avsättning till periodiseringsfond, upphovsma</w:t>
            </w:r>
            <w:r w:rsidRPr="00F517E2">
              <w:rPr>
                <w:i/>
              </w:rPr>
              <w:t>n</w:t>
            </w:r>
            <w:r w:rsidRPr="00F517E2">
              <w:rPr>
                <w:i/>
              </w:rPr>
              <w:t>nakonto eller expansionsfond och beloppet därefter helt eller delvis återförts till beskattning, ska Riksd</w:t>
            </w:r>
            <w:r w:rsidRPr="00F517E2">
              <w:rPr>
                <w:i/>
              </w:rPr>
              <w:t>a</w:t>
            </w:r>
            <w:r w:rsidRPr="00F517E2">
              <w:rPr>
                <w:i/>
              </w:rPr>
              <w:t>gens arvodesnämnd på yrkande av garant</w:t>
            </w:r>
            <w:r w:rsidRPr="00F517E2">
              <w:rPr>
                <w:i/>
              </w:rPr>
              <w:t>i</w:t>
            </w:r>
            <w:r w:rsidRPr="00F517E2">
              <w:rPr>
                <w:i/>
              </w:rPr>
              <w:t>tagaren pröva frågan om inkomstgaranti för det år då återf</w:t>
            </w:r>
            <w:r w:rsidRPr="00F517E2">
              <w:rPr>
                <w:i/>
              </w:rPr>
              <w:t>ö</w:t>
            </w:r>
            <w:r w:rsidRPr="00F517E2">
              <w:rPr>
                <w:i/>
              </w:rPr>
              <w:t>randet ske</w:t>
            </w:r>
            <w:r w:rsidRPr="00F517E2">
              <w:rPr>
                <w:i/>
              </w:rPr>
              <w:t>d</w:t>
            </w:r>
            <w:r w:rsidRPr="00F517E2">
              <w:rPr>
                <w:i/>
              </w:rPr>
              <w:t>de.</w:t>
            </w:r>
          </w:p>
        </w:tc>
      </w:tr>
    </w:tbl>
    <w:p w:rsidR="007C3F1E" w:rsidRPr="00F517E2" w:rsidRDefault="00D84EF4" w:rsidP="007A056D">
      <w:r w:rsidRPr="00F517E2">
        <w:t>___________</w:t>
      </w:r>
    </w:p>
    <w:p w:rsidR="007C3F1E" w:rsidRPr="00F517E2" w:rsidRDefault="00D84EF4" w:rsidP="00D84EF4">
      <w:pPr>
        <w:pStyle w:val="Normaltindrag"/>
      </w:pPr>
      <w:r w:rsidRPr="00F517E2">
        <w:t>1. Denna lag träder i kraft den 1 januari 2011.</w:t>
      </w:r>
    </w:p>
    <w:p w:rsidR="00D84EF4" w:rsidRPr="00F517E2" w:rsidRDefault="00D84EF4" w:rsidP="00D84EF4">
      <w:pPr>
        <w:pStyle w:val="Normaltindrag"/>
      </w:pPr>
      <w:r w:rsidRPr="00F517E2">
        <w:t>2. 13 kap. 16 §</w:t>
      </w:r>
      <w:r w:rsidR="00B31DE0" w:rsidRPr="00F517E2">
        <w:t xml:space="preserve"> i dess nya lydelse tillämpas första gången för </w:t>
      </w:r>
      <w:r w:rsidR="003C620A" w:rsidRPr="00F517E2">
        <w:t xml:space="preserve">det </w:t>
      </w:r>
      <w:r w:rsidR="00B31DE0" w:rsidRPr="00F517E2">
        <w:t>räke</w:t>
      </w:r>
      <w:r w:rsidR="00B31DE0" w:rsidRPr="00F517E2">
        <w:t>n</w:t>
      </w:r>
      <w:r w:rsidR="00B31DE0" w:rsidRPr="00F517E2">
        <w:t>skapsår som inleds närmast efter den 31 december 2010.</w:t>
      </w:r>
    </w:p>
    <w:p w:rsidR="007A056D" w:rsidRPr="00F517E2" w:rsidRDefault="00BD6226" w:rsidP="007C373A">
      <w:pPr>
        <w:pStyle w:val="Rubrik2"/>
      </w:pPr>
      <w:r w:rsidRPr="00F517E2">
        <w:br w:type="page"/>
      </w:r>
      <w:bookmarkStart w:id="15" w:name="_Toc277831108"/>
      <w:r w:rsidR="007A056D" w:rsidRPr="00F517E2">
        <w:t xml:space="preserve">Förslag till lag om ändring i </w:t>
      </w:r>
      <w:r w:rsidR="006618DE" w:rsidRPr="00F517E2">
        <w:t xml:space="preserve">övergångsbestämmelserna till den upphävda </w:t>
      </w:r>
      <w:r w:rsidR="007A056D" w:rsidRPr="00F517E2">
        <w:t>lagen (1996:304) om arvode m.m. till Sveriges ledamöter av Europaparl</w:t>
      </w:r>
      <w:r w:rsidR="007A056D" w:rsidRPr="00F517E2">
        <w:t>a</w:t>
      </w:r>
      <w:r w:rsidR="007A056D" w:rsidRPr="00F517E2">
        <w:t>mentet</w:t>
      </w:r>
      <w:bookmarkEnd w:id="15"/>
    </w:p>
    <w:p w:rsidR="007A056D" w:rsidRPr="00F517E2" w:rsidRDefault="007A056D" w:rsidP="0004410A">
      <w:r w:rsidRPr="00F517E2">
        <w:t xml:space="preserve">Härigenom föreskrivs i fråga om </w:t>
      </w:r>
      <w:r w:rsidR="006618DE" w:rsidRPr="00F517E2">
        <w:t>den up</w:t>
      </w:r>
      <w:r w:rsidR="006618DE" w:rsidRPr="00F517E2">
        <w:t>p</w:t>
      </w:r>
      <w:r w:rsidR="006618DE" w:rsidRPr="00F517E2">
        <w:t xml:space="preserve">hävda </w:t>
      </w:r>
      <w:r w:rsidRPr="00F517E2">
        <w:t>lagen (1996:304) om arvode m.m. till Sveriges ledamöter av Europaparlamentet</w:t>
      </w:r>
      <w:r w:rsidR="00F16ADD" w:rsidRPr="00F517E2">
        <w:t xml:space="preserve"> </w:t>
      </w:r>
      <w:r w:rsidRPr="00F517E2">
        <w:t xml:space="preserve">att </w:t>
      </w:r>
      <w:r w:rsidR="006618DE" w:rsidRPr="00F517E2">
        <w:t>övergångsbestämme</w:t>
      </w:r>
      <w:r w:rsidR="006618DE" w:rsidRPr="00F517E2">
        <w:t>l</w:t>
      </w:r>
      <w:r w:rsidR="006618DE" w:rsidRPr="00F517E2">
        <w:t>serna till lagen får ett tillägg av</w:t>
      </w:r>
      <w:r w:rsidRPr="00F517E2">
        <w:t xml:space="preserve"> följande lydelse</w:t>
      </w:r>
      <w:r w:rsidR="006618DE" w:rsidRPr="00F517E2">
        <w:t>.</w:t>
      </w:r>
    </w:p>
    <w:p w:rsidR="006618DE" w:rsidRPr="00F517E2" w:rsidRDefault="006618DE" w:rsidP="006618DE">
      <w:pPr>
        <w:pStyle w:val="Normaltindrag"/>
      </w:pPr>
    </w:p>
    <w:p w:rsidR="006618DE" w:rsidRPr="00F517E2" w:rsidRDefault="006618DE" w:rsidP="006618DE">
      <w:pPr>
        <w:pStyle w:val="Normaltindrag"/>
      </w:pPr>
      <w:r w:rsidRPr="00F517E2">
        <w:t xml:space="preserve">I fråga om jämkning av inkomstgaranti ska dock bestämmelserna i lagen (1994:1065) om ekonomiska villkor för riksdagens ledamöter gälla </w:t>
      </w:r>
      <w:r w:rsidR="00D84EF4" w:rsidRPr="00F517E2">
        <w:t xml:space="preserve">i </w:t>
      </w:r>
      <w:r w:rsidRPr="00F517E2">
        <w:t>tilläm</w:t>
      </w:r>
      <w:r w:rsidRPr="00F517E2">
        <w:t>p</w:t>
      </w:r>
      <w:r w:rsidRPr="00F517E2">
        <w:t>liga delar.</w:t>
      </w:r>
    </w:p>
    <w:p w:rsidR="006618DE" w:rsidRPr="00F517E2" w:rsidRDefault="006618DE" w:rsidP="006618DE">
      <w:pPr>
        <w:pStyle w:val="Normaltindrag"/>
      </w:pPr>
    </w:p>
    <w:p w:rsidR="007A056D" w:rsidRPr="00F517E2" w:rsidRDefault="007A056D" w:rsidP="007A056D">
      <w:r w:rsidRPr="00F517E2">
        <w:t>Denna lag träder i kraft den 1 januari 2011.</w:t>
      </w:r>
    </w:p>
    <w:p w:rsidR="00153871" w:rsidRPr="00F517E2" w:rsidRDefault="00153871" w:rsidP="00153871">
      <w:pPr>
        <w:pStyle w:val="Normaltindrag"/>
      </w:pPr>
    </w:p>
    <w:p w:rsidR="00153871" w:rsidRPr="00F517E2" w:rsidRDefault="00153871" w:rsidP="00153871">
      <w:pPr>
        <w:pStyle w:val="Normaltindrag"/>
        <w:sectPr w:rsidR="00153871" w:rsidRPr="00F517E2">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7A056D" w:rsidRPr="00F517E2" w:rsidRDefault="007A056D" w:rsidP="007A056D">
      <w:pPr>
        <w:pStyle w:val="Rubrik1"/>
        <w:rPr>
          <w:noProof w:val="0"/>
        </w:rPr>
      </w:pPr>
      <w:bookmarkStart w:id="16" w:name="_Toc277831109"/>
      <w:r w:rsidRPr="00F517E2">
        <w:rPr>
          <w:noProof w:val="0"/>
        </w:rPr>
        <w:t>Ärendet och dess beredning</w:t>
      </w:r>
      <w:bookmarkEnd w:id="16"/>
    </w:p>
    <w:p w:rsidR="003F1C5C" w:rsidRPr="00F517E2" w:rsidRDefault="003F1C5C" w:rsidP="005308E4">
      <w:r w:rsidRPr="00F517E2">
        <w:t xml:space="preserve">Den 21 januari 2009 beslutade Riksdagens arvodesnämnd att genomföra en översyn av reglerna om inkomstgaranti. Översynen </w:t>
      </w:r>
      <w:r w:rsidR="00E35F85" w:rsidRPr="00F517E2">
        <w:t>utfördes</w:t>
      </w:r>
      <w:r w:rsidRPr="00F517E2">
        <w:t xml:space="preserve"> av en arbet</w:t>
      </w:r>
      <w:r w:rsidRPr="00F517E2">
        <w:t>s</w:t>
      </w:r>
      <w:r w:rsidRPr="00F517E2">
        <w:t xml:space="preserve">grupp bestående av </w:t>
      </w:r>
      <w:r w:rsidR="00550B62" w:rsidRPr="00F517E2">
        <w:t>a</w:t>
      </w:r>
      <w:r w:rsidRPr="00F517E2">
        <w:t>rvodesnämndens ordförande f.d. hovrättspres</w:t>
      </w:r>
      <w:r w:rsidRPr="00F517E2">
        <w:t>i</w:t>
      </w:r>
      <w:r w:rsidRPr="00F517E2">
        <w:t>denten Johan Hirschfeldt, skattedirektören Björne Sjökvist och rättslige e</w:t>
      </w:r>
      <w:r w:rsidRPr="00F517E2">
        <w:t>x</w:t>
      </w:r>
      <w:r w:rsidRPr="00F517E2">
        <w:t>perten Ingvar Håkansson, båda från Skatteverket, verksj</w:t>
      </w:r>
      <w:r w:rsidRPr="00F517E2">
        <w:t>u</w:t>
      </w:r>
      <w:r w:rsidRPr="00F517E2">
        <w:t>risten Nilla Alestig och utredaren Dolores Andersson, båda från Statens pensionsverk samt hovrätt</w:t>
      </w:r>
      <w:r w:rsidRPr="00F517E2">
        <w:t>s</w:t>
      </w:r>
      <w:r w:rsidRPr="00F517E2">
        <w:t xml:space="preserve">rådet Sven Johannisson, sekreterare i </w:t>
      </w:r>
      <w:r w:rsidR="00550B62" w:rsidRPr="00F517E2">
        <w:t>a</w:t>
      </w:r>
      <w:r w:rsidRPr="00F517E2">
        <w:t>rvodesnämnden, som sammanställ</w:t>
      </w:r>
      <w:r w:rsidR="008A2C14" w:rsidRPr="00F517E2">
        <w:t>de</w:t>
      </w:r>
      <w:r w:rsidRPr="00F517E2">
        <w:t xml:space="preserve"> </w:t>
      </w:r>
      <w:r w:rsidR="008A2C14" w:rsidRPr="00F517E2">
        <w:t>arbetsgruppens förslag i en promemoria</w:t>
      </w:r>
      <w:r w:rsidRPr="00F517E2">
        <w:t>.</w:t>
      </w:r>
    </w:p>
    <w:p w:rsidR="003F1C5C" w:rsidRPr="00F517E2" w:rsidRDefault="00C330A1" w:rsidP="009B1A3E">
      <w:pPr>
        <w:pStyle w:val="Normaltindrag"/>
      </w:pPr>
      <w:r w:rsidRPr="00F517E2">
        <w:t xml:space="preserve">Arvodesnämnden </w:t>
      </w:r>
      <w:r w:rsidR="009B1A3E" w:rsidRPr="00F517E2">
        <w:t xml:space="preserve">ställde sig </w:t>
      </w:r>
      <w:r w:rsidRPr="00F517E2">
        <w:t xml:space="preserve">i </w:t>
      </w:r>
      <w:r w:rsidR="009B1A3E" w:rsidRPr="00F517E2">
        <w:t>allt väsentligt bakom arbetsgruppens b</w:t>
      </w:r>
      <w:r w:rsidR="009B1A3E" w:rsidRPr="00F517E2">
        <w:t>e</w:t>
      </w:r>
      <w:r w:rsidR="009B1A3E" w:rsidRPr="00F517E2">
        <w:t xml:space="preserve">dömningar och förslag och beslutade den 17 september 2009 att överlämna </w:t>
      </w:r>
      <w:r w:rsidRPr="00F517E2">
        <w:t xml:space="preserve">promemorian </w:t>
      </w:r>
      <w:r w:rsidR="009B1A3E" w:rsidRPr="00F517E2">
        <w:t xml:space="preserve">till riksdagsstyrelsen. </w:t>
      </w:r>
      <w:r w:rsidRPr="00F517E2">
        <w:t>Arvodesnämndens ordförande Johan Hirschfeldt föredrog prom</w:t>
      </w:r>
      <w:r w:rsidRPr="00F517E2">
        <w:t>e</w:t>
      </w:r>
      <w:r w:rsidRPr="00F517E2">
        <w:t xml:space="preserve">morian för styrelsen vid dess sammanträde den 21 </w:t>
      </w:r>
      <w:r w:rsidR="009B1A3E" w:rsidRPr="00F517E2">
        <w:t>oktober 2009</w:t>
      </w:r>
      <w:r w:rsidRPr="00F517E2">
        <w:t>. Riksdagsst</w:t>
      </w:r>
      <w:r w:rsidRPr="00F517E2">
        <w:t>y</w:t>
      </w:r>
      <w:r w:rsidRPr="00F517E2">
        <w:t>relsen</w:t>
      </w:r>
      <w:r w:rsidR="009B1A3E" w:rsidRPr="00F517E2">
        <w:t xml:space="preserve"> förklarade sig inte ha några invändningar mot den lämnade informati</w:t>
      </w:r>
      <w:r w:rsidR="009B1A3E" w:rsidRPr="00F517E2">
        <w:t>o</w:t>
      </w:r>
      <w:r w:rsidR="009B1A3E" w:rsidRPr="00F517E2">
        <w:t>nen.</w:t>
      </w:r>
    </w:p>
    <w:p w:rsidR="00C330A1" w:rsidRPr="00F517E2" w:rsidRDefault="00C330A1" w:rsidP="009B1A3E">
      <w:pPr>
        <w:pStyle w:val="Normaltindrag"/>
      </w:pPr>
      <w:r w:rsidRPr="00F517E2">
        <w:t xml:space="preserve">Riksdagsstyrelsen beslutade den 18 november 2009 att </w:t>
      </w:r>
      <w:r w:rsidR="00F241A8" w:rsidRPr="00F517E2">
        <w:t xml:space="preserve">remittera </w:t>
      </w:r>
      <w:r w:rsidRPr="00F517E2">
        <w:t>prom</w:t>
      </w:r>
      <w:r w:rsidRPr="00F517E2">
        <w:t>e</w:t>
      </w:r>
      <w:r w:rsidRPr="00F517E2">
        <w:t>morian till Riksdagens ombudsmän, Regeringskansliet genom Finansdepa</w:t>
      </w:r>
      <w:r w:rsidRPr="00F517E2">
        <w:t>r</w:t>
      </w:r>
      <w:r w:rsidRPr="00F517E2">
        <w:t>tementet, Kammarrätten i Stockholm, Skatteverket, Statens pension</w:t>
      </w:r>
      <w:r w:rsidRPr="00F517E2">
        <w:t>s</w:t>
      </w:r>
      <w:r w:rsidRPr="00F517E2">
        <w:t xml:space="preserve">verk och Sveriges Kommuner och Landsting. </w:t>
      </w:r>
    </w:p>
    <w:p w:rsidR="00745888" w:rsidRPr="00F517E2" w:rsidRDefault="00C330A1" w:rsidP="0044630D">
      <w:pPr>
        <w:pStyle w:val="Normaltindrag"/>
      </w:pPr>
      <w:r w:rsidRPr="00F517E2">
        <w:t xml:space="preserve">Riksdagens </w:t>
      </w:r>
      <w:r w:rsidR="00D53423" w:rsidRPr="00F517E2">
        <w:t>a</w:t>
      </w:r>
      <w:r w:rsidRPr="00F517E2">
        <w:t xml:space="preserve">rvodesnämnd </w:t>
      </w:r>
      <w:r w:rsidR="005308E4" w:rsidRPr="00F517E2">
        <w:t>yttrade sig</w:t>
      </w:r>
      <w:r w:rsidRPr="00F517E2">
        <w:t xml:space="preserve"> den 22 juni 2010 över remissv</w:t>
      </w:r>
      <w:r w:rsidRPr="00F517E2">
        <w:t>a</w:t>
      </w:r>
      <w:r w:rsidRPr="00F517E2">
        <w:t xml:space="preserve">ren. </w:t>
      </w:r>
    </w:p>
    <w:p w:rsidR="007A056D" w:rsidRPr="00F517E2" w:rsidRDefault="007A056D" w:rsidP="0044630D">
      <w:pPr>
        <w:pStyle w:val="Normaltindrag"/>
      </w:pPr>
      <w:r w:rsidRPr="00F517E2">
        <w:t>Riksdagsstyrelsens framställning bygger på ar</w:t>
      </w:r>
      <w:r w:rsidR="00745888" w:rsidRPr="00F517E2">
        <w:t>betsgruppens</w:t>
      </w:r>
      <w:r w:rsidRPr="00F517E2">
        <w:t xml:space="preserve"> </w:t>
      </w:r>
      <w:r w:rsidR="00D53423" w:rsidRPr="00F517E2">
        <w:t>förslag</w:t>
      </w:r>
      <w:r w:rsidRPr="00F517E2">
        <w:t>, r</w:t>
      </w:r>
      <w:r w:rsidRPr="00F517E2">
        <w:t>e</w:t>
      </w:r>
      <w:r w:rsidRPr="00F517E2">
        <w:t>miss</w:t>
      </w:r>
      <w:r w:rsidR="0044630D" w:rsidRPr="00F517E2">
        <w:t xml:space="preserve">instansernas svar samt </w:t>
      </w:r>
      <w:r w:rsidR="00550B62" w:rsidRPr="00F517E2">
        <w:t>a</w:t>
      </w:r>
      <w:r w:rsidR="0044630D" w:rsidRPr="00F517E2">
        <w:t xml:space="preserve">rvodesnämndens yttrande över </w:t>
      </w:r>
      <w:r w:rsidR="00745888" w:rsidRPr="00F517E2">
        <w:t>remi</w:t>
      </w:r>
      <w:r w:rsidR="00745888" w:rsidRPr="00F517E2">
        <w:t>s</w:t>
      </w:r>
      <w:r w:rsidR="00745888" w:rsidRPr="00F517E2">
        <w:t>s</w:t>
      </w:r>
      <w:r w:rsidR="0044630D" w:rsidRPr="00F517E2">
        <w:t xml:space="preserve">varen. </w:t>
      </w:r>
    </w:p>
    <w:p w:rsidR="00153871" w:rsidRPr="00F517E2" w:rsidRDefault="00153871" w:rsidP="0044630D">
      <w:pPr>
        <w:pStyle w:val="Normaltindrag"/>
      </w:pPr>
    </w:p>
    <w:p w:rsidR="00153871" w:rsidRPr="00F517E2" w:rsidRDefault="00153871" w:rsidP="0044630D">
      <w:pPr>
        <w:pStyle w:val="Normaltindrag"/>
        <w:sectPr w:rsidR="00153871" w:rsidRPr="00F517E2">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7A056D" w:rsidRPr="00F517E2" w:rsidRDefault="00BE6BC5" w:rsidP="00153871">
      <w:pPr>
        <w:pStyle w:val="Rubrik1"/>
        <w:rPr>
          <w:noProof w:val="0"/>
        </w:rPr>
      </w:pPr>
      <w:bookmarkStart w:id="17" w:name="_Toc277831110"/>
      <w:r w:rsidRPr="00F517E2">
        <w:rPr>
          <w:noProof w:val="0"/>
        </w:rPr>
        <w:t>Bakgrund</w:t>
      </w:r>
      <w:bookmarkEnd w:id="17"/>
    </w:p>
    <w:p w:rsidR="00BE6BC5" w:rsidRPr="00F517E2" w:rsidRDefault="004411DE" w:rsidP="00153871">
      <w:pPr>
        <w:pStyle w:val="Rubrik2"/>
        <w:spacing w:before="0"/>
      </w:pPr>
      <w:bookmarkStart w:id="18" w:name="_Toc277831111"/>
      <w:r w:rsidRPr="00F517E2">
        <w:t xml:space="preserve">Trygghet i </w:t>
      </w:r>
      <w:r w:rsidR="00604A54" w:rsidRPr="00F517E2">
        <w:t xml:space="preserve">en </w:t>
      </w:r>
      <w:r w:rsidRPr="00F517E2">
        <w:t>omställningssituation</w:t>
      </w:r>
      <w:bookmarkEnd w:id="18"/>
    </w:p>
    <w:p w:rsidR="001009BD" w:rsidRPr="00F517E2" w:rsidRDefault="007A056D" w:rsidP="00B171B3">
      <w:pPr>
        <w:spacing w:before="0"/>
      </w:pPr>
      <w:r w:rsidRPr="00F517E2">
        <w:t>Den som varit ledamot av riksdagen har sedan han eller hon lämnat uppdraget under vissa förutsättningar rätt till en trygghetsförmån benämnd inkomstg</w:t>
      </w:r>
      <w:r w:rsidRPr="00F517E2">
        <w:t>a</w:t>
      </w:r>
      <w:r w:rsidRPr="00F517E2">
        <w:t xml:space="preserve">ranti. </w:t>
      </w:r>
      <w:r w:rsidR="00B171B3" w:rsidRPr="00F517E2">
        <w:t>Syftet med inkomstgarantin är att skapa trygghet i den omställningssit</w:t>
      </w:r>
      <w:r w:rsidR="00B171B3" w:rsidRPr="00F517E2">
        <w:t>u</w:t>
      </w:r>
      <w:r w:rsidR="00B171B3" w:rsidRPr="00F517E2">
        <w:t>ation som uppstår för den som slutat sitt uppdrag som riksdagsledamot. G</w:t>
      </w:r>
      <w:r w:rsidR="00B171B3" w:rsidRPr="00F517E2">
        <w:t>a</w:t>
      </w:r>
      <w:r w:rsidR="00B171B3" w:rsidRPr="00F517E2">
        <w:t xml:space="preserve">rantin är inte avsedd att vara en varaktig försörjning. För att säkerställa att garantin används som en omställningsförmån har det sedan den 1 juli 2006 varit möjligt att jämka inkomstgarantin under vissa </w:t>
      </w:r>
      <w:r w:rsidR="005308E4" w:rsidRPr="00F517E2">
        <w:t xml:space="preserve">förutsättningar som anges närmare </w:t>
      </w:r>
      <w:r w:rsidR="00B171B3" w:rsidRPr="00F517E2">
        <w:t xml:space="preserve">i ersättningslagen. </w:t>
      </w:r>
      <w:r w:rsidRPr="00F517E2">
        <w:t xml:space="preserve">Tanken </w:t>
      </w:r>
      <w:r w:rsidR="00B171B3" w:rsidRPr="00F517E2">
        <w:t xml:space="preserve">är </w:t>
      </w:r>
      <w:r w:rsidRPr="00F517E2">
        <w:t>att förhindra missbruk av garantin. Det är en uppgift för Riksdagens arvodesnämnd att pröva frågor om jäm</w:t>
      </w:r>
      <w:r w:rsidRPr="00F517E2">
        <w:t>k</w:t>
      </w:r>
      <w:r w:rsidRPr="00F517E2">
        <w:t xml:space="preserve">ning. </w:t>
      </w:r>
    </w:p>
    <w:p w:rsidR="007A056D" w:rsidRPr="00F517E2" w:rsidRDefault="007A056D" w:rsidP="00BE6BC5">
      <w:pPr>
        <w:pStyle w:val="Rubrik2"/>
      </w:pPr>
      <w:bookmarkStart w:id="19" w:name="_Toc277831112"/>
      <w:r w:rsidRPr="00F517E2">
        <w:t>Erfarenheterna av den tillsyn som bedrivits hittills</w:t>
      </w:r>
      <w:bookmarkEnd w:id="19"/>
    </w:p>
    <w:p w:rsidR="00E7633A" w:rsidRPr="00F517E2" w:rsidRDefault="007A056D" w:rsidP="005308E4">
      <w:r w:rsidRPr="00F517E2">
        <w:t xml:space="preserve">Den tillsyn som </w:t>
      </w:r>
      <w:r w:rsidR="00E7633A" w:rsidRPr="00F517E2">
        <w:t xml:space="preserve">redovisas i denna framställning avser den tillsyn som </w:t>
      </w:r>
      <w:r w:rsidR="00604A54" w:rsidRPr="00F517E2">
        <w:t>a</w:t>
      </w:r>
      <w:r w:rsidR="00E7633A" w:rsidRPr="00F517E2">
        <w:t>rv</w:t>
      </w:r>
      <w:r w:rsidR="00E7633A" w:rsidRPr="00F517E2">
        <w:t>o</w:t>
      </w:r>
      <w:r w:rsidR="00E7633A" w:rsidRPr="00F517E2">
        <w:t>des</w:t>
      </w:r>
      <w:r w:rsidRPr="00F517E2">
        <w:t xml:space="preserve">nämnden </w:t>
      </w:r>
      <w:r w:rsidR="005308E4" w:rsidRPr="00F517E2">
        <w:t>b</w:t>
      </w:r>
      <w:r w:rsidRPr="00F517E2">
        <w:t>edr</w:t>
      </w:r>
      <w:r w:rsidR="005308E4" w:rsidRPr="00F517E2">
        <w:t>e</w:t>
      </w:r>
      <w:r w:rsidRPr="00F517E2">
        <w:t>v andra hal</w:t>
      </w:r>
      <w:r w:rsidRPr="00F517E2">
        <w:t>v</w:t>
      </w:r>
      <w:r w:rsidRPr="00F517E2">
        <w:t>året 2006 samt åren 2007 och 2008</w:t>
      </w:r>
      <w:r w:rsidR="007D287B" w:rsidRPr="00F517E2">
        <w:t xml:space="preserve"> och som </w:t>
      </w:r>
      <w:r w:rsidR="005308E4" w:rsidRPr="00F517E2">
        <w:t xml:space="preserve">arbetsgruppen </w:t>
      </w:r>
      <w:r w:rsidR="007D287B" w:rsidRPr="00F517E2">
        <w:t>redogör för i promemoria</w:t>
      </w:r>
      <w:r w:rsidR="005308E4" w:rsidRPr="00F517E2">
        <w:t>n</w:t>
      </w:r>
      <w:r w:rsidRPr="00F517E2">
        <w:t xml:space="preserve">. </w:t>
      </w:r>
      <w:r w:rsidR="007D287B" w:rsidRPr="00F517E2">
        <w:t>Här framgår följa</w:t>
      </w:r>
      <w:r w:rsidR="007D287B" w:rsidRPr="00F517E2">
        <w:t>n</w:t>
      </w:r>
      <w:r w:rsidR="007D287B" w:rsidRPr="00F517E2">
        <w:t>de.</w:t>
      </w:r>
    </w:p>
    <w:p w:rsidR="001009BD" w:rsidRPr="00F517E2" w:rsidRDefault="007A056D" w:rsidP="00E7633A">
      <w:pPr>
        <w:pStyle w:val="Normaltindrag"/>
      </w:pPr>
      <w:r w:rsidRPr="00F517E2">
        <w:t>Syftet med tillsynen är att utröna om det finns anledning att besluta om jämkning av inkoms</w:t>
      </w:r>
      <w:r w:rsidRPr="00F517E2">
        <w:t>t</w:t>
      </w:r>
      <w:r w:rsidRPr="00F517E2">
        <w:t>garantin. Det har inte varit aktuellt att ta ställning till om jämkning ska ske på den grunden att garantitagaren gjort sig skyldig till brott. I stället har tillsynsverksamheten fokuserat på fall där det kan ifrågasä</w:t>
      </w:r>
      <w:r w:rsidRPr="00F517E2">
        <w:t>t</w:t>
      </w:r>
      <w:r w:rsidRPr="00F517E2">
        <w:t>tas om garantitagaren utfört förvärvsarbete åt någon annan utan att ta ut skälig ersät</w:t>
      </w:r>
      <w:r w:rsidRPr="00F517E2">
        <w:t>t</w:t>
      </w:r>
      <w:r w:rsidRPr="00F517E2">
        <w:t xml:space="preserve">ning för det. </w:t>
      </w:r>
    </w:p>
    <w:p w:rsidR="001009BD" w:rsidRPr="00F517E2" w:rsidRDefault="007A056D" w:rsidP="001009BD">
      <w:pPr>
        <w:pStyle w:val="Normaltindrag"/>
      </w:pPr>
      <w:r w:rsidRPr="00F517E2">
        <w:t>I korthet har tillsynsarbetet bedrivits på följande sätt. Med hänsyn till det stora antalet tidigare riksdagsledamöter som har inkomstgara</w:t>
      </w:r>
      <w:r w:rsidRPr="00F517E2">
        <w:t>n</w:t>
      </w:r>
      <w:r w:rsidRPr="00F517E2">
        <w:t>ti har nämnden gjort bedömningen att ett urval av garantitagarna bör granskas varje år. Urv</w:t>
      </w:r>
      <w:r w:rsidRPr="00F517E2">
        <w:t>a</w:t>
      </w:r>
      <w:r w:rsidRPr="00F517E2">
        <w:t>let har baserats på de årsuppgifter som garantit</w:t>
      </w:r>
      <w:r w:rsidRPr="00F517E2">
        <w:t>a</w:t>
      </w:r>
      <w:r w:rsidRPr="00F517E2">
        <w:t>garna lämnar till Statens pensionsverk. Samtliga årsuppgifter har granskats</w:t>
      </w:r>
      <w:r w:rsidR="005308E4" w:rsidRPr="00F517E2">
        <w:t>,</w:t>
      </w:r>
      <w:r w:rsidRPr="00F517E2">
        <w:t xml:space="preserve"> och i den mån de innehållit uppgifter som varit värda att följa upp har de tagits med i urvalet. Denna metod har kompletterats med ett slumpmässigt urval av de återstående gara</w:t>
      </w:r>
      <w:r w:rsidRPr="00F517E2">
        <w:t>n</w:t>
      </w:r>
      <w:r w:rsidRPr="00F517E2">
        <w:t xml:space="preserve">titagarna. </w:t>
      </w:r>
    </w:p>
    <w:p w:rsidR="001009BD" w:rsidRPr="00F517E2" w:rsidRDefault="007D287B" w:rsidP="001009BD">
      <w:pPr>
        <w:pStyle w:val="Normaltindrag"/>
      </w:pPr>
      <w:r w:rsidRPr="00F517E2">
        <w:t>T</w:t>
      </w:r>
      <w:r w:rsidR="007A056D" w:rsidRPr="00F517E2">
        <w:t xml:space="preserve">illsynsverksamheten </w:t>
      </w:r>
      <w:r w:rsidRPr="00F517E2">
        <w:t xml:space="preserve">syftar </w:t>
      </w:r>
      <w:r w:rsidR="003A0D1C" w:rsidRPr="00F517E2">
        <w:t xml:space="preserve">till </w:t>
      </w:r>
      <w:r w:rsidR="007A056D" w:rsidRPr="00F517E2">
        <w:t xml:space="preserve">att utröna om garantitagare förvärvsarbetat åt </w:t>
      </w:r>
      <w:r w:rsidR="005308E4" w:rsidRPr="00F517E2">
        <w:t xml:space="preserve">någon </w:t>
      </w:r>
      <w:r w:rsidR="007A056D" w:rsidRPr="00F517E2">
        <w:t>annan utan att ta ut skälig ersättning för det. Av motiven till jäm</w:t>
      </w:r>
      <w:r w:rsidR="007A056D" w:rsidRPr="00F517E2">
        <w:t>k</w:t>
      </w:r>
      <w:r w:rsidR="007A056D" w:rsidRPr="00F517E2">
        <w:t>ningsreglerna framgår det att tanken bl.a. har varit att komma åt situationer där gara</w:t>
      </w:r>
      <w:r w:rsidR="007A056D" w:rsidRPr="00F517E2">
        <w:t>n</w:t>
      </w:r>
      <w:r w:rsidR="007A056D" w:rsidRPr="00F517E2">
        <w:t>titagaren bedriver näringsverksamhet i bolagsform utan att ta ut lön ur bol</w:t>
      </w:r>
      <w:r w:rsidR="007A056D" w:rsidRPr="00F517E2">
        <w:t>a</w:t>
      </w:r>
      <w:r w:rsidR="007A056D" w:rsidRPr="00F517E2">
        <w:t>get. Mot den bakgrunden har tillsynsverksamheten lagts upp så att de garantitag</w:t>
      </w:r>
      <w:r w:rsidR="007A056D" w:rsidRPr="00F517E2">
        <w:t>a</w:t>
      </w:r>
      <w:r w:rsidR="007A056D" w:rsidRPr="00F517E2">
        <w:t>re som kommit att omfattas av urvalet har jämförts med vissa uppgifter i Bolagsverkets register. För att kunna upptäcka även sådana fall där en gara</w:t>
      </w:r>
      <w:r w:rsidR="007A056D" w:rsidRPr="00F517E2">
        <w:t>n</w:t>
      </w:r>
      <w:r w:rsidR="007A056D" w:rsidRPr="00F517E2">
        <w:t>titagare förvärvsarbetar i ett bolag som han</w:t>
      </w:r>
      <w:r w:rsidR="005308E4" w:rsidRPr="00F517E2">
        <w:t xml:space="preserve"> eller hon</w:t>
      </w:r>
      <w:r w:rsidR="007A056D" w:rsidRPr="00F517E2">
        <w:t xml:space="preserve"> själv </w:t>
      </w:r>
      <w:r w:rsidR="00553366" w:rsidRPr="00F517E2">
        <w:t xml:space="preserve">inte, </w:t>
      </w:r>
      <w:r w:rsidR="007A056D" w:rsidRPr="00F517E2">
        <w:t xml:space="preserve">men väl hans </w:t>
      </w:r>
      <w:r w:rsidR="005308E4" w:rsidRPr="00F517E2">
        <w:t>eller hennes maka eller make</w:t>
      </w:r>
      <w:r w:rsidR="0022468D" w:rsidRPr="00F517E2">
        <w:t>,</w:t>
      </w:r>
      <w:r w:rsidR="007A056D" w:rsidRPr="00F517E2">
        <w:t xml:space="preserve"> har uppdrag som funktionär i har sökningar i B</w:t>
      </w:r>
      <w:r w:rsidR="007A056D" w:rsidRPr="00F517E2">
        <w:t>o</w:t>
      </w:r>
      <w:r w:rsidR="007A056D" w:rsidRPr="00F517E2">
        <w:t xml:space="preserve">lagsverkets register gjorts även på garantitagarens maka eller make. </w:t>
      </w:r>
    </w:p>
    <w:p w:rsidR="001009BD" w:rsidRPr="00F517E2" w:rsidRDefault="007A056D" w:rsidP="001009BD">
      <w:pPr>
        <w:pStyle w:val="Normaltindrag"/>
      </w:pPr>
      <w:r w:rsidRPr="00F517E2">
        <w:t>I den mån sökningarna i Bolagsverkets register visat att garantitagaren e</w:t>
      </w:r>
      <w:r w:rsidRPr="00F517E2">
        <w:t>l</w:t>
      </w:r>
      <w:r w:rsidRPr="00F517E2">
        <w:t xml:space="preserve">ler </w:t>
      </w:r>
      <w:r w:rsidR="00E675F0" w:rsidRPr="00F517E2">
        <w:t>dennes maka eller make</w:t>
      </w:r>
      <w:r w:rsidRPr="00F517E2">
        <w:t xml:space="preserve"> har engagemang i något företag uppko</w:t>
      </w:r>
      <w:r w:rsidRPr="00F517E2">
        <w:t>m</w:t>
      </w:r>
      <w:r w:rsidRPr="00F517E2">
        <w:t>mer som regel ett läge där den fortsatta tillsynen blir beroende av uppgifter från gara</w:t>
      </w:r>
      <w:r w:rsidRPr="00F517E2">
        <w:t>n</w:t>
      </w:r>
      <w:r w:rsidRPr="00F517E2">
        <w:t>titagaren. I dessa fall har ett tillsynsärende inletts avseende den enskild</w:t>
      </w:r>
      <w:r w:rsidR="000B5868" w:rsidRPr="00F517E2">
        <w:t>a</w:t>
      </w:r>
      <w:r w:rsidRPr="00F517E2">
        <w:t xml:space="preserve"> g</w:t>
      </w:r>
      <w:r w:rsidRPr="00F517E2">
        <w:t>a</w:t>
      </w:r>
      <w:r w:rsidRPr="00F517E2">
        <w:t xml:space="preserve">rantitagaren, som också fått tillfälle att yttra sig. Därefter har nämnden prövat frågan om jämkning. </w:t>
      </w:r>
    </w:p>
    <w:p w:rsidR="001009BD" w:rsidRPr="00F517E2" w:rsidRDefault="007A056D" w:rsidP="001009BD">
      <w:pPr>
        <w:pStyle w:val="Normaltindrag"/>
      </w:pPr>
      <w:r w:rsidRPr="00F517E2">
        <w:t>Vid de jämförelser som gjorts med uppgifter i Bolagsverkets register har det i flera fall framkommit att garantitagare bedriver enskild näringsverksa</w:t>
      </w:r>
      <w:r w:rsidRPr="00F517E2">
        <w:t>m</w:t>
      </w:r>
      <w:r w:rsidRPr="00F517E2">
        <w:t>het. Eftersom dessa garantitagare inte bedömts utföra arbete åt någon annan – vilket alltså är kravet i ersättningsl</w:t>
      </w:r>
      <w:r w:rsidRPr="00F517E2">
        <w:t>a</w:t>
      </w:r>
      <w:r w:rsidRPr="00F517E2">
        <w:t>gen för att jämkning ska kunna ske – har de i den hittills bedrivna tillsyn</w:t>
      </w:r>
      <w:r w:rsidRPr="00F517E2">
        <w:t>s</w:t>
      </w:r>
      <w:r w:rsidRPr="00F517E2">
        <w:t xml:space="preserve">verksamheten inte granskats närmare. </w:t>
      </w:r>
    </w:p>
    <w:p w:rsidR="001009BD" w:rsidRPr="00F517E2" w:rsidRDefault="007A056D" w:rsidP="001009BD">
      <w:pPr>
        <w:pStyle w:val="Normaltindrag"/>
      </w:pPr>
      <w:r w:rsidRPr="00F517E2">
        <w:t xml:space="preserve">De som drivit verksamhet i handelsbolag har vid avgränsningen av urvalet bedömts utföra arbete åt </w:t>
      </w:r>
      <w:r w:rsidR="000B5868" w:rsidRPr="00F517E2">
        <w:t xml:space="preserve">någon </w:t>
      </w:r>
      <w:r w:rsidRPr="00F517E2">
        <w:t>annan och därmed granskats. Skälet till det har varit att handelsbolaget är en separat juridisk person. Med hänsyn till hur inkomster av näringsverksamhet i handelsbolag beskattas kan den bedö</w:t>
      </w:r>
      <w:r w:rsidRPr="00F517E2">
        <w:t>m</w:t>
      </w:r>
      <w:r w:rsidRPr="00F517E2">
        <w:t>ningen dock ifr</w:t>
      </w:r>
      <w:r w:rsidRPr="00F517E2">
        <w:t>å</w:t>
      </w:r>
      <w:r w:rsidRPr="00F517E2">
        <w:t xml:space="preserve">gasättas. </w:t>
      </w:r>
    </w:p>
    <w:p w:rsidR="007A056D" w:rsidRPr="00F517E2" w:rsidRDefault="007A056D" w:rsidP="001009BD">
      <w:pPr>
        <w:pStyle w:val="Normaltindrag"/>
      </w:pPr>
      <w:r w:rsidRPr="00F517E2">
        <w:t>A</w:t>
      </w:r>
      <w:r w:rsidR="002A618C" w:rsidRPr="00F517E2">
        <w:t>rbetsgruppen</w:t>
      </w:r>
      <w:r w:rsidRPr="00F517E2">
        <w:t xml:space="preserve"> påpeka</w:t>
      </w:r>
      <w:r w:rsidR="002A618C" w:rsidRPr="00F517E2">
        <w:t>r</w:t>
      </w:r>
      <w:r w:rsidRPr="00F517E2">
        <w:t xml:space="preserve"> att den nuvarande konstruktionen av jämkning</w:t>
      </w:r>
      <w:r w:rsidRPr="00F517E2">
        <w:t>s</w:t>
      </w:r>
      <w:r w:rsidRPr="00F517E2">
        <w:t>reglerna inte är oproblematisk. Reglerna tar ju sikte på fall där garantit</w:t>
      </w:r>
      <w:r w:rsidRPr="00F517E2">
        <w:t>a</w:t>
      </w:r>
      <w:r w:rsidRPr="00F517E2">
        <w:t>garen inte tar ut en skälig ersättning för utfört arbete. För att kunna bedöma vilken lön en garantitagare borde ha tagit ut kan det bli nödvändigt att bedöma e</w:t>
      </w:r>
      <w:r w:rsidRPr="00F517E2">
        <w:t>x</w:t>
      </w:r>
      <w:r w:rsidRPr="00F517E2">
        <w:t>empelvis ett aktiebolags förmåga att bära en löneutbetalning. Den fr</w:t>
      </w:r>
      <w:r w:rsidRPr="00F517E2">
        <w:t>å</w:t>
      </w:r>
      <w:r w:rsidRPr="00F517E2">
        <w:t>gan får bedömas med utgångspunkt i bolagets årsredovisning och den har i de flesta fall granskats av auktoriserad revisor. Det leder till att utrymmet för att ifr</w:t>
      </w:r>
      <w:r w:rsidRPr="00F517E2">
        <w:t>å</w:t>
      </w:r>
      <w:r w:rsidRPr="00F517E2">
        <w:t>gasätta olika affärshändelser och deras inverkan på möjligh</w:t>
      </w:r>
      <w:r w:rsidRPr="00F517E2">
        <w:t>e</w:t>
      </w:r>
      <w:r w:rsidRPr="00F517E2">
        <w:t>terna att ta ut lön i praktiken blir begränsat. Det måste erinras om att ett jäm</w:t>
      </w:r>
      <w:r w:rsidRPr="00F517E2">
        <w:t>k</w:t>
      </w:r>
      <w:r w:rsidRPr="00F517E2">
        <w:t>ningsbeslut som nämnden fattar också bör stå sig vid rättslig prövning efter ett överkl</w:t>
      </w:r>
      <w:r w:rsidRPr="00F517E2">
        <w:t>a</w:t>
      </w:r>
      <w:r w:rsidRPr="00F517E2">
        <w:t>gande av beslutet till domstol.</w:t>
      </w:r>
    </w:p>
    <w:p w:rsidR="007A056D" w:rsidRPr="00F517E2" w:rsidRDefault="007A056D" w:rsidP="00A50E30">
      <w:pPr>
        <w:pStyle w:val="Rubrik2"/>
      </w:pPr>
      <w:bookmarkStart w:id="20" w:name="_Toc277831113"/>
      <w:r w:rsidRPr="00F517E2">
        <w:t>Enskild näringsverksamhet och handelsbolag</w:t>
      </w:r>
      <w:bookmarkEnd w:id="20"/>
    </w:p>
    <w:p w:rsidR="001009BD" w:rsidRPr="00F517E2" w:rsidRDefault="007A056D" w:rsidP="002408A9">
      <w:r w:rsidRPr="00F517E2">
        <w:t xml:space="preserve">De nuvarande </w:t>
      </w:r>
      <w:r w:rsidR="00720F2D" w:rsidRPr="00F517E2">
        <w:t>jämknings</w:t>
      </w:r>
      <w:r w:rsidRPr="00F517E2">
        <w:t xml:space="preserve">reglerna </w:t>
      </w:r>
      <w:r w:rsidR="00CD6CAF" w:rsidRPr="00F517E2">
        <w:t xml:space="preserve">för inkomstgarantin </w:t>
      </w:r>
      <w:r w:rsidRPr="00F517E2">
        <w:t>tar endast sikte på dem som arbetar åt någon annan. Det innebär att den som bedriver enskild nä</w:t>
      </w:r>
      <w:r w:rsidRPr="00F517E2">
        <w:t>r</w:t>
      </w:r>
      <w:r w:rsidRPr="00F517E2">
        <w:t>ingsver</w:t>
      </w:r>
      <w:r w:rsidRPr="00F517E2">
        <w:t>k</w:t>
      </w:r>
      <w:r w:rsidRPr="00F517E2">
        <w:t>samhet – och alltså utför arbete åt sig själv – och på ett i och för sig skattemässigt korrekt sätt minska</w:t>
      </w:r>
      <w:r w:rsidR="000C3B5B" w:rsidRPr="00F517E2">
        <w:t>r</w:t>
      </w:r>
      <w:r w:rsidRPr="00F517E2">
        <w:t xml:space="preserve"> det belopp som ska samordnas med i</w:t>
      </w:r>
      <w:r w:rsidRPr="00F517E2">
        <w:t>n</w:t>
      </w:r>
      <w:r w:rsidRPr="00F517E2">
        <w:t xml:space="preserve">komstgarantin kan få en högre inkomstgaranti på det sättet. Syftet med att minska </w:t>
      </w:r>
      <w:r w:rsidR="000C3B5B" w:rsidRPr="00F517E2">
        <w:t xml:space="preserve">det </w:t>
      </w:r>
      <w:r w:rsidRPr="00F517E2">
        <w:t>belopp som ska samordnas med inkomstgarantin behöver dock inte</w:t>
      </w:r>
      <w:r w:rsidR="002A618C" w:rsidRPr="00F517E2">
        <w:t xml:space="preserve">, skriver arbetsgruppen, </w:t>
      </w:r>
      <w:r w:rsidRPr="00F517E2">
        <w:t>vara att kringgå reglerna om garantin. Som exe</w:t>
      </w:r>
      <w:r w:rsidRPr="00F517E2">
        <w:t>m</w:t>
      </w:r>
      <w:r w:rsidRPr="00F517E2">
        <w:t xml:space="preserve">pel nämns </w:t>
      </w:r>
      <w:r w:rsidR="002A618C" w:rsidRPr="00F517E2">
        <w:t xml:space="preserve">i promemorian </w:t>
      </w:r>
      <w:r w:rsidRPr="00F517E2">
        <w:t>att den som bedriver en enskild firma kan jämna ut resultatet i verksamheten över tiden genom att göra avsättningar till en peri</w:t>
      </w:r>
      <w:r w:rsidRPr="00F517E2">
        <w:t>o</w:t>
      </w:r>
      <w:r w:rsidRPr="00F517E2">
        <w:t>diseringsfond och därig</w:t>
      </w:r>
      <w:r w:rsidRPr="00F517E2">
        <w:t>e</w:t>
      </w:r>
      <w:r w:rsidRPr="00F517E2">
        <w:t>nom redovisa en lägre pensionsgrundande inkomst. Detta får till följd att inkomstgarantin blir högre. Samma resultat kan åsta</w:t>
      </w:r>
      <w:r w:rsidRPr="00F517E2">
        <w:t>d</w:t>
      </w:r>
      <w:r w:rsidRPr="00F517E2">
        <w:t>kommas genom att reglerna om räntefördelning och pensionsspara</w:t>
      </w:r>
      <w:r w:rsidRPr="00F517E2">
        <w:t>v</w:t>
      </w:r>
      <w:r w:rsidRPr="00F517E2">
        <w:t>drag</w:t>
      </w:r>
      <w:r w:rsidR="0022468D" w:rsidRPr="00F517E2">
        <w:t xml:space="preserve"> utnyttjas.</w:t>
      </w:r>
      <w:r w:rsidRPr="00F517E2">
        <w:t xml:space="preserve"> </w:t>
      </w:r>
      <w:r w:rsidR="001F6A59" w:rsidRPr="00F517E2">
        <w:t>Enligt arbetsgruppen kan s</w:t>
      </w:r>
      <w:r w:rsidRPr="00F517E2">
        <w:t>ådana förfaringssätt emellertid – beroe</w:t>
      </w:r>
      <w:r w:rsidRPr="00F517E2">
        <w:t>n</w:t>
      </w:r>
      <w:r w:rsidRPr="00F517E2">
        <w:t>de på omständigheterna i det enskilda fallet – stå i mindre god överensstä</w:t>
      </w:r>
      <w:r w:rsidRPr="00F517E2">
        <w:t>m</w:t>
      </w:r>
      <w:r w:rsidRPr="00F517E2">
        <w:t>melse med det syfte som bär upp reglerna om i</w:t>
      </w:r>
      <w:r w:rsidRPr="00F517E2">
        <w:t>n</w:t>
      </w:r>
      <w:r w:rsidRPr="00F517E2">
        <w:t xml:space="preserve">komstgaranti. </w:t>
      </w:r>
    </w:p>
    <w:p w:rsidR="007A056D" w:rsidRPr="00F517E2" w:rsidRDefault="00A50E30" w:rsidP="00655391">
      <w:pPr>
        <w:pStyle w:val="Rubrik2"/>
      </w:pPr>
      <w:bookmarkStart w:id="21" w:name="_Toc277831114"/>
      <w:r w:rsidRPr="00F517E2">
        <w:t>U</w:t>
      </w:r>
      <w:r w:rsidR="007A056D" w:rsidRPr="00F517E2">
        <w:t>tgångspunkter</w:t>
      </w:r>
      <w:bookmarkEnd w:id="21"/>
    </w:p>
    <w:p w:rsidR="001009BD" w:rsidRPr="00F517E2" w:rsidRDefault="007A056D" w:rsidP="00316B03">
      <w:pPr>
        <w:spacing w:before="0"/>
      </w:pPr>
      <w:r w:rsidRPr="00F517E2">
        <w:t xml:space="preserve">Utgångspunkten i </w:t>
      </w:r>
      <w:r w:rsidR="001F6A59" w:rsidRPr="00F517E2">
        <w:t xml:space="preserve">arbetsgruppens förslag har varit att </w:t>
      </w:r>
      <w:r w:rsidRPr="00F517E2">
        <w:t xml:space="preserve">det nuvarande systemet med inkomstgaranti och jämkning </w:t>
      </w:r>
      <w:r w:rsidR="00EF1495" w:rsidRPr="00F517E2">
        <w:t xml:space="preserve">ska </w:t>
      </w:r>
      <w:r w:rsidRPr="00F517E2">
        <w:t>fortsätt</w:t>
      </w:r>
      <w:r w:rsidR="00EF1495" w:rsidRPr="00F517E2">
        <w:t>a</w:t>
      </w:r>
      <w:r w:rsidRPr="00F517E2">
        <w:t xml:space="preserve"> att gälla. En annan utgång</w:t>
      </w:r>
      <w:r w:rsidRPr="00F517E2">
        <w:t>s</w:t>
      </w:r>
      <w:r w:rsidRPr="00F517E2">
        <w:t xml:space="preserve">punkt </w:t>
      </w:r>
      <w:r w:rsidR="00316B03" w:rsidRPr="00F517E2">
        <w:t>har varit</w:t>
      </w:r>
      <w:r w:rsidRPr="00F517E2">
        <w:t xml:space="preserve"> att de förfaring</w:t>
      </w:r>
      <w:r w:rsidRPr="00F517E2">
        <w:t>s</w:t>
      </w:r>
      <w:r w:rsidRPr="00F517E2">
        <w:t>sätt som bör kunna angripas med jämkning ska framstå som oskäliga sedda i ljuset av syftet med inkomstgarantin. Det inn</w:t>
      </w:r>
      <w:r w:rsidRPr="00F517E2">
        <w:t>e</w:t>
      </w:r>
      <w:r w:rsidRPr="00F517E2">
        <w:t>bär bl.a. att det inte är rimligt att varje avsättning eller annan disposition som påverkar den pensionsgrundande inkomsten också bör leda till att inkomstg</w:t>
      </w:r>
      <w:r w:rsidRPr="00F517E2">
        <w:t>a</w:t>
      </w:r>
      <w:r w:rsidRPr="00F517E2">
        <w:t xml:space="preserve">rantin jämkas. En grundtanke i det fortsatta arbetet ska </w:t>
      </w:r>
      <w:r w:rsidR="008F2731" w:rsidRPr="00F517E2">
        <w:t xml:space="preserve">alltså </w:t>
      </w:r>
      <w:r w:rsidR="00E2049C" w:rsidRPr="00F517E2">
        <w:t>enligt arbet</w:t>
      </w:r>
      <w:r w:rsidR="00E2049C" w:rsidRPr="00F517E2">
        <w:t>s</w:t>
      </w:r>
      <w:r w:rsidR="00E2049C" w:rsidRPr="00F517E2">
        <w:t>gruppen</w:t>
      </w:r>
      <w:r w:rsidRPr="00F517E2">
        <w:t xml:space="preserve"> vara att regelverket ska bidra till att syftet med inkomstgarantin får ett bättre g</w:t>
      </w:r>
      <w:r w:rsidRPr="00F517E2">
        <w:t>e</w:t>
      </w:r>
      <w:r w:rsidRPr="00F517E2">
        <w:t>nomslag.</w:t>
      </w:r>
    </w:p>
    <w:p w:rsidR="007A056D" w:rsidRPr="00F517E2" w:rsidRDefault="007A056D" w:rsidP="001009BD">
      <w:pPr>
        <w:pStyle w:val="Normaltindrag"/>
      </w:pPr>
      <w:r w:rsidRPr="00F517E2">
        <w:t xml:space="preserve">Ytterligare en utgångspunkt </w:t>
      </w:r>
      <w:r w:rsidR="00B768C1" w:rsidRPr="00F517E2">
        <w:t>för arbetsgruppen har varit a</w:t>
      </w:r>
      <w:r w:rsidRPr="00F517E2">
        <w:t>tt flera av de ställningstaganden som gjo</w:t>
      </w:r>
      <w:r w:rsidRPr="00F517E2">
        <w:t>r</w:t>
      </w:r>
      <w:r w:rsidRPr="00F517E2">
        <w:t>des i samband med att jämkningsreglerna infördes alltjämt måste sägas vara relevanta. Det bör således – i linje med vad som uttalades i det lagstiftningsärendet – vara möjligt att under en övergångsper</w:t>
      </w:r>
      <w:r w:rsidRPr="00F517E2">
        <w:t>i</w:t>
      </w:r>
      <w:r w:rsidRPr="00F517E2">
        <w:t xml:space="preserve">od bygga upp en verksamhet utan att det leder </w:t>
      </w:r>
      <w:r w:rsidR="003C555D" w:rsidRPr="00F517E2">
        <w:t xml:space="preserve">till </w:t>
      </w:r>
      <w:r w:rsidRPr="00F517E2">
        <w:t>jämkning. Inte heller bör id</w:t>
      </w:r>
      <w:r w:rsidRPr="00F517E2">
        <w:t>e</w:t>
      </w:r>
      <w:r w:rsidRPr="00F517E2">
        <w:t>ellt arbete inom rimliga gränser leda till jämkning eftersom det skulle försvåra exempe</w:t>
      </w:r>
      <w:r w:rsidRPr="00F517E2">
        <w:t>l</w:t>
      </w:r>
      <w:r w:rsidRPr="00F517E2">
        <w:t xml:space="preserve">vis politiskt engagemang. </w:t>
      </w:r>
    </w:p>
    <w:p w:rsidR="00153871" w:rsidRPr="00F517E2" w:rsidRDefault="00153871" w:rsidP="001009BD">
      <w:pPr>
        <w:pStyle w:val="Normaltindrag"/>
      </w:pPr>
    </w:p>
    <w:p w:rsidR="00153871" w:rsidRPr="00F517E2" w:rsidRDefault="00153871" w:rsidP="001009BD">
      <w:pPr>
        <w:pStyle w:val="Normaltindrag"/>
        <w:sectPr w:rsidR="00153871" w:rsidRPr="00F517E2">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7A056D" w:rsidRPr="00F517E2" w:rsidRDefault="00BE6BC5" w:rsidP="00A50E30">
      <w:pPr>
        <w:pStyle w:val="Rubrik1"/>
        <w:rPr>
          <w:noProof w:val="0"/>
        </w:rPr>
      </w:pPr>
      <w:bookmarkStart w:id="22" w:name="_Toc277831115"/>
      <w:r w:rsidRPr="00F517E2">
        <w:rPr>
          <w:noProof w:val="0"/>
        </w:rPr>
        <w:t>Riksdagsstyrelsens överväganden och förslag</w:t>
      </w:r>
      <w:bookmarkEnd w:id="22"/>
      <w:r w:rsidRPr="00F517E2">
        <w:rPr>
          <w:noProof w:val="0"/>
        </w:rPr>
        <w:t xml:space="preserve"> </w:t>
      </w:r>
    </w:p>
    <w:p w:rsidR="00BE6BC5" w:rsidRPr="00F517E2" w:rsidRDefault="00BE6BC5" w:rsidP="00BC45CB">
      <w:pPr>
        <w:pStyle w:val="Rubrik2"/>
        <w:spacing w:before="0"/>
      </w:pPr>
      <w:bookmarkStart w:id="23" w:name="_Toc277831116"/>
      <w:r w:rsidRPr="00F517E2">
        <w:t>Möjligheterna till jämkning bör utvidgas</w:t>
      </w:r>
      <w:bookmarkEnd w:id="23"/>
      <w:r w:rsidRPr="00F517E2">
        <w:t xml:space="preserve"> </w:t>
      </w:r>
    </w:p>
    <w:p w:rsidR="00BE6BC5" w:rsidRPr="00F517E2" w:rsidRDefault="00BE6BC5" w:rsidP="00BE6BC5">
      <w:pPr>
        <w:pStyle w:val="Utskottsfrslagikorthet-Rubrik"/>
        <w:numPr>
          <w:ilvl w:val="0"/>
          <w:numId w:val="0"/>
        </w:numPr>
        <w:ind w:left="113"/>
        <w:rPr>
          <w:b w:val="0"/>
          <w:noProof w:val="0"/>
          <w:sz w:val="19"/>
          <w:szCs w:val="19"/>
        </w:rPr>
      </w:pPr>
      <w:r w:rsidRPr="00F517E2">
        <w:rPr>
          <w:noProof w:val="0"/>
          <w:sz w:val="19"/>
          <w:szCs w:val="19"/>
        </w:rPr>
        <w:t xml:space="preserve">Riksdagsstyrelsens förslag: </w:t>
      </w:r>
      <w:r w:rsidRPr="00F517E2">
        <w:rPr>
          <w:b w:val="0"/>
          <w:noProof w:val="0"/>
          <w:sz w:val="19"/>
          <w:szCs w:val="19"/>
        </w:rPr>
        <w:t xml:space="preserve">Möjligheterna att fatta beslut om jämkning av inkomstgaranti bör utvidgas. Samordningsreglerna </w:t>
      </w:r>
      <w:r w:rsidR="003C2EBD" w:rsidRPr="00F517E2">
        <w:rPr>
          <w:b w:val="0"/>
          <w:noProof w:val="0"/>
          <w:sz w:val="19"/>
          <w:szCs w:val="19"/>
        </w:rPr>
        <w:t>ska enligt förslaget</w:t>
      </w:r>
      <w:r w:rsidR="00E12A62" w:rsidRPr="00F517E2">
        <w:rPr>
          <w:b w:val="0"/>
          <w:noProof w:val="0"/>
          <w:sz w:val="19"/>
          <w:szCs w:val="19"/>
        </w:rPr>
        <w:t xml:space="preserve"> inte ändras i sak men </w:t>
      </w:r>
      <w:r w:rsidRPr="00F517E2">
        <w:rPr>
          <w:b w:val="0"/>
          <w:noProof w:val="0"/>
          <w:sz w:val="19"/>
          <w:szCs w:val="19"/>
        </w:rPr>
        <w:t xml:space="preserve">bör </w:t>
      </w:r>
      <w:r w:rsidR="001F0D65" w:rsidRPr="00F517E2">
        <w:rPr>
          <w:b w:val="0"/>
          <w:noProof w:val="0"/>
          <w:sz w:val="19"/>
          <w:szCs w:val="19"/>
        </w:rPr>
        <w:t>förtydligas</w:t>
      </w:r>
      <w:r w:rsidRPr="00F517E2">
        <w:rPr>
          <w:b w:val="0"/>
          <w:noProof w:val="0"/>
          <w:sz w:val="19"/>
          <w:szCs w:val="19"/>
        </w:rPr>
        <w:t>.</w:t>
      </w:r>
    </w:p>
    <w:p w:rsidR="00BE6BC5" w:rsidRPr="00F517E2" w:rsidRDefault="007F3B7B" w:rsidP="00BE6BC5">
      <w:r w:rsidRPr="00F517E2">
        <w:rPr>
          <w:b/>
        </w:rPr>
        <w:t>Ar</w:t>
      </w:r>
      <w:r w:rsidR="003969ED" w:rsidRPr="00F517E2">
        <w:rPr>
          <w:b/>
        </w:rPr>
        <w:t>bet</w:t>
      </w:r>
      <w:r w:rsidR="00296784" w:rsidRPr="00F517E2">
        <w:rPr>
          <w:b/>
        </w:rPr>
        <w:t>s</w:t>
      </w:r>
      <w:r w:rsidR="003969ED" w:rsidRPr="00F517E2">
        <w:rPr>
          <w:b/>
        </w:rPr>
        <w:t>gruppens</w:t>
      </w:r>
      <w:r w:rsidR="00BE6BC5" w:rsidRPr="00F517E2">
        <w:rPr>
          <w:b/>
        </w:rPr>
        <w:t xml:space="preserve"> förslag </w:t>
      </w:r>
      <w:r w:rsidR="00BE6BC5" w:rsidRPr="00F517E2">
        <w:t xml:space="preserve">överensstämmer </w:t>
      </w:r>
      <w:r w:rsidR="003969ED" w:rsidRPr="00F517E2">
        <w:t xml:space="preserve">i allt väsentligt </w:t>
      </w:r>
      <w:r w:rsidR="00BE6BC5" w:rsidRPr="00F517E2">
        <w:t>med riksdagsstyre</w:t>
      </w:r>
      <w:r w:rsidR="00BE6BC5" w:rsidRPr="00F517E2">
        <w:t>l</w:t>
      </w:r>
      <w:r w:rsidR="00BE6BC5" w:rsidRPr="00F517E2">
        <w:t>sens fö</w:t>
      </w:r>
      <w:r w:rsidR="00BE6BC5" w:rsidRPr="00F517E2">
        <w:t>r</w:t>
      </w:r>
      <w:r w:rsidR="00BE6BC5" w:rsidRPr="00F517E2">
        <w:t xml:space="preserve">slag. </w:t>
      </w:r>
    </w:p>
    <w:p w:rsidR="00BE6BC5" w:rsidRPr="00F517E2" w:rsidRDefault="00BE6BC5" w:rsidP="00BE6BC5">
      <w:pPr>
        <w:rPr>
          <w:b/>
        </w:rPr>
      </w:pPr>
      <w:r w:rsidRPr="00F517E2">
        <w:rPr>
          <w:b/>
        </w:rPr>
        <w:t xml:space="preserve">Remissinstanserna: </w:t>
      </w:r>
    </w:p>
    <w:p w:rsidR="00646AA7" w:rsidRPr="00F517E2" w:rsidRDefault="00646AA7" w:rsidP="00E222B6">
      <w:r w:rsidRPr="00F517E2">
        <w:t>Skatteverket har tillstyrkt förslaget.</w:t>
      </w:r>
    </w:p>
    <w:p w:rsidR="00602795" w:rsidRPr="00F517E2" w:rsidRDefault="00602795" w:rsidP="00646AA7">
      <w:pPr>
        <w:pStyle w:val="Normaltindrag"/>
      </w:pPr>
      <w:r w:rsidRPr="00F517E2">
        <w:t>Regeringskansliet har påpekat att regelve</w:t>
      </w:r>
      <w:r w:rsidRPr="00F517E2">
        <w:t>r</w:t>
      </w:r>
      <w:r w:rsidRPr="00F517E2">
        <w:t>ket kring inkomstgarantin skiljer sig från det som gäller för chefsanställningar inom staten på det sättet att i</w:t>
      </w:r>
      <w:r w:rsidRPr="00F517E2">
        <w:t>n</w:t>
      </w:r>
      <w:r w:rsidRPr="00F517E2">
        <w:t>komstgarantin för tidigare riksdagsledamöter är pensionsgrundande i fem år under det att inkomstgaranti enligt förordningen (2003:55) om avgångsfö</w:t>
      </w:r>
      <w:r w:rsidRPr="00F517E2">
        <w:t>r</w:t>
      </w:r>
      <w:r w:rsidRPr="00F517E2">
        <w:t>måner för vissa arbetstagare med statlig chefsanställning betraktas som pe</w:t>
      </w:r>
      <w:r w:rsidRPr="00F517E2">
        <w:t>n</w:t>
      </w:r>
      <w:r w:rsidRPr="00F517E2">
        <w:t xml:space="preserve">sion och därmed inte kan vara pensionsgrundande. </w:t>
      </w:r>
    </w:p>
    <w:p w:rsidR="008903D8" w:rsidRPr="00F517E2" w:rsidRDefault="003969ED" w:rsidP="00602795">
      <w:pPr>
        <w:pStyle w:val="Normaltindrag"/>
      </w:pPr>
      <w:r w:rsidRPr="00F517E2">
        <w:t xml:space="preserve">Statens pensionsverk har anfört att arbetsgruppens förslag i fråga om vilka inkomster som ska påverka inkomstgarantin bör förtydligas, se vidare </w:t>
      </w:r>
      <w:r w:rsidR="00296784" w:rsidRPr="00F517E2">
        <w:t xml:space="preserve">avsnitt </w:t>
      </w:r>
      <w:r w:rsidRPr="00F517E2">
        <w:t>5.2.9.</w:t>
      </w:r>
      <w:r w:rsidR="008903D8" w:rsidRPr="00F517E2">
        <w:t xml:space="preserve"> </w:t>
      </w:r>
    </w:p>
    <w:p w:rsidR="00E222B6" w:rsidRPr="00F517E2" w:rsidRDefault="005B3570" w:rsidP="008903D8">
      <w:pPr>
        <w:pStyle w:val="Normaltindrag"/>
      </w:pPr>
      <w:r w:rsidRPr="00F517E2">
        <w:t>Kammarrätten i Stockholm har utifrån de aspekter domstolen har att bea</w:t>
      </w:r>
      <w:r w:rsidRPr="00F517E2">
        <w:t>k</w:t>
      </w:r>
      <w:r w:rsidRPr="00F517E2">
        <w:t>ta inte några sy</w:t>
      </w:r>
      <w:r w:rsidRPr="00F517E2">
        <w:t>n</w:t>
      </w:r>
      <w:r w:rsidRPr="00F517E2">
        <w:t xml:space="preserve">punkter på förslaget. Riksdagens ombudsmän </w:t>
      </w:r>
      <w:r w:rsidR="002569E5" w:rsidRPr="00F517E2">
        <w:t xml:space="preserve">(JO) har från de synpunkter som JO har att beakta inga </w:t>
      </w:r>
      <w:r w:rsidR="00296784" w:rsidRPr="00F517E2">
        <w:t>invändningar</w:t>
      </w:r>
      <w:r w:rsidR="002569E5" w:rsidRPr="00F517E2">
        <w:t xml:space="preserve"> mot förslaget. Sver</w:t>
      </w:r>
      <w:r w:rsidR="002569E5" w:rsidRPr="00F517E2">
        <w:t>i</w:t>
      </w:r>
      <w:r w:rsidR="002569E5" w:rsidRPr="00F517E2">
        <w:t>ges Komm</w:t>
      </w:r>
      <w:r w:rsidR="002569E5" w:rsidRPr="00F517E2">
        <w:t>u</w:t>
      </w:r>
      <w:r w:rsidR="002569E5" w:rsidRPr="00F517E2">
        <w:t xml:space="preserve">ner och Landsting har avstått från att lämna synpunkter. </w:t>
      </w:r>
    </w:p>
    <w:p w:rsidR="00BE6BC5" w:rsidRPr="00F517E2" w:rsidRDefault="00BE6BC5" w:rsidP="00BE6BC5">
      <w:pPr>
        <w:pStyle w:val="R4"/>
      </w:pPr>
      <w:r w:rsidRPr="00F517E2">
        <w:t>Gällande ordning</w:t>
      </w:r>
    </w:p>
    <w:p w:rsidR="00E222B6" w:rsidRPr="00F517E2" w:rsidRDefault="00BE6BC5" w:rsidP="00BA2B26">
      <w:pPr>
        <w:spacing w:before="0"/>
      </w:pPr>
      <w:r w:rsidRPr="00F517E2">
        <w:t>Bestämmelser om inkomstgaranti för den som varit ledamot av riksdagen finns i 13 kap. lagen (1994:1065) om ekonomiska villkor för riksdagens l</w:t>
      </w:r>
      <w:r w:rsidRPr="00F517E2">
        <w:t>e</w:t>
      </w:r>
      <w:r w:rsidRPr="00F517E2">
        <w:t>damöter (</w:t>
      </w:r>
      <w:r w:rsidR="00734855" w:rsidRPr="00F517E2">
        <w:t xml:space="preserve">förkortad </w:t>
      </w:r>
      <w:r w:rsidRPr="00F517E2">
        <w:t>ersättningslagen). Allmänt gäller att inkomstgara</w:t>
      </w:r>
      <w:r w:rsidRPr="00F517E2">
        <w:t>n</w:t>
      </w:r>
      <w:r w:rsidRPr="00F517E2">
        <w:t>tin</w:t>
      </w:r>
      <w:r w:rsidR="00D2133D" w:rsidRPr="00F517E2">
        <w:t>s</w:t>
      </w:r>
      <w:r w:rsidRPr="00F517E2">
        <w:t xml:space="preserve"> </w:t>
      </w:r>
      <w:r w:rsidR="00D2133D" w:rsidRPr="00F517E2">
        <w:t xml:space="preserve">längd </w:t>
      </w:r>
      <w:r w:rsidRPr="00F517E2">
        <w:t xml:space="preserve">avgörs av hur lång tid vederbörande varit ledamot av riksdagen. Hur stor inkomstgaranti som betalas ut beror dels på vilka inkomster ledamoten hade i riksdagen vid avgången, dels på antalet år som han eller hon varit ledamot och dels på vilka andra inkomster den före detta ledamoten har. Det är Statens pensionsverk som prövar hur stort belopp som ska betalas ut. </w:t>
      </w:r>
    </w:p>
    <w:p w:rsidR="00E222B6" w:rsidRPr="00F517E2" w:rsidRDefault="00BE6BC5" w:rsidP="00E222B6">
      <w:pPr>
        <w:pStyle w:val="Normaltindrag"/>
      </w:pPr>
      <w:r w:rsidRPr="00F517E2">
        <w:t>Det är endast pensionsgrundande inkomster som överstiger ett prisbasb</w:t>
      </w:r>
      <w:r w:rsidRPr="00F517E2">
        <w:t>e</w:t>
      </w:r>
      <w:r w:rsidRPr="00F517E2">
        <w:t xml:space="preserve">lopp som reducerar det belopp som utbetalas i inkomstgaranti. Inkomst av aktiv näringsverksamhet är pensionsgrundande och ska således </w:t>
      </w:r>
      <w:r w:rsidR="001548BD" w:rsidRPr="00F517E2">
        <w:t>medföra</w:t>
      </w:r>
      <w:r w:rsidRPr="00F517E2">
        <w:t xml:space="preserve"> red</w:t>
      </w:r>
      <w:r w:rsidRPr="00F517E2">
        <w:t>u</w:t>
      </w:r>
      <w:r w:rsidRPr="00F517E2">
        <w:t>cering av inkomstgarantin. Inkomst av passiv näringsverksamhet är dä</w:t>
      </w:r>
      <w:r w:rsidRPr="00F517E2">
        <w:t>r</w:t>
      </w:r>
      <w:r w:rsidRPr="00F517E2">
        <w:t>emot inte pensionsgrundande och ska därmed inte reducera inkomstgara</w:t>
      </w:r>
      <w:r w:rsidRPr="00F517E2">
        <w:t>n</w:t>
      </w:r>
      <w:r w:rsidRPr="00F517E2">
        <w:t>tin. För att näringsverksamhet ska anses som aktiv krävs att den som är skattsky</w:t>
      </w:r>
      <w:r w:rsidRPr="00F517E2">
        <w:t>l</w:t>
      </w:r>
      <w:r w:rsidRPr="00F517E2">
        <w:t>dig för verksamheten arbetat i inte oväsentlig omfattning, se 2 kap. 23 § inkomstska</w:t>
      </w:r>
      <w:r w:rsidRPr="00F517E2">
        <w:t>t</w:t>
      </w:r>
      <w:r w:rsidRPr="00F517E2">
        <w:t xml:space="preserve">telagen (1999:1229), </w:t>
      </w:r>
      <w:r w:rsidR="00A8259C" w:rsidRPr="00F517E2">
        <w:t>förkortad</w:t>
      </w:r>
      <w:r w:rsidRPr="00F517E2">
        <w:t xml:space="preserve"> IL.</w:t>
      </w:r>
    </w:p>
    <w:p w:rsidR="00E222B6" w:rsidRPr="00F517E2" w:rsidRDefault="00BE6BC5" w:rsidP="00E222B6">
      <w:pPr>
        <w:pStyle w:val="Normaltindrag"/>
      </w:pPr>
      <w:r w:rsidRPr="00F517E2">
        <w:t xml:space="preserve">När det gäller förvärvsinkomsters betydelse för det belopp som utbetalas gäller att inkomster som understiger ett prisbasbelopp inte inverkar alls på rätten till inkomstgaranti. De inkomster som överstiger </w:t>
      </w:r>
      <w:r w:rsidR="001548BD" w:rsidRPr="00F517E2">
        <w:t xml:space="preserve">den </w:t>
      </w:r>
      <w:r w:rsidRPr="00F517E2">
        <w:t>nämnda gräns</w:t>
      </w:r>
      <w:r w:rsidR="001548BD" w:rsidRPr="00F517E2">
        <w:t>en</w:t>
      </w:r>
      <w:r w:rsidRPr="00F517E2">
        <w:t xml:space="preserve"> p</w:t>
      </w:r>
      <w:r w:rsidRPr="00F517E2">
        <w:t>å</w:t>
      </w:r>
      <w:r w:rsidRPr="00F517E2">
        <w:t>verkar inkomstgarantins storlek i varierande grad beroende på hur lång tid vederböra</w:t>
      </w:r>
      <w:r w:rsidRPr="00F517E2">
        <w:t>n</w:t>
      </w:r>
      <w:r w:rsidRPr="00F517E2">
        <w:t xml:space="preserve">de varit ledamot av riksdagen. För den som varit riksdagsledamot under en valperiod och har en ettårig inkomstgaranti blir minskningen 80 </w:t>
      </w:r>
      <w:r w:rsidR="001548BD" w:rsidRPr="00F517E2">
        <w:t>procent</w:t>
      </w:r>
      <w:r w:rsidRPr="00F517E2">
        <w:t xml:space="preserve"> av inkomstens storlek. Att en inkomst av ett slag på detta sätt i</w:t>
      </w:r>
      <w:r w:rsidRPr="00F517E2">
        <w:t>n</w:t>
      </w:r>
      <w:r w:rsidRPr="00F517E2">
        <w:t xml:space="preserve">verkar på storleken av en annan inkomst kallas ofta för samordning. </w:t>
      </w:r>
    </w:p>
    <w:p w:rsidR="00E222B6" w:rsidRPr="00F517E2" w:rsidRDefault="00BE6BC5" w:rsidP="00E222B6">
      <w:pPr>
        <w:pStyle w:val="Normaltindrag"/>
      </w:pPr>
      <w:r w:rsidRPr="00F517E2">
        <w:t xml:space="preserve">Enligt 13 kap. 16 § ersättningslagen ankommer det på </w:t>
      </w:r>
      <w:r w:rsidR="002218F4" w:rsidRPr="00F517E2">
        <w:t>a</w:t>
      </w:r>
      <w:r w:rsidRPr="00F517E2">
        <w:t>rvodesnämnden att fatta beslut om jämkning av inkomstgaranti. Såvitt nu är av intresse för</w:t>
      </w:r>
      <w:r w:rsidRPr="00F517E2">
        <w:t>e</w:t>
      </w:r>
      <w:r w:rsidRPr="00F517E2">
        <w:t>skrivs i den bestämmelsen att nämnden får besluta att rätt till inkomstgaranti inte föreligger eller att utbetalningen av inkomstgaranti ska minskas eller helt upphöra under föru</w:t>
      </w:r>
      <w:r w:rsidRPr="00F517E2">
        <w:t>t</w:t>
      </w:r>
      <w:r w:rsidRPr="00F517E2">
        <w:t xml:space="preserve">sättning att garantitagaren förvärvsarbetar i väsentlig omfattning åt någon annan och inte tar ut skälig ersättning för detta arbete. </w:t>
      </w:r>
    </w:p>
    <w:p w:rsidR="00BE6BC5" w:rsidRPr="00F517E2" w:rsidRDefault="00BE6BC5" w:rsidP="00E222B6">
      <w:pPr>
        <w:pStyle w:val="Normaltindrag"/>
      </w:pPr>
      <w:r w:rsidRPr="00F517E2">
        <w:t xml:space="preserve">Av motiven till bestämmelsen (framst. 2005/06:RS4 s. 69) framgår att den är tänkt att tillämpas bl.a. i situationer där garantitagaren arbetar i ett eget eller i en närståendes bolag. Syftet med bestämmelsen är bl.a. att komma till rätta med fall där garantitagaren skjuter upp sina inkomster från ett bolag genom att inte ta ut lön trots att bolaget visar en vinst och härigenom ökar bolagets värde. Tanken med jämkningsregeln är alltså att göra det möjligt att ingripa mot kringgående av reglerna om inkomstgaranti. I motiven anges också att beslut om jämkning gäller tills vidare. </w:t>
      </w:r>
    </w:p>
    <w:p w:rsidR="00BE6BC5" w:rsidRPr="00F517E2" w:rsidRDefault="00F27038" w:rsidP="00BA2B26">
      <w:pPr>
        <w:pStyle w:val="R4"/>
        <w:spacing w:line="250" w:lineRule="atLeast"/>
      </w:pPr>
      <w:r w:rsidRPr="00F517E2">
        <w:t>Riksdagss</w:t>
      </w:r>
      <w:r w:rsidR="00BE6BC5" w:rsidRPr="00F517E2">
        <w:t>tyrelsens ställningstagande</w:t>
      </w:r>
    </w:p>
    <w:p w:rsidR="00E222B6" w:rsidRPr="00F517E2" w:rsidRDefault="007A056D" w:rsidP="00BA2B26">
      <w:pPr>
        <w:spacing w:before="0"/>
      </w:pPr>
      <w:r w:rsidRPr="00F517E2">
        <w:t>Som framgår ovan är syftet med inkomstgarantin att skapa tryg</w:t>
      </w:r>
      <w:r w:rsidRPr="00F517E2">
        <w:t>g</w:t>
      </w:r>
      <w:r w:rsidRPr="00F517E2">
        <w:t>het i den omställningssituation som uppstår när ledamoten lämnar riksdagsuppdr</w:t>
      </w:r>
      <w:r w:rsidRPr="00F517E2">
        <w:t>a</w:t>
      </w:r>
      <w:r w:rsidRPr="00F517E2">
        <w:t xml:space="preserve">get. </w:t>
      </w:r>
      <w:r w:rsidR="001E6A03" w:rsidRPr="00F517E2">
        <w:t xml:space="preserve">Det är angeläget att </w:t>
      </w:r>
      <w:r w:rsidRPr="00F517E2">
        <w:t>regelverket utformas så att det bidrar till att inkomstg</w:t>
      </w:r>
      <w:r w:rsidRPr="00F517E2">
        <w:t>a</w:t>
      </w:r>
      <w:r w:rsidRPr="00F517E2">
        <w:t>ranti bara betalas ut i de fall då det är motiverat för att skapa tryg</w:t>
      </w:r>
      <w:r w:rsidRPr="00F517E2">
        <w:t>g</w:t>
      </w:r>
      <w:r w:rsidRPr="00F517E2">
        <w:t xml:space="preserve">het vid omställningen. Det nuvarande regelverket </w:t>
      </w:r>
      <w:r w:rsidR="001548BD" w:rsidRPr="00F517E2">
        <w:t xml:space="preserve">för </w:t>
      </w:r>
      <w:r w:rsidRPr="00F517E2">
        <w:t>jämkning fungerar i huvu</w:t>
      </w:r>
      <w:r w:rsidRPr="00F517E2">
        <w:t>d</w:t>
      </w:r>
      <w:r w:rsidRPr="00F517E2">
        <w:t>sak väl. Redan jämkningsreglernas existens torde ha en viss betydelse i detta sa</w:t>
      </w:r>
      <w:r w:rsidRPr="00F517E2">
        <w:t>m</w:t>
      </w:r>
      <w:r w:rsidRPr="00F517E2">
        <w:t>manhang. Samtidigt står det klart att regelverket som det är utformat i dag inte fullt ut kan förhindra att inkomstgaranti betalas ut i situationer där det inte fi</w:t>
      </w:r>
      <w:r w:rsidR="002C3CA6" w:rsidRPr="00F517E2">
        <w:t>nns</w:t>
      </w:r>
      <w:r w:rsidRPr="00F517E2">
        <w:t xml:space="preserve"> ett reellt behov av en omställningsförmån. </w:t>
      </w:r>
    </w:p>
    <w:p w:rsidR="00E222B6" w:rsidRPr="00F517E2" w:rsidRDefault="007A056D" w:rsidP="00E222B6">
      <w:pPr>
        <w:pStyle w:val="Normaltindrag"/>
      </w:pPr>
      <w:r w:rsidRPr="00F517E2">
        <w:t>Det är inte ovanligt att garantitagare i viss utsträckning bedriver näring</w:t>
      </w:r>
      <w:r w:rsidRPr="00F517E2">
        <w:t>s</w:t>
      </w:r>
      <w:r w:rsidRPr="00F517E2">
        <w:t>verksamhet. Uppgifter som inhämtats från Skatteverket visar att 16 garantit</w:t>
      </w:r>
      <w:r w:rsidRPr="00F517E2">
        <w:t>a</w:t>
      </w:r>
      <w:r w:rsidRPr="00F517E2">
        <w:t xml:space="preserve">gare bedrev en sådan verksamhet under inkomstår 2007. Det motsvarar 19 procent av antalet personer som </w:t>
      </w:r>
      <w:r w:rsidR="001E6A03" w:rsidRPr="00F517E2">
        <w:t xml:space="preserve">2009 </w:t>
      </w:r>
      <w:r w:rsidRPr="00F517E2">
        <w:t>uppb</w:t>
      </w:r>
      <w:r w:rsidR="001E6A03" w:rsidRPr="00F517E2">
        <w:t>a</w:t>
      </w:r>
      <w:r w:rsidRPr="00F517E2">
        <w:t>r inkomstgaranti. I den mån g</w:t>
      </w:r>
      <w:r w:rsidRPr="00F517E2">
        <w:t>a</w:t>
      </w:r>
      <w:r w:rsidRPr="00F517E2">
        <w:t>rantit</w:t>
      </w:r>
      <w:r w:rsidRPr="00F517E2">
        <w:t>a</w:t>
      </w:r>
      <w:r w:rsidRPr="00F517E2">
        <w:t>garen använder inkomstgarantin som ett försörjningsstöd under ett uppbyggnad</w:t>
      </w:r>
      <w:r w:rsidRPr="00F517E2">
        <w:t>s</w:t>
      </w:r>
      <w:r w:rsidRPr="00F517E2">
        <w:t>skede av näringsverksamheten måste detta anses vara helt i linje med syftet med inkomstgarantin eftersom den ska vara en förmån som utgår i en omställningssituation. Inte heller framstår det som problematiskt om g</w:t>
      </w:r>
      <w:r w:rsidRPr="00F517E2">
        <w:t>a</w:t>
      </w:r>
      <w:r w:rsidRPr="00F517E2">
        <w:t>rantitagaren i det sammanhanget utnyttjar skattelagstiftningens möjli</w:t>
      </w:r>
      <w:r w:rsidRPr="00F517E2">
        <w:t>g</w:t>
      </w:r>
      <w:r w:rsidRPr="00F517E2">
        <w:t>heter att fördela inkomster över tiden. Så kan ske exempelvis genom avsät</w:t>
      </w:r>
      <w:r w:rsidRPr="00F517E2">
        <w:t>t</w:t>
      </w:r>
      <w:r w:rsidRPr="00F517E2">
        <w:t>ning till periodiseringsfond. Vad som däremot inte kan sägas vara fö</w:t>
      </w:r>
      <w:r w:rsidRPr="00F517E2">
        <w:t>r</w:t>
      </w:r>
      <w:r w:rsidRPr="00F517E2">
        <w:t>enligt med syftet med inkomstgarantin är att göra avsättningar eller vidta andra åtgärder enbart i syfte att påverka den pensionsgrundande inkom</w:t>
      </w:r>
      <w:r w:rsidRPr="00F517E2">
        <w:t>s</w:t>
      </w:r>
      <w:r w:rsidRPr="00F517E2">
        <w:t>ten och på det sättet göra det möjligt att lyfta en högre inkomstgaranti. Det är oklart i vilken utsträc</w:t>
      </w:r>
      <w:r w:rsidRPr="00F517E2">
        <w:t>k</w:t>
      </w:r>
      <w:r w:rsidRPr="00F517E2">
        <w:t>ning detta förekommer</w:t>
      </w:r>
      <w:r w:rsidR="00051BAF" w:rsidRPr="00F517E2">
        <w:t>,</w:t>
      </w:r>
      <w:r w:rsidRPr="00F517E2">
        <w:t xml:space="preserve"> men som framgått ovan bedriver 19 procent av gara</w:t>
      </w:r>
      <w:r w:rsidRPr="00F517E2">
        <w:t>n</w:t>
      </w:r>
      <w:r w:rsidRPr="00F517E2">
        <w:t>titagarna näringsverksamhet och enligt uppgifter från Skatt</w:t>
      </w:r>
      <w:r w:rsidRPr="00F517E2">
        <w:t>e</w:t>
      </w:r>
      <w:r w:rsidRPr="00F517E2">
        <w:t xml:space="preserve">verket </w:t>
      </w:r>
      <w:r w:rsidR="00D844B2" w:rsidRPr="00F517E2">
        <w:t xml:space="preserve">för 2009 </w:t>
      </w:r>
      <w:r w:rsidRPr="00F517E2">
        <w:t>kan det på goda grunder antas att möjligheterna till fondavsättningar utnyt</w:t>
      </w:r>
      <w:r w:rsidRPr="00F517E2">
        <w:t>t</w:t>
      </w:r>
      <w:r w:rsidRPr="00F517E2">
        <w:t xml:space="preserve">jas när det är möjligt eftersom reglerna är förmånliga. </w:t>
      </w:r>
    </w:p>
    <w:p w:rsidR="00E222B6" w:rsidRPr="00F517E2" w:rsidRDefault="007A056D" w:rsidP="00E222B6">
      <w:pPr>
        <w:pStyle w:val="Normaltindrag"/>
      </w:pPr>
      <w:r w:rsidRPr="00F517E2">
        <w:t>Det som nu sagts innebär att det finns vissa möjligheter att genom exe</w:t>
      </w:r>
      <w:r w:rsidRPr="00F517E2">
        <w:t>m</w:t>
      </w:r>
      <w:r w:rsidRPr="00F517E2">
        <w:t>pelvis avsättningar till olika fonder påverka storleken på den utbetalda i</w:t>
      </w:r>
      <w:r w:rsidRPr="00F517E2">
        <w:t>n</w:t>
      </w:r>
      <w:r w:rsidRPr="00F517E2">
        <w:t>komstgarantin. En utgång</w:t>
      </w:r>
      <w:r w:rsidRPr="00F517E2">
        <w:t>s</w:t>
      </w:r>
      <w:r w:rsidRPr="00F517E2">
        <w:t>punkt bör emellertid vara att reglerna utformas så att de i största möjliga utsträckning förhindrar att inkomstgaranti betalas ut i de fall utbetalningen inte tillgodoser det grundläggande syftet med garantin. Samtidigt bör rege</w:t>
      </w:r>
      <w:r w:rsidRPr="00F517E2">
        <w:t>l</w:t>
      </w:r>
      <w:r w:rsidRPr="00F517E2">
        <w:t>verket ge uttryck för en enhetlig syn på fondavsättningar – om de accepteras skatterättsligt bör de inte som huvudregel leda till kons</w:t>
      </w:r>
      <w:r w:rsidRPr="00F517E2">
        <w:t>e</w:t>
      </w:r>
      <w:r w:rsidRPr="00F517E2">
        <w:t>kvenser för inkoms</w:t>
      </w:r>
      <w:r w:rsidRPr="00F517E2">
        <w:t>t</w:t>
      </w:r>
      <w:r w:rsidRPr="00F517E2">
        <w:t>garantin. Frågan blir då hur en sådan uppstramning av reglerna bör göras. Ett sätt skulle kunna vara att ändra reglerna för samor</w:t>
      </w:r>
      <w:r w:rsidRPr="00F517E2">
        <w:t>d</w:t>
      </w:r>
      <w:r w:rsidRPr="00F517E2">
        <w:t>ning så att inte bara pe</w:t>
      </w:r>
      <w:r w:rsidRPr="00F517E2">
        <w:t>n</w:t>
      </w:r>
      <w:r w:rsidRPr="00F517E2">
        <w:t>sionsgrundande inkomster ska läggas till grund för vilket belopp som ska betalas ut i inkomstgaranti. Här kan man tänka sig en ordning som skulle kunna innebära att belopp som minskat den pension</w:t>
      </w:r>
      <w:r w:rsidRPr="00F517E2">
        <w:t>s</w:t>
      </w:r>
      <w:r w:rsidRPr="00F517E2">
        <w:t>grundande i</w:t>
      </w:r>
      <w:r w:rsidRPr="00F517E2">
        <w:t>n</w:t>
      </w:r>
      <w:r w:rsidRPr="00F517E2">
        <w:t>komsten genom avsättning till exempelvis periodiseringsfond skulle läggas till den pensionsgrundande inkomsten och påverka storleken på det utbetalda belo</w:t>
      </w:r>
      <w:r w:rsidRPr="00F517E2">
        <w:t>p</w:t>
      </w:r>
      <w:r w:rsidRPr="00F517E2">
        <w:t>pet. Denna ordning skulle med andra ord innebära att man bortser från avsät</w:t>
      </w:r>
      <w:r w:rsidRPr="00F517E2">
        <w:t>t</w:t>
      </w:r>
      <w:r w:rsidRPr="00F517E2">
        <w:t>ningen vid beräkningen av inkomstgarantin redan inför utbetalningen. Med den nu gällande ordningen skulle det innebära att frågan fick hanteras av Statens pensionsverk. Alternativet till en sådan förändring är att utvidga mö</w:t>
      </w:r>
      <w:r w:rsidRPr="00F517E2">
        <w:t>j</w:t>
      </w:r>
      <w:r w:rsidRPr="00F517E2">
        <w:t xml:space="preserve">ligheterna till jämkning, dvs. att i efterhand göra en justering av det belopp som bör tillkomma garantitagaren. </w:t>
      </w:r>
    </w:p>
    <w:p w:rsidR="00E222B6" w:rsidRPr="00F517E2" w:rsidRDefault="007A056D" w:rsidP="00E222B6">
      <w:pPr>
        <w:pStyle w:val="Normaltindrag"/>
      </w:pPr>
      <w:r w:rsidRPr="00F517E2">
        <w:t>Som skäl för en ordning som innebär att man redan i samband med utb</w:t>
      </w:r>
      <w:r w:rsidRPr="00F517E2">
        <w:t>e</w:t>
      </w:r>
      <w:r w:rsidRPr="00F517E2">
        <w:t>talningarna bortser från avsättnin</w:t>
      </w:r>
      <w:r w:rsidRPr="00F517E2">
        <w:t>g</w:t>
      </w:r>
      <w:r w:rsidRPr="00F517E2">
        <w:t>ar m.m. kan anföras att det är mer naturligt att lätt iakttagbara förhållanden bedöms inom ramen för den prövning som St</w:t>
      </w:r>
      <w:r w:rsidRPr="00F517E2">
        <w:t>a</w:t>
      </w:r>
      <w:r w:rsidRPr="00F517E2">
        <w:t>tens pensionsverk svarar för. Om exempelvis en garantitagare frivilligt lämnar en uppgift om avsättningen skulle Statens pensionsverk enkelt kunna beräkna garantibeloppets storlek. Detsamma skulle kunna vara fallet om Skatteverket inom ramen för den up</w:t>
      </w:r>
      <w:r w:rsidRPr="00F517E2">
        <w:t>p</w:t>
      </w:r>
      <w:r w:rsidRPr="00F517E2">
        <w:t xml:space="preserve">giftsskyldighet som gäller enligt 13 kap. </w:t>
      </w:r>
      <w:smartTag w:uri="urn:schemas-microsoft-com:office:smarttags" w:element="metricconverter">
        <w:smartTagPr>
          <w:attr w:name="ProductID" w:val="24 a"/>
        </w:smartTagPr>
        <w:r w:rsidRPr="00F517E2">
          <w:t>24 a</w:t>
        </w:r>
      </w:smartTag>
      <w:r w:rsidRPr="00F517E2">
        <w:t xml:space="preserve"> § e</w:t>
      </w:r>
      <w:r w:rsidRPr="00F517E2">
        <w:t>r</w:t>
      </w:r>
      <w:r w:rsidRPr="00F517E2">
        <w:t>sättningslagen skulle lämna uppgifter om avsättningar till Statens pension</w:t>
      </w:r>
      <w:r w:rsidRPr="00F517E2">
        <w:t>s</w:t>
      </w:r>
      <w:r w:rsidRPr="00F517E2">
        <w:t xml:space="preserve">verk. </w:t>
      </w:r>
    </w:p>
    <w:p w:rsidR="00E222B6" w:rsidRPr="00F517E2" w:rsidRDefault="00051BAF" w:rsidP="00E222B6">
      <w:pPr>
        <w:pStyle w:val="Normaltindrag"/>
      </w:pPr>
      <w:r w:rsidRPr="00F517E2">
        <w:t>Flera skäl talar emellertid e</w:t>
      </w:r>
      <w:r w:rsidR="007A056D" w:rsidRPr="00F517E2">
        <w:t>mot att ändra samordningsreglerna så att det skulle sakna betydelse att medel avsatts till exempelvis periodiseringsfond. För det första står det klart att fondavsättningar inte generellt kan sägas strida mot syftet med inkomstgarantin. I själva verket är det så att syftet med i</w:t>
      </w:r>
      <w:r w:rsidR="007A056D" w:rsidRPr="00F517E2">
        <w:t>n</w:t>
      </w:r>
      <w:r w:rsidR="007A056D" w:rsidRPr="00F517E2">
        <w:t>komstgarantin i viss utsträckning påminner om de skäl som bär upp möjligh</w:t>
      </w:r>
      <w:r w:rsidR="007A056D" w:rsidRPr="00F517E2">
        <w:t>e</w:t>
      </w:r>
      <w:r w:rsidR="007A056D" w:rsidRPr="00F517E2">
        <w:t>terna till avsättningar till olika fonder. Tanken med att fördela i</w:t>
      </w:r>
      <w:r w:rsidR="007A056D" w:rsidRPr="00F517E2">
        <w:t>n</w:t>
      </w:r>
      <w:r w:rsidR="007A056D" w:rsidRPr="00F517E2">
        <w:t>komster över tid är ju bl.a. att näringsidkaren ska kunna jämna ut inkomsterna över en längre tidsperiod</w:t>
      </w:r>
      <w:r w:rsidRPr="00F517E2">
        <w:t xml:space="preserve">, </w:t>
      </w:r>
      <w:r w:rsidR="007A056D" w:rsidRPr="00F517E2">
        <w:t>vilket kan vara av särskild vikt under ett uppbyggnadssk</w:t>
      </w:r>
      <w:r w:rsidR="007A056D" w:rsidRPr="00F517E2">
        <w:t>e</w:t>
      </w:r>
      <w:r w:rsidR="007A056D" w:rsidRPr="00F517E2">
        <w:t>de. Detta inn</w:t>
      </w:r>
      <w:r w:rsidR="007A056D" w:rsidRPr="00F517E2">
        <w:t>e</w:t>
      </w:r>
      <w:r w:rsidR="007A056D" w:rsidRPr="00F517E2">
        <w:t>bär att det i varje enskilt fall måste göras en bedömning av om det är rimligt att låta avsättningen påverka inkomstgarantin. En sådan bedö</w:t>
      </w:r>
      <w:r w:rsidR="007A056D" w:rsidRPr="00F517E2">
        <w:t>m</w:t>
      </w:r>
      <w:r w:rsidR="007A056D" w:rsidRPr="00F517E2">
        <w:t xml:space="preserve">ning bör – i linje med den ordning som valts för hantering av de nuvarande jämkningsfallen – hellre läggas på </w:t>
      </w:r>
      <w:r w:rsidR="00392416" w:rsidRPr="00F517E2">
        <w:t>a</w:t>
      </w:r>
      <w:r w:rsidR="007A056D" w:rsidRPr="00F517E2">
        <w:t>rvodesnämnden än på Statens pension</w:t>
      </w:r>
      <w:r w:rsidR="007A056D" w:rsidRPr="00F517E2">
        <w:t>s</w:t>
      </w:r>
      <w:r w:rsidR="007A056D" w:rsidRPr="00F517E2">
        <w:t xml:space="preserve">verk. </w:t>
      </w:r>
    </w:p>
    <w:p w:rsidR="00E222B6" w:rsidRPr="00F517E2" w:rsidRDefault="007A056D" w:rsidP="00E222B6">
      <w:pPr>
        <w:pStyle w:val="Normaltindrag"/>
      </w:pPr>
      <w:r w:rsidRPr="00F517E2">
        <w:t>För det andra finns det inte skäl att befara att det kommer att bli fråga om några stora mängder ärenden där det blir aktuellt att bedöma om inkomstg</w:t>
      </w:r>
      <w:r w:rsidRPr="00F517E2">
        <w:t>a</w:t>
      </w:r>
      <w:r w:rsidRPr="00F517E2">
        <w:t xml:space="preserve">rantin ska påverkas av fondavsättningar. Det finns alltså inte av resursmässiga skäl anledning att låta Statens pensionsverk ta hand om saken. </w:t>
      </w:r>
    </w:p>
    <w:p w:rsidR="00E222B6" w:rsidRPr="00F517E2" w:rsidRDefault="007A056D" w:rsidP="00E222B6">
      <w:pPr>
        <w:pStyle w:val="Normaltindrag"/>
      </w:pPr>
      <w:r w:rsidRPr="00F517E2">
        <w:t>Det är främst behovet av att i varje enskilt fall göra en samlad bedömning som talar för att inte ändra samordningsreglerna. I stället bör alltså jäm</w:t>
      </w:r>
      <w:r w:rsidRPr="00F517E2">
        <w:t>k</w:t>
      </w:r>
      <w:r w:rsidRPr="00F517E2">
        <w:t>ningsreglerna utvi</w:t>
      </w:r>
      <w:r w:rsidRPr="00F517E2">
        <w:t>d</w:t>
      </w:r>
      <w:r w:rsidRPr="00F517E2">
        <w:t>gas. Någon särskild nackdel med en sådan ordning kan inte förutses. Jäm</w:t>
      </w:r>
      <w:r w:rsidRPr="00F517E2">
        <w:t>k</w:t>
      </w:r>
      <w:r w:rsidRPr="00F517E2">
        <w:t>ningsreglerna bör därför ändras så att det blir möjligt att besluta om jämkning i fler fall än i dag.</w:t>
      </w:r>
    </w:p>
    <w:p w:rsidR="00E64249" w:rsidRPr="00F517E2" w:rsidRDefault="00E64249" w:rsidP="00E222B6">
      <w:pPr>
        <w:pStyle w:val="Normaltindrag"/>
      </w:pPr>
      <w:r w:rsidRPr="00F517E2">
        <w:t xml:space="preserve">Beträffande </w:t>
      </w:r>
      <w:r w:rsidR="00EB65AB" w:rsidRPr="00F517E2">
        <w:t>R</w:t>
      </w:r>
      <w:r w:rsidRPr="00F517E2">
        <w:t>egeringskansliets påpekande att regelverket kring inkoms</w:t>
      </w:r>
      <w:r w:rsidRPr="00F517E2">
        <w:t>t</w:t>
      </w:r>
      <w:r w:rsidRPr="00F517E2">
        <w:t xml:space="preserve">garantin skiljer sig från det som gäller för chefsanställningar inom staten kan </w:t>
      </w:r>
      <w:r w:rsidR="009F114B" w:rsidRPr="00F517E2">
        <w:t xml:space="preserve">följande </w:t>
      </w:r>
      <w:r w:rsidRPr="00F517E2">
        <w:t>sägas</w:t>
      </w:r>
      <w:r w:rsidR="009F114B" w:rsidRPr="00F517E2">
        <w:t>.</w:t>
      </w:r>
      <w:r w:rsidRPr="00F517E2">
        <w:t xml:space="preserve"> </w:t>
      </w:r>
      <w:r w:rsidR="002E75D3" w:rsidRPr="00F517E2">
        <w:t>Bestämmelsen i 13 kap. 6 § ersättningsl</w:t>
      </w:r>
      <w:r w:rsidR="002E75D3" w:rsidRPr="00F517E2">
        <w:t>a</w:t>
      </w:r>
      <w:r w:rsidR="002E75D3" w:rsidRPr="00F517E2">
        <w:t xml:space="preserve">gen tillkom (då som 13 kap. 3 § tredje stycket) i samband med lagändringar som trädde i kraft den 1 januari 1999 (förslag till riksdagen 1998/99:RFK2, bet. 1998/99:KU1, rskr. 1998/99:92). </w:t>
      </w:r>
      <w:r w:rsidR="000A52E2" w:rsidRPr="00F517E2">
        <w:t xml:space="preserve">I </w:t>
      </w:r>
      <w:r w:rsidR="00965298" w:rsidRPr="00F517E2">
        <w:t>motiven till den bestämmelsen</w:t>
      </w:r>
      <w:r w:rsidR="000A52E2" w:rsidRPr="00F517E2">
        <w:t xml:space="preserve"> angavs bl.a. att </w:t>
      </w:r>
      <w:r w:rsidR="00EB65AB" w:rsidRPr="00F517E2">
        <w:t xml:space="preserve">man </w:t>
      </w:r>
      <w:r w:rsidR="000A52E2" w:rsidRPr="00F517E2">
        <w:t>i samband med i</w:t>
      </w:r>
      <w:r w:rsidR="000A52E2" w:rsidRPr="00F517E2">
        <w:t>n</w:t>
      </w:r>
      <w:r w:rsidR="000A52E2" w:rsidRPr="00F517E2">
        <w:t>komstgarantins tillkomst framhöll att uppdraget som riksdagsledamot är behäftat med osäkerhet och att det är rimligt att de som tar på sig ett sådant viktigt sa</w:t>
      </w:r>
      <w:r w:rsidR="000A52E2" w:rsidRPr="00F517E2">
        <w:t>m</w:t>
      </w:r>
      <w:r w:rsidR="000A52E2" w:rsidRPr="00F517E2">
        <w:t>hällsuppdrag får en trygghet i händelse av att de av det ena eller andra skälet lämnar up</w:t>
      </w:r>
      <w:r w:rsidR="000A52E2" w:rsidRPr="00F517E2">
        <w:t>p</w:t>
      </w:r>
      <w:r w:rsidR="000A52E2" w:rsidRPr="00F517E2">
        <w:t>draget. Detta konstaterande ansågs alltjämt gälla fullt ut. Det till</w:t>
      </w:r>
      <w:r w:rsidR="000A52E2" w:rsidRPr="00F517E2">
        <w:t>a</w:t>
      </w:r>
      <w:r w:rsidR="000A52E2" w:rsidRPr="00F517E2">
        <w:t xml:space="preserve">des att dessa trygghetsregler, för att rätt fylla sitt syfte, borde vara så kompletta som möjligt. Mot </w:t>
      </w:r>
      <w:r w:rsidR="00965298" w:rsidRPr="00F517E2">
        <w:t xml:space="preserve">denna </w:t>
      </w:r>
      <w:r w:rsidR="000A52E2" w:rsidRPr="00F517E2">
        <w:t xml:space="preserve">bakgrund </w:t>
      </w:r>
      <w:r w:rsidR="00965298" w:rsidRPr="00F517E2">
        <w:t xml:space="preserve">beslutades </w:t>
      </w:r>
      <w:r w:rsidR="000A52E2" w:rsidRPr="00F517E2">
        <w:t>att inkomstgara</w:t>
      </w:r>
      <w:r w:rsidR="000A52E2" w:rsidRPr="00F517E2">
        <w:t>n</w:t>
      </w:r>
      <w:r w:rsidR="000A52E2" w:rsidRPr="00F517E2">
        <w:t>tin under de första fem åren bör jämställas med inkomst av anställning och således vara att bedöma som pension</w:t>
      </w:r>
      <w:r w:rsidR="000A52E2" w:rsidRPr="00F517E2">
        <w:t>s</w:t>
      </w:r>
      <w:r w:rsidR="000A52E2" w:rsidRPr="00F517E2">
        <w:t xml:space="preserve">grundande inkomst under denna tid. </w:t>
      </w:r>
    </w:p>
    <w:p w:rsidR="007A056D" w:rsidRPr="00F517E2" w:rsidRDefault="00D91949" w:rsidP="00E222B6">
      <w:pPr>
        <w:pStyle w:val="Normaltindrag"/>
      </w:pPr>
      <w:r w:rsidRPr="00F517E2">
        <w:t xml:space="preserve">Arvodesnämnden har i </w:t>
      </w:r>
      <w:r w:rsidR="00392416" w:rsidRPr="00F517E2">
        <w:t xml:space="preserve">ett </w:t>
      </w:r>
      <w:r w:rsidRPr="00F517E2">
        <w:t xml:space="preserve">yttrande över </w:t>
      </w:r>
      <w:r w:rsidR="00602795" w:rsidRPr="00F517E2">
        <w:t xml:space="preserve">Statens pensionsverks </w:t>
      </w:r>
      <w:r w:rsidRPr="00F517E2">
        <w:t xml:space="preserve">remissvar menat att </w:t>
      </w:r>
      <w:r w:rsidR="003877B3" w:rsidRPr="00F517E2">
        <w:t xml:space="preserve">bestämmelserna </w:t>
      </w:r>
      <w:r w:rsidRPr="00F517E2">
        <w:t xml:space="preserve">bör </w:t>
      </w:r>
      <w:r w:rsidR="003877B3" w:rsidRPr="00F517E2">
        <w:t>utformas så att det klargörs vilken art av i</w:t>
      </w:r>
      <w:r w:rsidR="003877B3" w:rsidRPr="00F517E2">
        <w:t>n</w:t>
      </w:r>
      <w:r w:rsidR="003877B3" w:rsidRPr="00F517E2">
        <w:t>komster som ska beaktas</w:t>
      </w:r>
      <w:r w:rsidRPr="00F517E2">
        <w:t xml:space="preserve"> vid prövningen</w:t>
      </w:r>
      <w:r w:rsidR="0048764C" w:rsidRPr="00F517E2">
        <w:t xml:space="preserve"> </w:t>
      </w:r>
      <w:r w:rsidRPr="00F517E2">
        <w:t>av om inkomstgarantin ska påve</w:t>
      </w:r>
      <w:r w:rsidRPr="00F517E2">
        <w:t>r</w:t>
      </w:r>
      <w:r w:rsidRPr="00F517E2">
        <w:t>kas. Riksdagsstyrelsen delar denna uppfattning</w:t>
      </w:r>
      <w:r w:rsidR="003877B3" w:rsidRPr="00F517E2">
        <w:t>, se vid</w:t>
      </w:r>
      <w:r w:rsidR="003877B3" w:rsidRPr="00F517E2">
        <w:t>a</w:t>
      </w:r>
      <w:r w:rsidR="003877B3" w:rsidRPr="00F517E2">
        <w:t xml:space="preserve">re </w:t>
      </w:r>
      <w:r w:rsidR="00EB65AB" w:rsidRPr="00F517E2">
        <w:t xml:space="preserve">avsnitt </w:t>
      </w:r>
      <w:r w:rsidR="003877B3" w:rsidRPr="00F517E2">
        <w:t>5.2.</w:t>
      </w:r>
      <w:r w:rsidRPr="00F517E2">
        <w:t>9</w:t>
      </w:r>
      <w:r w:rsidR="003877B3" w:rsidRPr="00F517E2">
        <w:t>.</w:t>
      </w:r>
    </w:p>
    <w:p w:rsidR="00CE25B7" w:rsidRPr="00F517E2" w:rsidRDefault="007A056D" w:rsidP="00CE25B7">
      <w:pPr>
        <w:pStyle w:val="Rubrik2"/>
      </w:pPr>
      <w:bookmarkStart w:id="24" w:name="_Toc277831117"/>
      <w:r w:rsidRPr="00F517E2">
        <w:t>När bör jämkning kunna ske?</w:t>
      </w:r>
      <w:bookmarkEnd w:id="24"/>
    </w:p>
    <w:p w:rsidR="007A056D" w:rsidRPr="00F517E2" w:rsidRDefault="007A056D" w:rsidP="00CE25B7">
      <w:pPr>
        <w:pStyle w:val="Rubrik3"/>
        <w:rPr>
          <w:noProof w:val="0"/>
        </w:rPr>
      </w:pPr>
      <w:bookmarkStart w:id="25" w:name="_Toc277831118"/>
      <w:r w:rsidRPr="00F517E2">
        <w:rPr>
          <w:noProof w:val="0"/>
        </w:rPr>
        <w:t>Periodiseringsfond</w:t>
      </w:r>
      <w:bookmarkEnd w:id="25"/>
    </w:p>
    <w:p w:rsidR="00FA3DB6" w:rsidRPr="00F517E2" w:rsidRDefault="00FA3DB6" w:rsidP="00FA3DB6">
      <w:pPr>
        <w:pStyle w:val="Utskottsfrslagikorthet-Rubrik"/>
        <w:numPr>
          <w:ilvl w:val="0"/>
          <w:numId w:val="0"/>
        </w:numPr>
        <w:ind w:left="113"/>
        <w:rPr>
          <w:b w:val="0"/>
          <w:noProof w:val="0"/>
          <w:sz w:val="19"/>
          <w:szCs w:val="19"/>
        </w:rPr>
      </w:pPr>
      <w:r w:rsidRPr="00F517E2">
        <w:rPr>
          <w:noProof w:val="0"/>
          <w:sz w:val="19"/>
          <w:szCs w:val="19"/>
        </w:rPr>
        <w:t xml:space="preserve">Riksdagsstyrelsens förslag: </w:t>
      </w:r>
      <w:r w:rsidRPr="00F517E2">
        <w:rPr>
          <w:b w:val="0"/>
          <w:noProof w:val="0"/>
          <w:sz w:val="19"/>
          <w:szCs w:val="19"/>
        </w:rPr>
        <w:t xml:space="preserve">Om </w:t>
      </w:r>
      <w:r w:rsidR="00602795" w:rsidRPr="00F517E2">
        <w:rPr>
          <w:b w:val="0"/>
          <w:noProof w:val="0"/>
          <w:sz w:val="19"/>
          <w:szCs w:val="19"/>
        </w:rPr>
        <w:t>en garantitagare</w:t>
      </w:r>
      <w:r w:rsidRPr="00F517E2">
        <w:rPr>
          <w:b w:val="0"/>
          <w:noProof w:val="0"/>
          <w:sz w:val="19"/>
          <w:szCs w:val="19"/>
        </w:rPr>
        <w:t xml:space="preserve"> har gjort avsättning</w:t>
      </w:r>
      <w:r w:rsidR="00797194" w:rsidRPr="00F517E2">
        <w:rPr>
          <w:b w:val="0"/>
          <w:noProof w:val="0"/>
          <w:sz w:val="19"/>
          <w:szCs w:val="19"/>
        </w:rPr>
        <w:t>ar</w:t>
      </w:r>
      <w:r w:rsidRPr="00F517E2">
        <w:rPr>
          <w:b w:val="0"/>
          <w:noProof w:val="0"/>
          <w:sz w:val="19"/>
          <w:szCs w:val="19"/>
        </w:rPr>
        <w:t xml:space="preserve"> till periodiseringsfond kan inkomstgarantin jämkas, om det är skäligt.</w:t>
      </w:r>
    </w:p>
    <w:p w:rsidR="00FA3DB6" w:rsidRPr="00F517E2" w:rsidRDefault="003969ED" w:rsidP="00FA3DB6">
      <w:r w:rsidRPr="00F517E2">
        <w:rPr>
          <w:b/>
        </w:rPr>
        <w:t>Arbetsgruppens</w:t>
      </w:r>
      <w:r w:rsidR="00FA3DB6" w:rsidRPr="00F517E2">
        <w:rPr>
          <w:b/>
        </w:rPr>
        <w:t xml:space="preserve"> förslag </w:t>
      </w:r>
      <w:r w:rsidR="00FA3DB6" w:rsidRPr="00F517E2">
        <w:t>överensstämmer med riksdagsstyrelsens fö</w:t>
      </w:r>
      <w:r w:rsidR="00FA3DB6" w:rsidRPr="00F517E2">
        <w:t>r</w:t>
      </w:r>
      <w:r w:rsidR="00FA3DB6" w:rsidRPr="00F517E2">
        <w:t xml:space="preserve">slag. </w:t>
      </w:r>
    </w:p>
    <w:p w:rsidR="00602795" w:rsidRPr="00F517E2" w:rsidRDefault="00FA3DB6" w:rsidP="00420249">
      <w:pPr>
        <w:keepNext/>
        <w:keepLines/>
        <w:rPr>
          <w:b/>
        </w:rPr>
      </w:pPr>
      <w:r w:rsidRPr="00F517E2">
        <w:rPr>
          <w:b/>
        </w:rPr>
        <w:t xml:space="preserve">Remissinstanserna: </w:t>
      </w:r>
    </w:p>
    <w:p w:rsidR="00646AA7" w:rsidRPr="00F517E2" w:rsidRDefault="00646AA7" w:rsidP="00420249">
      <w:pPr>
        <w:keepNext/>
        <w:keepLines/>
      </w:pPr>
      <w:r w:rsidRPr="00F517E2">
        <w:t>Skatteverket har tillstyrkt förslaget.</w:t>
      </w:r>
    </w:p>
    <w:p w:rsidR="00D1503A" w:rsidRPr="00F517E2" w:rsidRDefault="00D1503A" w:rsidP="00D1503A">
      <w:pPr>
        <w:pStyle w:val="Normaltindrag"/>
      </w:pPr>
      <w:r w:rsidRPr="00F517E2">
        <w:t>Statens pensionsverk har inga invändningar mot förslaget. Kammarrätten i Stockholm har utifrån de aspekter domstolen har att beakta inte några sy</w:t>
      </w:r>
      <w:r w:rsidRPr="00F517E2">
        <w:t>n</w:t>
      </w:r>
      <w:r w:rsidRPr="00F517E2">
        <w:t xml:space="preserve">punkter på förslaget. Riksdagens ombudsmän (JO) har från de synpunkter som JO har att beakta inga </w:t>
      </w:r>
      <w:r w:rsidR="00FC1783" w:rsidRPr="00F517E2">
        <w:t>invändningar</w:t>
      </w:r>
      <w:r w:rsidRPr="00F517E2">
        <w:t xml:space="preserve"> mot förslaget. Sveriges Komm</w:t>
      </w:r>
      <w:r w:rsidRPr="00F517E2">
        <w:t>u</w:t>
      </w:r>
      <w:r w:rsidRPr="00F517E2">
        <w:t xml:space="preserve">ner och Landsting har avstått från att lämna synpunkter. </w:t>
      </w:r>
    </w:p>
    <w:p w:rsidR="00FA3DB6" w:rsidRPr="00F517E2" w:rsidRDefault="00FA3DB6" w:rsidP="00FA3DB6">
      <w:pPr>
        <w:pStyle w:val="R4"/>
      </w:pPr>
      <w:r w:rsidRPr="00F517E2">
        <w:t>Gällande ordning</w:t>
      </w:r>
    </w:p>
    <w:p w:rsidR="00E222B6" w:rsidRPr="00F517E2" w:rsidRDefault="00FA3DB6" w:rsidP="00BA2B26">
      <w:pPr>
        <w:spacing w:before="0"/>
      </w:pPr>
      <w:r w:rsidRPr="00F517E2">
        <w:t>Regler om avdrag för avsättning till periodiseringsfond finns i 30 kap. IL.</w:t>
      </w:r>
    </w:p>
    <w:p w:rsidR="00E222B6" w:rsidRPr="00F517E2" w:rsidRDefault="00FA3DB6" w:rsidP="00E222B6">
      <w:pPr>
        <w:pStyle w:val="Normaltindrag"/>
      </w:pPr>
      <w:r w:rsidRPr="00F517E2">
        <w:t>Enskilda näringsidkare och fysiska personer som är delägare i svenska handelsbolag får dra av högst ett belopp som motsvarar 30 procent av ett för periodiseringsfond</w:t>
      </w:r>
      <w:r w:rsidR="001F6F7C" w:rsidRPr="00F517E2">
        <w:t>en</w:t>
      </w:r>
      <w:r w:rsidRPr="00F517E2">
        <w:t xml:space="preserve"> justerat positivt resultat.</w:t>
      </w:r>
    </w:p>
    <w:p w:rsidR="00FA3DB6" w:rsidRPr="00F517E2" w:rsidRDefault="00FA3DB6" w:rsidP="00E222B6">
      <w:pPr>
        <w:pStyle w:val="Normaltindrag"/>
      </w:pPr>
      <w:r w:rsidRPr="00F517E2">
        <w:t>Med det för periodiseringsfond</w:t>
      </w:r>
      <w:r w:rsidR="001F6F7C" w:rsidRPr="00F517E2">
        <w:t>en</w:t>
      </w:r>
      <w:r w:rsidRPr="00F517E2">
        <w:t xml:space="preserve"> justerade resultatet avses, enligt 30 kap. 6 § IL, resultatet av näringsverksamheten före avdrag för avsättning till peri</w:t>
      </w:r>
      <w:r w:rsidRPr="00F517E2">
        <w:t>o</w:t>
      </w:r>
      <w:r w:rsidRPr="00F517E2">
        <w:t>diseringsfond</w:t>
      </w:r>
      <w:r w:rsidR="001F6F7C" w:rsidRPr="00F517E2">
        <w:t>en</w:t>
      </w:r>
      <w:r w:rsidRPr="00F517E2">
        <w:t xml:space="preserve"> ökat med</w:t>
      </w:r>
    </w:p>
    <w:p w:rsidR="00FA3DB6" w:rsidRPr="00F517E2" w:rsidRDefault="001F6F7C" w:rsidP="00FA3DB6">
      <w:r w:rsidRPr="00F517E2">
        <w:t xml:space="preserve">– </w:t>
      </w:r>
      <w:r w:rsidR="00FA3DB6" w:rsidRPr="00F517E2">
        <w:t>avdrag för egenavgifter,</w:t>
      </w:r>
    </w:p>
    <w:p w:rsidR="00FA3DB6" w:rsidRPr="00F517E2" w:rsidRDefault="001F6F7C" w:rsidP="003D372D">
      <w:pPr>
        <w:spacing w:before="0"/>
      </w:pPr>
      <w:r w:rsidRPr="00F517E2">
        <w:t xml:space="preserve">– </w:t>
      </w:r>
      <w:r w:rsidR="00FA3DB6" w:rsidRPr="00F517E2">
        <w:t>avdrag för premie för pensionsförsäkring och inbetalning på pensionsspa</w:t>
      </w:r>
      <w:r w:rsidR="00FA3DB6" w:rsidRPr="00F517E2">
        <w:t>r</w:t>
      </w:r>
      <w:r w:rsidR="00FA3DB6" w:rsidRPr="00F517E2">
        <w:t xml:space="preserve">konto samt särskild löneskatt på pensionskostnader </w:t>
      </w:r>
      <w:r w:rsidRPr="00F517E2">
        <w:t>för</w:t>
      </w:r>
      <w:r w:rsidR="00FA3DB6" w:rsidRPr="00F517E2">
        <w:t xml:space="preserve"> dessa poster, och</w:t>
      </w:r>
    </w:p>
    <w:p w:rsidR="00FA3DB6" w:rsidRPr="00F517E2" w:rsidRDefault="001F6F7C" w:rsidP="003D372D">
      <w:pPr>
        <w:spacing w:before="0"/>
      </w:pPr>
      <w:r w:rsidRPr="00F517E2">
        <w:t xml:space="preserve">– </w:t>
      </w:r>
      <w:r w:rsidR="00FA3DB6" w:rsidRPr="00F517E2">
        <w:t>avdrag för avsättning till expansionsfond,</w:t>
      </w:r>
    </w:p>
    <w:p w:rsidR="00FA3DB6" w:rsidRPr="00F517E2" w:rsidRDefault="00FA3DB6" w:rsidP="003D372D">
      <w:pPr>
        <w:spacing w:before="0"/>
      </w:pPr>
      <w:r w:rsidRPr="00F517E2">
        <w:t>minskat med</w:t>
      </w:r>
    </w:p>
    <w:p w:rsidR="00FA3DB6" w:rsidRPr="00F517E2" w:rsidRDefault="001F6F7C" w:rsidP="003D372D">
      <w:pPr>
        <w:spacing w:before="0"/>
      </w:pPr>
      <w:r w:rsidRPr="00F517E2">
        <w:t xml:space="preserve">– </w:t>
      </w:r>
      <w:r w:rsidR="00FA3DB6" w:rsidRPr="00F517E2">
        <w:t>sjukpenning och liknande ersättning</w:t>
      </w:r>
      <w:r w:rsidR="009257D3" w:rsidRPr="00F517E2">
        <w:t>ar</w:t>
      </w:r>
      <w:r w:rsidR="00FA3DB6" w:rsidRPr="00F517E2">
        <w:t>,</w:t>
      </w:r>
    </w:p>
    <w:p w:rsidR="00FA3DB6" w:rsidRPr="00F517E2" w:rsidRDefault="001F6F7C" w:rsidP="003D372D">
      <w:pPr>
        <w:spacing w:before="0"/>
      </w:pPr>
      <w:r w:rsidRPr="00F517E2">
        <w:t>– å</w:t>
      </w:r>
      <w:r w:rsidR="00FA3DB6" w:rsidRPr="00F517E2">
        <w:t>terfört avdrag för egenavgifter, och</w:t>
      </w:r>
    </w:p>
    <w:p w:rsidR="00FA3DB6" w:rsidRPr="00F517E2" w:rsidRDefault="001F6F7C" w:rsidP="003D372D">
      <w:pPr>
        <w:spacing w:before="0"/>
      </w:pPr>
      <w:r w:rsidRPr="00F517E2">
        <w:t xml:space="preserve">– </w:t>
      </w:r>
      <w:r w:rsidR="00FA3DB6" w:rsidRPr="00F517E2">
        <w:t xml:space="preserve">återfört avdrag för avsättning till expansionsfond. </w:t>
      </w:r>
    </w:p>
    <w:p w:rsidR="00E222B6" w:rsidRPr="00F517E2" w:rsidRDefault="00FA3DB6" w:rsidP="003D372D">
      <w:pPr>
        <w:spacing w:before="125"/>
      </w:pPr>
      <w:r w:rsidRPr="00F517E2">
        <w:t>Avdrag för avsättning till en periodiseringsfond ska återföras till beskattning i inkomstslaget näringsverksamhet senast det sjätte taxeringsåret efter det taxeringsår som avdraget hänför sig till. I vissa lägen ska dock periodisering</w:t>
      </w:r>
      <w:r w:rsidRPr="00F517E2">
        <w:t>s</w:t>
      </w:r>
      <w:r w:rsidRPr="00F517E2">
        <w:t>fonden återföras tidigare, t.ex. om den enskilde näringsidkaren upphör att bedriva näringsverksamhet.</w:t>
      </w:r>
    </w:p>
    <w:p w:rsidR="00FA3DB6" w:rsidRPr="00F517E2" w:rsidRDefault="00FA3DB6" w:rsidP="00E222B6">
      <w:pPr>
        <w:pStyle w:val="Normaltindrag"/>
      </w:pPr>
      <w:r w:rsidRPr="00F517E2">
        <w:t>Det är således möjligt för en person att minska sin pensionsgrundande i</w:t>
      </w:r>
      <w:r w:rsidRPr="00F517E2">
        <w:t>n</w:t>
      </w:r>
      <w:r w:rsidRPr="00F517E2">
        <w:t>komst av näringsverksamhet med 30 procent genom att göra en avsättning till periodiseringsfond.</w:t>
      </w:r>
      <w:r w:rsidR="00E222B6" w:rsidRPr="00F517E2">
        <w:t xml:space="preserve"> </w:t>
      </w:r>
    </w:p>
    <w:p w:rsidR="00FA3DB6" w:rsidRPr="00F517E2" w:rsidRDefault="00FA3DB6" w:rsidP="00FA3DB6">
      <w:pPr>
        <w:pStyle w:val="R4"/>
      </w:pPr>
      <w:r w:rsidRPr="00F517E2">
        <w:t>Riksdagsstyrelsens ställningstagande</w:t>
      </w:r>
    </w:p>
    <w:p w:rsidR="00E222B6" w:rsidRPr="00F517E2" w:rsidRDefault="007A056D" w:rsidP="00BA2B26">
      <w:pPr>
        <w:spacing w:before="0"/>
      </w:pPr>
      <w:r w:rsidRPr="00F517E2">
        <w:t>Enligt bestämmelserna i 30 kap. IL kan enskilda näringsidkare och fysiska personer som är delägare i handelsbolag göra en avsättning till periodisering</w:t>
      </w:r>
      <w:r w:rsidRPr="00F517E2">
        <w:t>s</w:t>
      </w:r>
      <w:r w:rsidRPr="00F517E2">
        <w:t xml:space="preserve">fond. Som högst kan avsättningen vara 30 procent av inkomsten. Innebörden av en sådan avsättning är att den pensionsgrundande inkomsten minskar. Avdraget ska återföras senast </w:t>
      </w:r>
      <w:r w:rsidR="00EF3C74" w:rsidRPr="00F517E2">
        <w:t xml:space="preserve">det </w:t>
      </w:r>
      <w:r w:rsidRPr="00F517E2">
        <w:t>sjätte taxeringsåret efter det taxeringsår som avdraget hänför sig till. Den pensionsgrundande inkomsten kommer då alltså att höjas. Syftet med reglerna är att göra det möjligt att skattemässigt jämna ut resultatet mellan olika räkenskapsår, vilket underlättar finansiering av inv</w:t>
      </w:r>
      <w:r w:rsidRPr="00F517E2">
        <w:t>e</w:t>
      </w:r>
      <w:r w:rsidRPr="00F517E2">
        <w:t xml:space="preserve">steringar med eget kapital (prop. 1993/94:50). </w:t>
      </w:r>
    </w:p>
    <w:p w:rsidR="00E222B6" w:rsidRPr="00F517E2" w:rsidRDefault="007A056D" w:rsidP="00E222B6">
      <w:pPr>
        <w:pStyle w:val="Normaltindrag"/>
      </w:pPr>
      <w:r w:rsidRPr="00F517E2">
        <w:t>Att en garantitagare gör avsättningar till en periodiseringsfond är naturlig</w:t>
      </w:r>
      <w:r w:rsidRPr="00F517E2">
        <w:t>t</w:t>
      </w:r>
      <w:r w:rsidRPr="00F517E2">
        <w:t>vis i sig inte oförenligt med syftet med inkomstgarantin. Men eftersom a</w:t>
      </w:r>
      <w:r w:rsidRPr="00F517E2">
        <w:t>v</w:t>
      </w:r>
      <w:r w:rsidRPr="00F517E2">
        <w:t>sättningen får konsekvenser för den pensionsgrundande inkomsten och dä</w:t>
      </w:r>
      <w:r w:rsidRPr="00F517E2">
        <w:t>r</w:t>
      </w:r>
      <w:r w:rsidRPr="00F517E2">
        <w:t>med för inkomstgarantins storlek finns det skäl att ställa frågan om syftet med inkomstgarantin alltid kan upprätthållas i fall då garantitagaren gjort en a</w:t>
      </w:r>
      <w:r w:rsidRPr="00F517E2">
        <w:t>v</w:t>
      </w:r>
      <w:r w:rsidRPr="00F517E2">
        <w:t xml:space="preserve">sättning till periodiseringsfond. För att kunna ta ställning till det måste man se närmare på vilka konsekvenser som avsättningar till periodiseringsfond får. </w:t>
      </w:r>
    </w:p>
    <w:p w:rsidR="00E222B6" w:rsidRPr="00F517E2" w:rsidRDefault="007A056D" w:rsidP="00E222B6">
      <w:pPr>
        <w:pStyle w:val="Normaltindrag"/>
      </w:pPr>
      <w:r w:rsidRPr="00F517E2">
        <w:t>En garantitagare som har inkomst av näringsverksamhet ska anmäla till Statens pensionsverk hur stor inkomst han eller hon haft. Om garantitagaren lämnar uppgift om inkomstens storlek efter avdraget för avsättning till peri</w:t>
      </w:r>
      <w:r w:rsidRPr="00F517E2">
        <w:t>o</w:t>
      </w:r>
      <w:r w:rsidRPr="00F517E2">
        <w:t xml:space="preserve">diseringsfond så kommer det att påverka inkomstgarantin på det sättet att ett högre belopp betalas ut. Den samlade pensionsgrundande inkomsten blir därför lika hög som den skulle ha varit om något avdrag inte gjorts eftersom inkomstgarantin kompenserar för avsättningen. När garantitagaren sedan inom sex år återför avdraget till beskattning höjs den pensionsgrundande inkomsten det året. Följden av det blir att inkomstgarantin minskar det året. Sammantaget innebär detta att det belopp som under en längre period betalas ut i inkomstgaranti inte påverkas. </w:t>
      </w:r>
    </w:p>
    <w:p w:rsidR="00E222B6" w:rsidRPr="00F517E2" w:rsidRDefault="007A056D" w:rsidP="00E222B6">
      <w:pPr>
        <w:pStyle w:val="Normaltindrag"/>
      </w:pPr>
      <w:r w:rsidRPr="00F517E2">
        <w:t>Situationen blir dock väsentligt annorlunda om den som gjort avsättningen inte längre uppbär inkomstgaranti när avdraget ska återföras till beskattning. Här blir konsekvensen av avsättningen i stället att garantitagaren först får en lägre pensionsgrundande inkomst och därmed en högre inkomstgaranti det eller de år som avsättning görs. När avdraget sedan återförs kan situationen vara den att det inte längre finns någon i</w:t>
      </w:r>
      <w:r w:rsidRPr="00F517E2">
        <w:t>n</w:t>
      </w:r>
      <w:r w:rsidRPr="00F517E2">
        <w:t xml:space="preserve">komstgaranti som kan påverkas. Den sammantagna effekten i dessa fall blir därför att avsättningen genererar en högre inkomstgaranti som inte motsvaras av någon senare minskning. Denna situation kan uppkomma i </w:t>
      </w:r>
      <w:r w:rsidR="00D50463" w:rsidRPr="00F517E2">
        <w:t xml:space="preserve">en </w:t>
      </w:r>
      <w:r w:rsidRPr="00F517E2">
        <w:t>rad olika fall. En sådan är när garantit</w:t>
      </w:r>
      <w:r w:rsidRPr="00F517E2">
        <w:t>a</w:t>
      </w:r>
      <w:r w:rsidRPr="00F517E2">
        <w:t xml:space="preserve">garen fyller 65 år innan avdraget återförs. Till dessa fall ska läggas de där inkomstgarantin är tidsbegränsad. Av uppgifter från Statens pensionsverk </w:t>
      </w:r>
      <w:r w:rsidR="00D20D51" w:rsidRPr="00F517E2">
        <w:t xml:space="preserve"> </w:t>
      </w:r>
      <w:r w:rsidRPr="00F517E2">
        <w:t>framgår att 33 garantitagare fick en ettårig inkomstgaranti efter riksdagsv</w:t>
      </w:r>
      <w:r w:rsidRPr="00F517E2">
        <w:t>a</w:t>
      </w:r>
      <w:r w:rsidRPr="00F517E2">
        <w:t>let</w:t>
      </w:r>
      <w:r w:rsidR="00847393" w:rsidRPr="00F517E2">
        <w:t xml:space="preserve"> 2006.</w:t>
      </w:r>
      <w:r w:rsidRPr="00F517E2">
        <w:t xml:space="preserve"> </w:t>
      </w:r>
      <w:r w:rsidR="00046D41" w:rsidRPr="00F517E2">
        <w:t>U</w:t>
      </w:r>
      <w:r w:rsidR="00F2297A" w:rsidRPr="00F517E2">
        <w:t xml:space="preserve">nder </w:t>
      </w:r>
      <w:r w:rsidR="00046D41" w:rsidRPr="00F517E2">
        <w:t xml:space="preserve">oktober </w:t>
      </w:r>
      <w:r w:rsidR="00F2297A" w:rsidRPr="00F517E2">
        <w:t>20</w:t>
      </w:r>
      <w:r w:rsidR="00046D41" w:rsidRPr="00F517E2">
        <w:t>1</w:t>
      </w:r>
      <w:r w:rsidR="00F2297A" w:rsidRPr="00F517E2">
        <w:t xml:space="preserve">0 </w:t>
      </w:r>
      <w:r w:rsidR="00046D41" w:rsidRPr="00F517E2">
        <w:t xml:space="preserve">fick 72 personer </w:t>
      </w:r>
      <w:r w:rsidRPr="00F517E2">
        <w:t>i</w:t>
      </w:r>
      <w:r w:rsidRPr="00F517E2">
        <w:t>n</w:t>
      </w:r>
      <w:r w:rsidRPr="00F517E2">
        <w:t>komstgaranti</w:t>
      </w:r>
      <w:r w:rsidR="00046D41" w:rsidRPr="00F517E2">
        <w:t>. För 55 av dessa var</w:t>
      </w:r>
      <w:r w:rsidRPr="00F517E2">
        <w:t xml:space="preserve"> den återstående garantitiden kortare än sex år, vilket motsv</w:t>
      </w:r>
      <w:r w:rsidRPr="00F517E2">
        <w:t>a</w:t>
      </w:r>
      <w:r w:rsidRPr="00F517E2">
        <w:t xml:space="preserve">rar cirka tre fjärdedelar av dem som </w:t>
      </w:r>
      <w:r w:rsidR="00D61307" w:rsidRPr="00F517E2">
        <w:t xml:space="preserve">då </w:t>
      </w:r>
      <w:r w:rsidRPr="00F517E2">
        <w:t>uppb</w:t>
      </w:r>
      <w:r w:rsidR="00D61307" w:rsidRPr="00F517E2">
        <w:t>a</w:t>
      </w:r>
      <w:r w:rsidRPr="00F517E2">
        <w:t>r inkomstgaranti. Slutligen ska påpekas att en garantitagare kan låta bli att ta ut i</w:t>
      </w:r>
      <w:r w:rsidRPr="00F517E2">
        <w:t>n</w:t>
      </w:r>
      <w:r w:rsidRPr="00F517E2">
        <w:t xml:space="preserve">komstgaranti i situationer där han </w:t>
      </w:r>
      <w:r w:rsidR="002063A8" w:rsidRPr="00F517E2">
        <w:t xml:space="preserve">eller hon </w:t>
      </w:r>
      <w:r w:rsidRPr="00F517E2">
        <w:t xml:space="preserve">i och för sig har rätt till den. Ett sådant ställningstagande får i </w:t>
      </w:r>
      <w:r w:rsidR="002063A8" w:rsidRPr="00F517E2">
        <w:t xml:space="preserve">det </w:t>
      </w:r>
      <w:r w:rsidRPr="00F517E2">
        <w:t>nu akt</w:t>
      </w:r>
      <w:r w:rsidRPr="00F517E2">
        <w:t>u</w:t>
      </w:r>
      <w:r w:rsidRPr="00F517E2">
        <w:t>ell</w:t>
      </w:r>
      <w:r w:rsidR="002063A8" w:rsidRPr="00F517E2">
        <w:t>a</w:t>
      </w:r>
      <w:r w:rsidRPr="00F517E2">
        <w:t xml:space="preserve"> avseende</w:t>
      </w:r>
      <w:r w:rsidR="002063A8" w:rsidRPr="00F517E2">
        <w:t>t</w:t>
      </w:r>
      <w:r w:rsidRPr="00F517E2">
        <w:t xml:space="preserve"> samma konsekvens som att garantitiden går ut, dvs. någon tidsmässig utjä</w:t>
      </w:r>
      <w:r w:rsidRPr="00F517E2">
        <w:t>m</w:t>
      </w:r>
      <w:r w:rsidRPr="00F517E2">
        <w:t xml:space="preserve">ning blir inte aktuell. </w:t>
      </w:r>
    </w:p>
    <w:p w:rsidR="00E222B6" w:rsidRPr="00F517E2" w:rsidRDefault="007A056D" w:rsidP="00E222B6">
      <w:pPr>
        <w:pStyle w:val="Normaltindrag"/>
      </w:pPr>
      <w:r w:rsidRPr="00F517E2">
        <w:t xml:space="preserve">Det kan alltså uppstå situationer där en avsättning till periodiseringsfond leder till en högre inkomstgaranti och </w:t>
      </w:r>
      <w:r w:rsidR="00AA633E" w:rsidRPr="00F517E2">
        <w:t xml:space="preserve">till </w:t>
      </w:r>
      <w:r w:rsidRPr="00F517E2">
        <w:t>att avdraget återförs till beskattning först när garantitiden löpt ut. Av de up</w:t>
      </w:r>
      <w:r w:rsidRPr="00F517E2">
        <w:t>p</w:t>
      </w:r>
      <w:r w:rsidRPr="00F517E2">
        <w:t>gifter som redovisats ovan framgår att en rel</w:t>
      </w:r>
      <w:r w:rsidRPr="00F517E2">
        <w:t>a</w:t>
      </w:r>
      <w:r w:rsidRPr="00F517E2">
        <w:t xml:space="preserve">tivt stor andel av garantitagarna uppbär inkomstgaranti under en så pass kort tid att de skulle kunna utnyttja avsättningen till periodiseringsfond för att på det sättet </w:t>
      </w:r>
      <w:r w:rsidR="002063A8" w:rsidRPr="00F517E2">
        <w:t>få</w:t>
      </w:r>
      <w:r w:rsidRPr="00F517E2">
        <w:t xml:space="preserve"> en högre inkomstgaranti. Syftet med avsättningen beh</w:t>
      </w:r>
      <w:r w:rsidRPr="00F517E2">
        <w:t>ö</w:t>
      </w:r>
      <w:r w:rsidRPr="00F517E2">
        <w:t>ver dock inte nödvändigtvis vara att påverka inkomstgarantin, även om a</w:t>
      </w:r>
      <w:r w:rsidRPr="00F517E2">
        <w:t>v</w:t>
      </w:r>
      <w:r w:rsidRPr="00F517E2">
        <w:t xml:space="preserve">sättningen kan få den effekten. </w:t>
      </w:r>
    </w:p>
    <w:p w:rsidR="00E222B6" w:rsidRPr="00F517E2" w:rsidRDefault="007A056D" w:rsidP="00E222B6">
      <w:pPr>
        <w:pStyle w:val="Normaltindrag"/>
      </w:pPr>
      <w:r w:rsidRPr="00F517E2">
        <w:t xml:space="preserve">Frågan blir då om det finns skäl att hindra garantitagare från att utnyttja inkomstgarantin på det sättet. Vad </w:t>
      </w:r>
      <w:r w:rsidR="002063A8" w:rsidRPr="00F517E2">
        <w:t>man</w:t>
      </w:r>
      <w:r w:rsidRPr="00F517E2">
        <w:t xml:space="preserve"> i så fall bör </w:t>
      </w:r>
      <w:r w:rsidR="002063A8" w:rsidRPr="00F517E2">
        <w:t>göra</w:t>
      </w:r>
      <w:r w:rsidRPr="00F517E2">
        <w:t xml:space="preserve"> är att i efte</w:t>
      </w:r>
      <w:r w:rsidRPr="00F517E2">
        <w:t>r</w:t>
      </w:r>
      <w:r w:rsidRPr="00F517E2">
        <w:t>hand jämka inkomstg</w:t>
      </w:r>
      <w:r w:rsidRPr="00F517E2">
        <w:t>a</w:t>
      </w:r>
      <w:r w:rsidRPr="00F517E2">
        <w:t>rantin när den pensionsgrundande inkomsten minskats som en följd av avsättning till periodiseringsfond. Som framgått ovan har bedö</w:t>
      </w:r>
      <w:r w:rsidRPr="00F517E2">
        <w:t>m</w:t>
      </w:r>
      <w:r w:rsidRPr="00F517E2">
        <w:t>ningen gjorts att jämkning i efterhand är en bättre lösning än att ändra regle</w:t>
      </w:r>
      <w:r w:rsidRPr="00F517E2">
        <w:t>r</w:t>
      </w:r>
      <w:r w:rsidRPr="00F517E2">
        <w:t>na om samor</w:t>
      </w:r>
      <w:r w:rsidRPr="00F517E2">
        <w:t>d</w:t>
      </w:r>
      <w:r w:rsidRPr="00F517E2">
        <w:t xml:space="preserve">ning.  </w:t>
      </w:r>
    </w:p>
    <w:p w:rsidR="00E222B6" w:rsidRPr="00F517E2" w:rsidRDefault="007A056D" w:rsidP="00E222B6">
      <w:pPr>
        <w:pStyle w:val="Normaltindrag"/>
      </w:pPr>
      <w:r w:rsidRPr="00F517E2">
        <w:t>Mot en utvidgad möjlighet till jämkning i de nu aktuella fallen kan i och för sig anföras att avsättningar till periodis</w:t>
      </w:r>
      <w:r w:rsidRPr="00F517E2">
        <w:t>e</w:t>
      </w:r>
      <w:r w:rsidRPr="00F517E2">
        <w:t>ringsfond inte alltid framstår som ett illojalt utnyttjande av inkomstgarantin. Garantitagaren måste likaväl som andra medborgare kunna använda de skatt</w:t>
      </w:r>
      <w:r w:rsidRPr="00F517E2">
        <w:t>e</w:t>
      </w:r>
      <w:r w:rsidRPr="00F517E2">
        <w:t>regler som finns och i de syften som bär upp skattereglerna. Denna invän</w:t>
      </w:r>
      <w:r w:rsidRPr="00F517E2">
        <w:t>d</w:t>
      </w:r>
      <w:r w:rsidRPr="00F517E2">
        <w:t>ning har en viss tyngd samtidigt som det står klart att man måste se på he</w:t>
      </w:r>
      <w:r w:rsidRPr="00F517E2">
        <w:t>l</w:t>
      </w:r>
      <w:r w:rsidRPr="00F517E2">
        <w:t xml:space="preserve">hetsresultatet. Här bör det beaktas att den som gör en avsättning utan att </w:t>
      </w:r>
      <w:r w:rsidR="002063A8" w:rsidRPr="00F517E2">
        <w:t>ha</w:t>
      </w:r>
      <w:r w:rsidRPr="00F517E2">
        <w:t xml:space="preserve"> inkomstgaranti får en lägre pension</w:t>
      </w:r>
      <w:r w:rsidRPr="00F517E2">
        <w:t>s</w:t>
      </w:r>
      <w:r w:rsidRPr="00F517E2">
        <w:t>grundande inkomst det året. I förhållande till dessa näringsidkare får garant</w:t>
      </w:r>
      <w:r w:rsidRPr="00F517E2">
        <w:t>i</w:t>
      </w:r>
      <w:r w:rsidRPr="00F517E2">
        <w:t>tagaren en kompensation som de andra inte kan påräkna. Genom att göra avdraget och sedan inte återföra det till beskattning förrän garantitiden gått ut går det sett över tid att få ut en högre inkomstgaranti än som annars vore fallet. Enbart existensen av denna möjlighet är ägnad att skada förtroe</w:t>
      </w:r>
      <w:r w:rsidRPr="00F517E2">
        <w:t>n</w:t>
      </w:r>
      <w:r w:rsidRPr="00F517E2">
        <w:t xml:space="preserve">det för de folkvalda. </w:t>
      </w:r>
    </w:p>
    <w:p w:rsidR="00E222B6" w:rsidRPr="00F517E2" w:rsidRDefault="007A056D" w:rsidP="00E222B6">
      <w:pPr>
        <w:pStyle w:val="Normaltindrag"/>
      </w:pPr>
      <w:r w:rsidRPr="00F517E2">
        <w:t>Mot en ordning som innebär att inkomstgarantin kan jämkas i efterhand om garantitagaren gjort en avsättning till periodiseringsfond kan vidare anf</w:t>
      </w:r>
      <w:r w:rsidRPr="00F517E2">
        <w:t>ö</w:t>
      </w:r>
      <w:r w:rsidRPr="00F517E2">
        <w:t xml:space="preserve">ras att </w:t>
      </w:r>
      <w:r w:rsidR="009D11CE" w:rsidRPr="00F517E2">
        <w:t xml:space="preserve">man måste granska </w:t>
      </w:r>
      <w:r w:rsidRPr="00F517E2">
        <w:t>samtliga fall där garantitagare bedriver näring</w:t>
      </w:r>
      <w:r w:rsidRPr="00F517E2">
        <w:t>s</w:t>
      </w:r>
      <w:r w:rsidRPr="00F517E2">
        <w:t xml:space="preserve">verksamhet </w:t>
      </w:r>
      <w:r w:rsidR="009D11CE" w:rsidRPr="00F517E2">
        <w:t>f</w:t>
      </w:r>
      <w:r w:rsidRPr="00F517E2">
        <w:t xml:space="preserve">ör att säkerställa att regelverket </w:t>
      </w:r>
      <w:r w:rsidR="009D11CE" w:rsidRPr="00F517E2">
        <w:t>följs</w:t>
      </w:r>
      <w:r w:rsidRPr="00F517E2">
        <w:t xml:space="preserve"> och att det skulle vara on</w:t>
      </w:r>
      <w:r w:rsidRPr="00F517E2">
        <w:t>ö</w:t>
      </w:r>
      <w:r w:rsidRPr="00F517E2">
        <w:t xml:space="preserve">digt resurskrävande. Enligt </w:t>
      </w:r>
      <w:r w:rsidR="00830A8F" w:rsidRPr="00F517E2">
        <w:t xml:space="preserve">de </w:t>
      </w:r>
      <w:r w:rsidRPr="00F517E2">
        <w:t>uppgifter som inhämtats från Skatt</w:t>
      </w:r>
      <w:r w:rsidRPr="00F517E2">
        <w:t>e</w:t>
      </w:r>
      <w:r w:rsidRPr="00F517E2">
        <w:t xml:space="preserve">verket </w:t>
      </w:r>
      <w:r w:rsidR="001E4204" w:rsidRPr="00F517E2">
        <w:t xml:space="preserve">var </w:t>
      </w:r>
      <w:r w:rsidRPr="00F517E2">
        <w:t>det</w:t>
      </w:r>
      <w:r w:rsidR="001E4204" w:rsidRPr="00F517E2">
        <w:t>,</w:t>
      </w:r>
      <w:r w:rsidRPr="00F517E2">
        <w:t xml:space="preserve"> </w:t>
      </w:r>
      <w:r w:rsidR="00830A8F" w:rsidRPr="00F517E2">
        <w:t>som tidigare nämnts</w:t>
      </w:r>
      <w:r w:rsidR="001E4204" w:rsidRPr="00F517E2">
        <w:t>,</w:t>
      </w:r>
      <w:r w:rsidR="00830A8F" w:rsidRPr="00F517E2">
        <w:t xml:space="preserve"> </w:t>
      </w:r>
      <w:r w:rsidR="001E4204" w:rsidRPr="00F517E2">
        <w:t xml:space="preserve">före riksdagsvalet 2010 </w:t>
      </w:r>
      <w:r w:rsidRPr="00F517E2">
        <w:t>inte fler än 16 garantit</w:t>
      </w:r>
      <w:r w:rsidRPr="00F517E2">
        <w:t>a</w:t>
      </w:r>
      <w:r w:rsidRPr="00F517E2">
        <w:t>gare som bedr</w:t>
      </w:r>
      <w:r w:rsidR="009D11CE" w:rsidRPr="00F517E2">
        <w:t>e</w:t>
      </w:r>
      <w:r w:rsidRPr="00F517E2">
        <w:t>v näringsverksamhet. Dessutom kommer tillsynen att unde</w:t>
      </w:r>
      <w:r w:rsidRPr="00F517E2">
        <w:t>r</w:t>
      </w:r>
      <w:r w:rsidRPr="00F517E2">
        <w:t xml:space="preserve">lättas väsentligt av den uppgiftsskyldighet som föreslås gälla för Skatteverket, se avsnitt </w:t>
      </w:r>
      <w:r w:rsidR="00847393" w:rsidRPr="00F517E2">
        <w:t>5.2.11</w:t>
      </w:r>
      <w:r w:rsidRPr="00F517E2">
        <w:t xml:space="preserve"> nedan. Uppgiftsskyldigheten gentemot näm</w:t>
      </w:r>
      <w:r w:rsidRPr="00F517E2">
        <w:t>n</w:t>
      </w:r>
      <w:r w:rsidRPr="00F517E2">
        <w:t>den kommer att medföra att nämnden får kunskap om vilka avsättningar som gjorts av gara</w:t>
      </w:r>
      <w:r w:rsidRPr="00F517E2">
        <w:t>n</w:t>
      </w:r>
      <w:r w:rsidRPr="00F517E2">
        <w:t>titagare som bedriver näringsverksamhet. På så sätt kan nämndens tillsynsa</w:t>
      </w:r>
      <w:r w:rsidRPr="00F517E2">
        <w:t>r</w:t>
      </w:r>
      <w:r w:rsidRPr="00F517E2">
        <w:t>bete begrä</w:t>
      </w:r>
      <w:r w:rsidRPr="00F517E2">
        <w:t>n</w:t>
      </w:r>
      <w:r w:rsidRPr="00F517E2">
        <w:t xml:space="preserve">sas.  </w:t>
      </w:r>
    </w:p>
    <w:p w:rsidR="00E222B6" w:rsidRPr="00F517E2" w:rsidRDefault="007A056D" w:rsidP="00E222B6">
      <w:pPr>
        <w:pStyle w:val="Normaltindrag"/>
      </w:pPr>
      <w:r w:rsidRPr="00F517E2">
        <w:t>En annan invändning mot att det införs en möjlighet till jämkning i de nu aktuella fallen hänger samman med att jämkning måste ske i efterhand. Ur garantitagarens perspektiv kan detta framstå som märkligt, särskilt om gara</w:t>
      </w:r>
      <w:r w:rsidRPr="00F517E2">
        <w:t>n</w:t>
      </w:r>
      <w:r w:rsidRPr="00F517E2">
        <w:t>titagaren redan under ärendets handläggning hos Statens pensionsverk anmält att han eller hon gjort en avsättning till periodiseringsfond och då fått en högre i</w:t>
      </w:r>
      <w:r w:rsidRPr="00F517E2">
        <w:t>n</w:t>
      </w:r>
      <w:r w:rsidRPr="00F517E2">
        <w:t>komstgaranti. För garantitagaren kan det framstå som motsägelsefullt om inkomstgarantin först blir högre på grund av avsättningen</w:t>
      </w:r>
      <w:r w:rsidR="00F32D98" w:rsidRPr="00F517E2">
        <w:t>,</w:t>
      </w:r>
      <w:r w:rsidRPr="00F517E2">
        <w:t xml:space="preserve"> och det sedan inleds ett ärende hos nämnden som mynnar ut i ett beslut om jämkning. Des</w:t>
      </w:r>
      <w:r w:rsidRPr="00F517E2">
        <w:t>s</w:t>
      </w:r>
      <w:r w:rsidRPr="00F517E2">
        <w:t>utom ställs garantitagaren inför ett val beträffande avsättningen och det kan hävdas att konsekvenserna av avsättningen blir svåra att överblicka. Också denna invändning har ett visst fog för sig. Samtidigt står det klart att en li</w:t>
      </w:r>
      <w:r w:rsidRPr="00F517E2">
        <w:t>k</w:t>
      </w:r>
      <w:r w:rsidRPr="00F517E2">
        <w:t xml:space="preserve">nande situation uppkommer redan enligt de nu gällande jämkningsreglerna </w:t>
      </w:r>
      <w:r w:rsidR="00F32D98" w:rsidRPr="00F517E2">
        <w:t>för d</w:t>
      </w:r>
      <w:r w:rsidRPr="00F517E2">
        <w:t xml:space="preserve">en som arbetar åt </w:t>
      </w:r>
      <w:r w:rsidR="00C10A33" w:rsidRPr="00F517E2">
        <w:t xml:space="preserve">någon </w:t>
      </w:r>
      <w:r w:rsidRPr="00F517E2">
        <w:t>annan utan att ta ut en skälig lön. I de fallen måste g</w:t>
      </w:r>
      <w:r w:rsidRPr="00F517E2">
        <w:t>a</w:t>
      </w:r>
      <w:r w:rsidRPr="00F517E2">
        <w:t xml:space="preserve">rantitagaren göra en bedömning av hur mycket lön han eller hon ska ta ut för att undvika en jämkning. På motsvarande sätt måste garantitagaren </w:t>
      </w:r>
      <w:r w:rsidR="00165850" w:rsidRPr="00F517E2">
        <w:t>för</w:t>
      </w:r>
      <w:r w:rsidRPr="00F517E2">
        <w:t xml:space="preserve"> avsättningar till periodiseringsfond göra en egen bedömning av om det til</w:t>
      </w:r>
      <w:r w:rsidRPr="00F517E2">
        <w:t>l</w:t>
      </w:r>
      <w:r w:rsidRPr="00F517E2">
        <w:t xml:space="preserve">tänkta agerandet är förenligt med syftet med inkomstgarantin eller inte. Detta är inte alla gånger en enkel bedömning. </w:t>
      </w:r>
    </w:p>
    <w:p w:rsidR="00E222B6" w:rsidRPr="00F517E2" w:rsidRDefault="007A056D" w:rsidP="00E222B6">
      <w:pPr>
        <w:pStyle w:val="Normaltindrag"/>
      </w:pPr>
      <w:r w:rsidRPr="00F517E2">
        <w:t>Slutsatsen av det som sagts nu blir att det inte finns några tillräckligt vägande invändningar mot att införa en ordning som innebär att inkomstg</w:t>
      </w:r>
      <w:r w:rsidRPr="00F517E2">
        <w:t>a</w:t>
      </w:r>
      <w:r w:rsidRPr="00F517E2">
        <w:t>rantin kan jämkas om garantitagaren gjort en avsättning till periodisering</w:t>
      </w:r>
      <w:r w:rsidRPr="00F517E2">
        <w:t>s</w:t>
      </w:r>
      <w:r w:rsidRPr="00F517E2">
        <w:t xml:space="preserve">fond. Med en jämkningsregel för de nu aktuella fallen blir det alltså möjligt att i efterhand ta hänsyn till samtliga omständigheter </w:t>
      </w:r>
      <w:r w:rsidR="00165850" w:rsidRPr="00F517E2">
        <w:t>som är av vikt</w:t>
      </w:r>
      <w:r w:rsidRPr="00F517E2">
        <w:t xml:space="preserve"> för frågan om avsättningens betydelse för inkomstgarantin. </w:t>
      </w:r>
      <w:r w:rsidR="00165850" w:rsidRPr="00F517E2">
        <w:t xml:space="preserve">Riksdagsstyrelsen </w:t>
      </w:r>
      <w:r w:rsidRPr="00F517E2">
        <w:t>för</w:t>
      </w:r>
      <w:r w:rsidRPr="00F517E2">
        <w:t>e</w:t>
      </w:r>
      <w:r w:rsidRPr="00F517E2">
        <w:t>slå</w:t>
      </w:r>
      <w:r w:rsidR="00165850" w:rsidRPr="00F517E2">
        <w:t>r</w:t>
      </w:r>
      <w:r w:rsidRPr="00F517E2">
        <w:t xml:space="preserve"> därför att det införs en möjlighet att jämka inkomstgarantin, om garantitag</w:t>
      </w:r>
      <w:r w:rsidRPr="00F517E2">
        <w:t>a</w:t>
      </w:r>
      <w:r w:rsidRPr="00F517E2">
        <w:t>ren gjort en avsättning till periodiseringsfond. Syftet med en sådan utvi</w:t>
      </w:r>
      <w:r w:rsidRPr="00F517E2">
        <w:t>d</w:t>
      </w:r>
      <w:r w:rsidRPr="00F517E2">
        <w:t>gad jämkningsmöjlighet är alltså att förhindra att inkomstgaranti betalas ut i situ</w:t>
      </w:r>
      <w:r w:rsidRPr="00F517E2">
        <w:t>a</w:t>
      </w:r>
      <w:r w:rsidRPr="00F517E2">
        <w:t xml:space="preserve">tioner där avsättning till periodiseringsfond annars kan utnyttjas för att under vissa år </w:t>
      </w:r>
      <w:r w:rsidR="00165850" w:rsidRPr="00F517E2">
        <w:t xml:space="preserve">få </w:t>
      </w:r>
      <w:r w:rsidRPr="00F517E2">
        <w:t>en högre inkomstgaranti.</w:t>
      </w:r>
    </w:p>
    <w:p w:rsidR="007A056D" w:rsidRPr="00F517E2" w:rsidRDefault="007A056D" w:rsidP="00E222B6">
      <w:pPr>
        <w:pStyle w:val="Normaltindrag"/>
      </w:pPr>
      <w:r w:rsidRPr="00F517E2">
        <w:t xml:space="preserve">Av det som sagts ovan har framgått att man inte genomgående kan anse att avsättningar bör leda </w:t>
      </w:r>
      <w:r w:rsidR="00165850" w:rsidRPr="00F517E2">
        <w:t xml:space="preserve">till </w:t>
      </w:r>
      <w:r w:rsidRPr="00F517E2">
        <w:t>jämkning. Varje fall måste bedömas för sig. Av stor vikt bör i det sammanhanget vara avsättningens storlek och den återstående gara</w:t>
      </w:r>
      <w:r w:rsidRPr="00F517E2">
        <w:t>n</w:t>
      </w:r>
      <w:r w:rsidRPr="00F517E2">
        <w:t>titiden. Det bör dock understrykas att en helhetsbedömning av samtliga o</w:t>
      </w:r>
      <w:r w:rsidRPr="00F517E2">
        <w:t>m</w:t>
      </w:r>
      <w:r w:rsidRPr="00F517E2">
        <w:t>ständigheter ska göras. För att fånga upp de fall där jämkning ska kunna ske bör det föreskr</w:t>
      </w:r>
      <w:r w:rsidRPr="00F517E2">
        <w:t>i</w:t>
      </w:r>
      <w:r w:rsidRPr="00F517E2">
        <w:t>vas att jämkning får ske om det är skäligt. Som exempel på när jämkning bör kunna komma i fråga kan nämnas ren konsul</w:t>
      </w:r>
      <w:r w:rsidRPr="00F517E2">
        <w:t>t</w:t>
      </w:r>
      <w:r w:rsidRPr="00F517E2">
        <w:t>verksamhet som företer stora likheter med anställningar. Om det däremot är fråga om en mer kapitalkr</w:t>
      </w:r>
      <w:r w:rsidRPr="00F517E2">
        <w:t>ä</w:t>
      </w:r>
      <w:r w:rsidRPr="00F517E2">
        <w:t xml:space="preserve">vande verksamhet bör avsättningar normalt sett inte leda till jämkning. </w:t>
      </w:r>
    </w:p>
    <w:p w:rsidR="007A056D" w:rsidRPr="00F517E2" w:rsidRDefault="007A056D" w:rsidP="00EE17D2">
      <w:pPr>
        <w:pStyle w:val="Rubrik3"/>
        <w:rPr>
          <w:noProof w:val="0"/>
        </w:rPr>
      </w:pPr>
      <w:bookmarkStart w:id="26" w:name="_Toc277831119"/>
      <w:r w:rsidRPr="00F517E2">
        <w:rPr>
          <w:noProof w:val="0"/>
        </w:rPr>
        <w:t>Upphovsmannakonto</w:t>
      </w:r>
      <w:bookmarkEnd w:id="26"/>
    </w:p>
    <w:p w:rsidR="00D41473" w:rsidRPr="00F517E2" w:rsidRDefault="00D41473" w:rsidP="00D41473">
      <w:pPr>
        <w:pStyle w:val="Utskottsfrslagikorthet-Rubrik"/>
        <w:numPr>
          <w:ilvl w:val="0"/>
          <w:numId w:val="0"/>
        </w:numPr>
        <w:ind w:left="113"/>
        <w:rPr>
          <w:b w:val="0"/>
          <w:noProof w:val="0"/>
          <w:sz w:val="19"/>
          <w:szCs w:val="19"/>
        </w:rPr>
      </w:pPr>
      <w:r w:rsidRPr="00F517E2">
        <w:rPr>
          <w:noProof w:val="0"/>
          <w:sz w:val="19"/>
          <w:szCs w:val="19"/>
        </w:rPr>
        <w:t xml:space="preserve">Riksdagsstyrelsens förslag: </w:t>
      </w:r>
      <w:r w:rsidRPr="00F517E2">
        <w:rPr>
          <w:b w:val="0"/>
          <w:noProof w:val="0"/>
          <w:sz w:val="19"/>
          <w:szCs w:val="19"/>
        </w:rPr>
        <w:t xml:space="preserve">Om </w:t>
      </w:r>
      <w:r w:rsidR="00602795" w:rsidRPr="00F517E2">
        <w:rPr>
          <w:b w:val="0"/>
          <w:noProof w:val="0"/>
          <w:sz w:val="19"/>
          <w:szCs w:val="19"/>
        </w:rPr>
        <w:t>en garantitagare</w:t>
      </w:r>
      <w:r w:rsidRPr="00F517E2">
        <w:rPr>
          <w:b w:val="0"/>
          <w:noProof w:val="0"/>
          <w:sz w:val="19"/>
          <w:szCs w:val="19"/>
        </w:rPr>
        <w:t xml:space="preserve"> har gjort insättning på upphovsmannakonto kan inkomstgarantin jämkas, om det är skäligt.</w:t>
      </w:r>
    </w:p>
    <w:p w:rsidR="00D41473" w:rsidRPr="00F517E2" w:rsidRDefault="003969ED" w:rsidP="00D41473">
      <w:r w:rsidRPr="00F517E2">
        <w:rPr>
          <w:b/>
        </w:rPr>
        <w:t>Arbetsgruppens</w:t>
      </w:r>
      <w:r w:rsidR="00D41473" w:rsidRPr="00F517E2">
        <w:rPr>
          <w:b/>
        </w:rPr>
        <w:t xml:space="preserve"> förslag </w:t>
      </w:r>
      <w:r w:rsidR="00D41473" w:rsidRPr="00F517E2">
        <w:t>överensstämmer med riksdagsstyrelsens fö</w:t>
      </w:r>
      <w:r w:rsidR="00D41473" w:rsidRPr="00F517E2">
        <w:t>r</w:t>
      </w:r>
      <w:r w:rsidR="00D41473" w:rsidRPr="00F517E2">
        <w:t xml:space="preserve">slag. </w:t>
      </w:r>
    </w:p>
    <w:p w:rsidR="00D41473" w:rsidRPr="00F517E2" w:rsidRDefault="00D41473" w:rsidP="00D41473">
      <w:pPr>
        <w:rPr>
          <w:b/>
        </w:rPr>
      </w:pPr>
      <w:r w:rsidRPr="00F517E2">
        <w:rPr>
          <w:b/>
        </w:rPr>
        <w:t xml:space="preserve">Remissinstanserna: </w:t>
      </w:r>
    </w:p>
    <w:p w:rsidR="00CA799C" w:rsidRPr="00F517E2" w:rsidRDefault="00CA799C" w:rsidP="00CA799C">
      <w:r w:rsidRPr="00F517E2">
        <w:t>Skatteverket har tillstyrkt förslaget.</w:t>
      </w:r>
    </w:p>
    <w:p w:rsidR="00D1503A" w:rsidRPr="00F517E2" w:rsidRDefault="00D1503A" w:rsidP="00D1503A">
      <w:pPr>
        <w:pStyle w:val="Normaltindrag"/>
      </w:pPr>
      <w:r w:rsidRPr="00F517E2">
        <w:t>Statens pensionsverk har inga invändningar mot förslaget. Kammarrätten i Stockholm har utifrån de aspekter domstolen har att beakta inte några sy</w:t>
      </w:r>
      <w:r w:rsidRPr="00F517E2">
        <w:t>n</w:t>
      </w:r>
      <w:r w:rsidRPr="00F517E2">
        <w:t>punkter på förslaget. Riksdagens ombudsmän (JO) har från de synpunkter som JO har att beakta inga in</w:t>
      </w:r>
      <w:r w:rsidR="001E4B4A" w:rsidRPr="00F517E2">
        <w:t>vändningar</w:t>
      </w:r>
      <w:r w:rsidRPr="00F517E2">
        <w:t xml:space="preserve"> mot förslaget. Sveriges Komm</w:t>
      </w:r>
      <w:r w:rsidRPr="00F517E2">
        <w:t>u</w:t>
      </w:r>
      <w:r w:rsidRPr="00F517E2">
        <w:t xml:space="preserve">ner och Landsting har avstått från att lämna synpunkter. </w:t>
      </w:r>
    </w:p>
    <w:p w:rsidR="00D41473" w:rsidRPr="00F517E2" w:rsidRDefault="00130401" w:rsidP="00D41473">
      <w:pPr>
        <w:pStyle w:val="R4"/>
      </w:pPr>
      <w:r w:rsidRPr="00F517E2">
        <w:t>Gällande ordning</w:t>
      </w:r>
    </w:p>
    <w:p w:rsidR="00E222B6" w:rsidRPr="00F517E2" w:rsidRDefault="00D41473" w:rsidP="00BA2B26">
      <w:pPr>
        <w:spacing w:before="0"/>
      </w:pPr>
      <w:r w:rsidRPr="00F517E2">
        <w:t>Regler om upphovsmannakonto finns i 32 kap. IL.</w:t>
      </w:r>
    </w:p>
    <w:p w:rsidR="00E222B6" w:rsidRPr="00F517E2" w:rsidRDefault="00D41473" w:rsidP="00E222B6">
      <w:pPr>
        <w:pStyle w:val="Normaltindrag"/>
      </w:pPr>
      <w:r w:rsidRPr="00F517E2">
        <w:t>En enskild näringsidkare som har intäkt i egenskap av upphovsman enligt lagen (1960:729) om upphovsrätt till litterära och konstnärliga verk (up</w:t>
      </w:r>
      <w:r w:rsidRPr="00F517E2">
        <w:t>p</w:t>
      </w:r>
      <w:r w:rsidRPr="00F517E2">
        <w:t xml:space="preserve">hovsmannaintäkt) får </w:t>
      </w:r>
      <w:r w:rsidR="005A28C2" w:rsidRPr="00F517E2">
        <w:t xml:space="preserve">enligt 32 kap. 1 § IL </w:t>
      </w:r>
      <w:r w:rsidRPr="00F517E2">
        <w:t>dra av belopp som sätts in på ett särskilt konto i ett kreditinstitut (upphovsmann</w:t>
      </w:r>
      <w:r w:rsidRPr="00F517E2">
        <w:t>a</w:t>
      </w:r>
      <w:r w:rsidRPr="00F517E2">
        <w:t>konto).</w:t>
      </w:r>
    </w:p>
    <w:p w:rsidR="00E222B6" w:rsidRPr="00F517E2" w:rsidRDefault="00D41473" w:rsidP="00E222B6">
      <w:pPr>
        <w:pStyle w:val="Normaltindrag"/>
      </w:pPr>
      <w:r w:rsidRPr="00F517E2">
        <w:t>Som förutsättning för avdrag gäller att den skattskyldiges upphovsmann</w:t>
      </w:r>
      <w:r w:rsidRPr="00F517E2">
        <w:t>a</w:t>
      </w:r>
      <w:r w:rsidRPr="00F517E2">
        <w:t xml:space="preserve">intäkter under beskattningsåret överstiger hans </w:t>
      </w:r>
      <w:r w:rsidR="0007595D" w:rsidRPr="00F517E2">
        <w:t xml:space="preserve">eller hennes </w:t>
      </w:r>
      <w:r w:rsidRPr="00F517E2">
        <w:t>upphovsmannai</w:t>
      </w:r>
      <w:r w:rsidRPr="00F517E2">
        <w:t>n</w:t>
      </w:r>
      <w:r w:rsidRPr="00F517E2">
        <w:t>täkter under något av de två föregående beskattningsåren med minst 50 pr</w:t>
      </w:r>
      <w:r w:rsidRPr="00F517E2">
        <w:t>o</w:t>
      </w:r>
      <w:r w:rsidRPr="00F517E2">
        <w:t>cent</w:t>
      </w:r>
      <w:r w:rsidR="0002124B" w:rsidRPr="00F517E2">
        <w:t xml:space="preserve"> (32 kap. 3 § IL)</w:t>
      </w:r>
      <w:r w:rsidRPr="00F517E2">
        <w:t>.</w:t>
      </w:r>
    </w:p>
    <w:p w:rsidR="00E222B6" w:rsidRPr="00F517E2" w:rsidRDefault="00D41473" w:rsidP="00E222B6">
      <w:pPr>
        <w:pStyle w:val="Normaltindrag"/>
      </w:pPr>
      <w:r w:rsidRPr="00F517E2">
        <w:t>Avdrag får göras med högst ett belopp som motsvarar upphovsmannai</w:t>
      </w:r>
      <w:r w:rsidRPr="00F517E2">
        <w:t>n</w:t>
      </w:r>
      <w:r w:rsidRPr="00F517E2">
        <w:t>täkten. Avdr</w:t>
      </w:r>
      <w:r w:rsidRPr="00F517E2">
        <w:t>a</w:t>
      </w:r>
      <w:r w:rsidRPr="00F517E2">
        <w:t>get får inte överstiga ett belopp som motsvarar två tredjedelar av överskottet av näringsverksamheten före avdraget och före avdrag för avsät</w:t>
      </w:r>
      <w:r w:rsidRPr="00F517E2">
        <w:t>t</w:t>
      </w:r>
      <w:r w:rsidRPr="00F517E2">
        <w:t>ning för egenavgifter. Avdrag får dock inte göras med högre belopp än att öve</w:t>
      </w:r>
      <w:r w:rsidRPr="00F517E2">
        <w:t>r</w:t>
      </w:r>
      <w:r w:rsidRPr="00F517E2">
        <w:t>skottet, efter avdraget men före avdraget för avsättning för egenavgifter, uppgår till minst 30 000 kr</w:t>
      </w:r>
      <w:r w:rsidR="0002124B" w:rsidRPr="00F517E2">
        <w:t xml:space="preserve"> (32 kap. 4 § IL)</w:t>
      </w:r>
      <w:r w:rsidRPr="00F517E2">
        <w:t>.</w:t>
      </w:r>
    </w:p>
    <w:p w:rsidR="00E222B6" w:rsidRPr="00F517E2" w:rsidRDefault="00D41473" w:rsidP="00E222B6">
      <w:pPr>
        <w:pStyle w:val="Normaltindrag"/>
      </w:pPr>
      <w:r w:rsidRPr="00F517E2">
        <w:t>Avdrag får göras bara om medlen sätts in på ett upphovsmannakonto s</w:t>
      </w:r>
      <w:r w:rsidRPr="00F517E2">
        <w:t>e</w:t>
      </w:r>
      <w:r w:rsidRPr="00F517E2">
        <w:t>nast den dag den skattskyldige ska lämna självdeklar</w:t>
      </w:r>
      <w:r w:rsidRPr="00F517E2">
        <w:t>a</w:t>
      </w:r>
      <w:r w:rsidRPr="00F517E2">
        <w:t>tion</w:t>
      </w:r>
      <w:r w:rsidR="0002124B" w:rsidRPr="00F517E2">
        <w:t xml:space="preserve"> (32 kap. 6 § IL)</w:t>
      </w:r>
      <w:r w:rsidRPr="00F517E2">
        <w:t>.</w:t>
      </w:r>
    </w:p>
    <w:p w:rsidR="00E222B6" w:rsidRPr="00F517E2" w:rsidRDefault="00D41473" w:rsidP="00E222B6">
      <w:pPr>
        <w:pStyle w:val="Normaltindrag"/>
      </w:pPr>
      <w:r w:rsidRPr="00F517E2">
        <w:t>Sedan sex år har gått från ingången av det år då insättningen senast skulle göras, ska krediti</w:t>
      </w:r>
      <w:r w:rsidRPr="00F517E2">
        <w:t>n</w:t>
      </w:r>
      <w:r w:rsidRPr="00F517E2">
        <w:t>stitutet betala ut kvarstående medel. Dessförinnan kan den skattskyldige själv ta ut medel från kontot</w:t>
      </w:r>
      <w:r w:rsidR="0002124B" w:rsidRPr="00F517E2">
        <w:t xml:space="preserve"> (32 kap. 8 § IL)</w:t>
      </w:r>
      <w:r w:rsidRPr="00F517E2">
        <w:t>.</w:t>
      </w:r>
    </w:p>
    <w:p w:rsidR="00E222B6" w:rsidRPr="00F517E2" w:rsidRDefault="00D41473" w:rsidP="00E222B6">
      <w:pPr>
        <w:pStyle w:val="Normaltindrag"/>
      </w:pPr>
      <w:r w:rsidRPr="00F517E2">
        <w:t xml:space="preserve">Uttag </w:t>
      </w:r>
      <w:r w:rsidR="0007595D" w:rsidRPr="00F517E2">
        <w:t>eller</w:t>
      </w:r>
      <w:r w:rsidRPr="00F517E2">
        <w:t xml:space="preserve"> utbetalning från upphovsmannakonto ska tas upp som intäkt i inkomstslaget näringsverksamhet det beskattningsår då uttaget</w:t>
      </w:r>
      <w:r w:rsidR="0007595D" w:rsidRPr="00F517E2">
        <w:t xml:space="preserve"> eller </w:t>
      </w:r>
      <w:r w:rsidRPr="00F517E2">
        <w:t>utbeta</w:t>
      </w:r>
      <w:r w:rsidRPr="00F517E2">
        <w:t>l</w:t>
      </w:r>
      <w:r w:rsidRPr="00F517E2">
        <w:t>ningen görs</w:t>
      </w:r>
      <w:r w:rsidR="0002124B" w:rsidRPr="00F517E2">
        <w:t xml:space="preserve"> (32 kap. 9 § IL)</w:t>
      </w:r>
      <w:r w:rsidRPr="00F517E2">
        <w:t>.</w:t>
      </w:r>
    </w:p>
    <w:p w:rsidR="00D41473" w:rsidRPr="00F517E2" w:rsidRDefault="00D41473" w:rsidP="00E222B6">
      <w:pPr>
        <w:pStyle w:val="Normaltindrag"/>
      </w:pPr>
      <w:r w:rsidRPr="00F517E2">
        <w:t>Med hjälp av reglerna om upphovsmannakonto kan man således reduc</w:t>
      </w:r>
      <w:r w:rsidRPr="00F517E2">
        <w:t>e</w:t>
      </w:r>
      <w:r w:rsidRPr="00F517E2">
        <w:t xml:space="preserve">ra sin pensionsgrundande inkomst av näringsverksamhet med två tredjedelar, dock måste </w:t>
      </w:r>
      <w:r w:rsidR="00236898" w:rsidRPr="00F517E2">
        <w:t xml:space="preserve">överskottet efter avdraget </w:t>
      </w:r>
      <w:r w:rsidRPr="00F517E2">
        <w:t>uppgå till minst 30 000 kr minus a</w:t>
      </w:r>
      <w:r w:rsidRPr="00F517E2">
        <w:t>v</w:t>
      </w:r>
      <w:r w:rsidRPr="00F517E2">
        <w:t>sättning för ege</w:t>
      </w:r>
      <w:r w:rsidRPr="00F517E2">
        <w:t>n</w:t>
      </w:r>
      <w:r w:rsidRPr="00F517E2">
        <w:t xml:space="preserve">avgifter. </w:t>
      </w:r>
    </w:p>
    <w:p w:rsidR="00D41473" w:rsidRPr="00F517E2" w:rsidRDefault="00D41473" w:rsidP="00D41473">
      <w:pPr>
        <w:pStyle w:val="R4"/>
      </w:pPr>
      <w:r w:rsidRPr="00F517E2">
        <w:t>Riksdagsstyrelsens ställningstagande</w:t>
      </w:r>
    </w:p>
    <w:p w:rsidR="00E222B6" w:rsidRPr="00F517E2" w:rsidRDefault="007A056D" w:rsidP="00BA2B26">
      <w:pPr>
        <w:spacing w:before="0"/>
      </w:pPr>
      <w:r w:rsidRPr="00F517E2">
        <w:t xml:space="preserve">Enligt bestämmelserna i 32 kap. IL får en enskild näringsidkare som har intäkter i egenskap av upphovsman dra av belopp som sätts in på ett särskilt konto i ett kreditinstitut, s.k. upphovsmannakonto. Kreditinstitutet ska betala ut beloppet när det gått sex år från insättningen, om inte upphovsmannen själv dessförinnan tagit ut beloppet. Avdraget reducerar den pensionsgrundande inkomsten. Uttag </w:t>
      </w:r>
      <w:r w:rsidR="0007595D" w:rsidRPr="00F517E2">
        <w:t>eller</w:t>
      </w:r>
      <w:r w:rsidRPr="00F517E2">
        <w:t xml:space="preserve"> utbetalning tas upp som intäkt av näringsverksa</w:t>
      </w:r>
      <w:r w:rsidRPr="00F517E2">
        <w:t>m</w:t>
      </w:r>
      <w:r w:rsidRPr="00F517E2">
        <w:t>het det beskattningsår som uttaget eller utbetalningen görs. Vissa belopp</w:t>
      </w:r>
      <w:r w:rsidRPr="00F517E2">
        <w:t>s</w:t>
      </w:r>
      <w:r w:rsidRPr="00F517E2">
        <w:t xml:space="preserve">mässiga begränsningar gäller i fråga om insättning på upphovsmannakonto. </w:t>
      </w:r>
    </w:p>
    <w:p w:rsidR="00E222B6" w:rsidRPr="00F517E2" w:rsidRDefault="007A056D" w:rsidP="00E222B6">
      <w:pPr>
        <w:pStyle w:val="Normaltindrag"/>
      </w:pPr>
      <w:r w:rsidRPr="00F517E2">
        <w:t>I likhet med vad som är fallet med avsättningar till periodiseringsfond är inte en insättning på upphovsmannakonto i sig svår att förena med syftet med inkomstgarantin. På samma sätt som är fallet beträffande avsättning</w:t>
      </w:r>
      <w:r w:rsidR="0007595D" w:rsidRPr="00F517E2">
        <w:t>ar</w:t>
      </w:r>
      <w:r w:rsidRPr="00F517E2">
        <w:t xml:space="preserve"> till peri</w:t>
      </w:r>
      <w:r w:rsidRPr="00F517E2">
        <w:t>o</w:t>
      </w:r>
      <w:r w:rsidRPr="00F517E2">
        <w:t>diseringsfond måste beloppet i fråga beskattas efter sex år. Det innebär att sv</w:t>
      </w:r>
      <w:r w:rsidRPr="00F517E2">
        <w:t>a</w:t>
      </w:r>
      <w:r w:rsidRPr="00F517E2">
        <w:t>ret på frågan om en insättning på upphovsmannakonto låter sig förenas med syftet med inkomstgarantin i det enskilda fallet bl.a. blir beroende av hur lång garantitid som är kvar. Möjligheterna att utnyttja inkomstgarantisystemet på ett icke avsett sätt är således i princip desamma när det gäller insättning</w:t>
      </w:r>
      <w:r w:rsidR="00887808" w:rsidRPr="00F517E2">
        <w:t>ar</w:t>
      </w:r>
      <w:r w:rsidRPr="00F517E2">
        <w:t xml:space="preserve"> på upphovsmannakonto som när det gäller avsättning</w:t>
      </w:r>
      <w:r w:rsidR="00887808" w:rsidRPr="00F517E2">
        <w:t>ar</w:t>
      </w:r>
      <w:r w:rsidRPr="00F517E2">
        <w:t xml:space="preserve"> till periodisering</w:t>
      </w:r>
      <w:r w:rsidRPr="00F517E2">
        <w:t>s</w:t>
      </w:r>
      <w:r w:rsidRPr="00F517E2">
        <w:t xml:space="preserve">fond. Det finns inte skäl att göra </w:t>
      </w:r>
      <w:r w:rsidR="00DE707F" w:rsidRPr="00F517E2">
        <w:t xml:space="preserve">någon </w:t>
      </w:r>
      <w:r w:rsidRPr="00F517E2">
        <w:t>annan bedömning beträffande up</w:t>
      </w:r>
      <w:r w:rsidRPr="00F517E2">
        <w:t>p</w:t>
      </w:r>
      <w:r w:rsidRPr="00F517E2">
        <w:t>hovsmannako</w:t>
      </w:r>
      <w:r w:rsidRPr="00F517E2">
        <w:t>n</w:t>
      </w:r>
      <w:r w:rsidRPr="00F517E2">
        <w:t>to</w:t>
      </w:r>
      <w:r w:rsidR="007D1B39" w:rsidRPr="00F517E2">
        <w:t>n</w:t>
      </w:r>
      <w:r w:rsidRPr="00F517E2">
        <w:t xml:space="preserve"> än vad som gjorts ovan beträffande periodiseringsfond</w:t>
      </w:r>
      <w:r w:rsidR="007D1B39" w:rsidRPr="00F517E2">
        <w:t>er</w:t>
      </w:r>
      <w:r w:rsidRPr="00F517E2">
        <w:t xml:space="preserve">. </w:t>
      </w:r>
    </w:p>
    <w:p w:rsidR="007A056D" w:rsidRPr="00F517E2" w:rsidRDefault="007A056D" w:rsidP="00E222B6">
      <w:pPr>
        <w:pStyle w:val="Normaltindrag"/>
      </w:pPr>
      <w:r w:rsidRPr="00F517E2">
        <w:t>Mot bakgrund av det som sagts nu föreslås att också insättning</w:t>
      </w:r>
      <w:r w:rsidR="00DE707F" w:rsidRPr="00F517E2">
        <w:t>ar</w:t>
      </w:r>
      <w:r w:rsidRPr="00F517E2">
        <w:t xml:space="preserve"> på up</w:t>
      </w:r>
      <w:r w:rsidRPr="00F517E2">
        <w:t>p</w:t>
      </w:r>
      <w:r w:rsidRPr="00F517E2">
        <w:t>hovsmannakonto</w:t>
      </w:r>
      <w:r w:rsidR="007D1B39" w:rsidRPr="00F517E2">
        <w:t>n</w:t>
      </w:r>
      <w:r w:rsidRPr="00F517E2">
        <w:t xml:space="preserve"> bör kunna leda till jämkning av inkomstgaranti</w:t>
      </w:r>
      <w:r w:rsidR="0009708F" w:rsidRPr="00F517E2">
        <w:t xml:space="preserve"> om det är skäligt</w:t>
      </w:r>
      <w:r w:rsidRPr="00F517E2">
        <w:t>. Även här blir det fråga om en helhetsbedömning där samtliga o</w:t>
      </w:r>
      <w:r w:rsidRPr="00F517E2">
        <w:t>m</w:t>
      </w:r>
      <w:r w:rsidRPr="00F517E2">
        <w:t>ständigheter ska bea</w:t>
      </w:r>
      <w:r w:rsidRPr="00F517E2">
        <w:t>k</w:t>
      </w:r>
      <w:r w:rsidRPr="00F517E2">
        <w:t xml:space="preserve">tas. </w:t>
      </w:r>
    </w:p>
    <w:p w:rsidR="007A056D" w:rsidRPr="00F517E2" w:rsidRDefault="007A056D" w:rsidP="00D41473">
      <w:pPr>
        <w:pStyle w:val="Rubrik3"/>
        <w:rPr>
          <w:noProof w:val="0"/>
        </w:rPr>
      </w:pPr>
      <w:bookmarkStart w:id="27" w:name="_Toc277831120"/>
      <w:r w:rsidRPr="00F517E2">
        <w:rPr>
          <w:noProof w:val="0"/>
        </w:rPr>
        <w:t>Expansionsfond</w:t>
      </w:r>
      <w:bookmarkEnd w:id="27"/>
    </w:p>
    <w:p w:rsidR="00D41473" w:rsidRPr="00F517E2" w:rsidRDefault="00D41473" w:rsidP="00D41473">
      <w:pPr>
        <w:pStyle w:val="Utskottsfrslagikorthet-Rubrik"/>
        <w:numPr>
          <w:ilvl w:val="0"/>
          <w:numId w:val="0"/>
        </w:numPr>
        <w:ind w:left="113"/>
        <w:rPr>
          <w:b w:val="0"/>
          <w:noProof w:val="0"/>
          <w:sz w:val="19"/>
          <w:szCs w:val="19"/>
        </w:rPr>
      </w:pPr>
      <w:r w:rsidRPr="00F517E2">
        <w:rPr>
          <w:noProof w:val="0"/>
          <w:sz w:val="19"/>
          <w:szCs w:val="19"/>
        </w:rPr>
        <w:t xml:space="preserve">Riksdagsstyrelsens förslag: </w:t>
      </w:r>
      <w:r w:rsidRPr="00F517E2">
        <w:rPr>
          <w:b w:val="0"/>
          <w:noProof w:val="0"/>
          <w:sz w:val="19"/>
          <w:szCs w:val="19"/>
        </w:rPr>
        <w:t xml:space="preserve">Om </w:t>
      </w:r>
      <w:r w:rsidR="00602795" w:rsidRPr="00F517E2">
        <w:rPr>
          <w:b w:val="0"/>
          <w:noProof w:val="0"/>
          <w:sz w:val="19"/>
          <w:szCs w:val="19"/>
        </w:rPr>
        <w:t>en garantitagare</w:t>
      </w:r>
      <w:r w:rsidRPr="00F517E2">
        <w:rPr>
          <w:b w:val="0"/>
          <w:noProof w:val="0"/>
          <w:sz w:val="19"/>
          <w:szCs w:val="19"/>
        </w:rPr>
        <w:t xml:space="preserve"> har gjort avsättning till expansionsfond kan inkomstgarantin jämkas, om det är skäligt.</w:t>
      </w:r>
    </w:p>
    <w:p w:rsidR="00D41473" w:rsidRPr="00F517E2" w:rsidRDefault="003969ED" w:rsidP="00D41473">
      <w:r w:rsidRPr="00F517E2">
        <w:rPr>
          <w:b/>
        </w:rPr>
        <w:t>Arbetsgruppens</w:t>
      </w:r>
      <w:r w:rsidR="00D41473" w:rsidRPr="00F517E2">
        <w:rPr>
          <w:b/>
        </w:rPr>
        <w:t xml:space="preserve"> förslag </w:t>
      </w:r>
      <w:r w:rsidR="00D41473" w:rsidRPr="00F517E2">
        <w:t>överensstämmer med riksdagsstyrelsens fö</w:t>
      </w:r>
      <w:r w:rsidR="00D41473" w:rsidRPr="00F517E2">
        <w:t>r</w:t>
      </w:r>
      <w:r w:rsidR="00D41473" w:rsidRPr="00F517E2">
        <w:t xml:space="preserve">slag. </w:t>
      </w:r>
    </w:p>
    <w:p w:rsidR="00D41473" w:rsidRPr="00F517E2" w:rsidRDefault="00D41473" w:rsidP="00D41473">
      <w:pPr>
        <w:rPr>
          <w:b/>
        </w:rPr>
      </w:pPr>
      <w:r w:rsidRPr="00F517E2">
        <w:rPr>
          <w:b/>
        </w:rPr>
        <w:t xml:space="preserve">Remissinstanserna: </w:t>
      </w:r>
    </w:p>
    <w:p w:rsidR="00560F2A" w:rsidRPr="00F517E2" w:rsidRDefault="00560F2A" w:rsidP="00560F2A">
      <w:r w:rsidRPr="00F517E2">
        <w:t>Skatteverket har tillstyrkt förslaget.</w:t>
      </w:r>
    </w:p>
    <w:p w:rsidR="00D1503A" w:rsidRPr="00F517E2" w:rsidRDefault="00D1503A" w:rsidP="00D1503A">
      <w:pPr>
        <w:pStyle w:val="Normaltindrag"/>
      </w:pPr>
      <w:r w:rsidRPr="00F517E2">
        <w:t>Statens pensionsverk har inga invändningar mot förslaget. Kammarrätten i Stockholm har utifrån de aspekter domstolen har att beakta inte några sy</w:t>
      </w:r>
      <w:r w:rsidRPr="00F517E2">
        <w:t>n</w:t>
      </w:r>
      <w:r w:rsidRPr="00F517E2">
        <w:t>punkter på förslaget. Riksdagens ombudsmän (JO) har från de synpunkter som JO har att beakta inga in</w:t>
      </w:r>
      <w:r w:rsidR="00C071FF" w:rsidRPr="00F517E2">
        <w:t>vändningar</w:t>
      </w:r>
      <w:r w:rsidRPr="00F517E2">
        <w:t xml:space="preserve"> mot förslaget. Sveriges Komm</w:t>
      </w:r>
      <w:r w:rsidRPr="00F517E2">
        <w:t>u</w:t>
      </w:r>
      <w:r w:rsidRPr="00F517E2">
        <w:t xml:space="preserve">ner och Landsting har avstått från att lämna synpunkter. </w:t>
      </w:r>
    </w:p>
    <w:p w:rsidR="00D41473" w:rsidRPr="00F517E2" w:rsidRDefault="00D41473" w:rsidP="00D41473">
      <w:pPr>
        <w:pStyle w:val="R4"/>
      </w:pPr>
      <w:r w:rsidRPr="00F517E2">
        <w:t xml:space="preserve">Gällande </w:t>
      </w:r>
      <w:r w:rsidR="007C3B3B" w:rsidRPr="00F517E2">
        <w:t>ordning</w:t>
      </w:r>
    </w:p>
    <w:p w:rsidR="00E222B6" w:rsidRPr="00F517E2" w:rsidRDefault="004B6F91" w:rsidP="00BA2B26">
      <w:pPr>
        <w:spacing w:before="0"/>
      </w:pPr>
      <w:r w:rsidRPr="00F517E2">
        <w:t>Regler om avdrag för avsättning till expansionsfond finns i 34 kap. IL.</w:t>
      </w:r>
    </w:p>
    <w:p w:rsidR="00E222B6" w:rsidRPr="00F517E2" w:rsidRDefault="004B6F91" w:rsidP="00E222B6">
      <w:pPr>
        <w:pStyle w:val="Normaltindrag"/>
      </w:pPr>
      <w:r w:rsidRPr="00F517E2">
        <w:t>Avdrag får göras med högst ett belopp som motsvarar ett för expansion</w:t>
      </w:r>
      <w:r w:rsidRPr="00F517E2">
        <w:t>s</w:t>
      </w:r>
      <w:r w:rsidRPr="00F517E2">
        <w:t>fond justerat positivt resultat</w:t>
      </w:r>
      <w:r w:rsidR="001472CB" w:rsidRPr="00F517E2">
        <w:t xml:space="preserve"> (34 kap. 4 § IL)</w:t>
      </w:r>
      <w:r w:rsidRPr="00F517E2">
        <w:t xml:space="preserve">. </w:t>
      </w:r>
    </w:p>
    <w:p w:rsidR="004B6F91" w:rsidRPr="00F517E2" w:rsidRDefault="004B6F91" w:rsidP="00E222B6">
      <w:pPr>
        <w:pStyle w:val="Normaltindrag"/>
      </w:pPr>
      <w:r w:rsidRPr="00F517E2">
        <w:t>Med det för expansionsfond justerade resultatet avses enligt 34 kap. 5 § IL resultatet av näringsverksamheten före avdrag för avsättning till expansion</w:t>
      </w:r>
      <w:r w:rsidRPr="00F517E2">
        <w:t>s</w:t>
      </w:r>
      <w:r w:rsidRPr="00F517E2">
        <w:t>fond ökat med</w:t>
      </w:r>
    </w:p>
    <w:p w:rsidR="004B6F91" w:rsidRPr="00F517E2" w:rsidRDefault="00A66BC7" w:rsidP="004B6F91">
      <w:r w:rsidRPr="00F517E2">
        <w:t xml:space="preserve">– </w:t>
      </w:r>
      <w:r w:rsidR="004B6F91" w:rsidRPr="00F517E2">
        <w:t>avdrag för egenavgifter, och</w:t>
      </w:r>
    </w:p>
    <w:p w:rsidR="004B6F91" w:rsidRPr="00F517E2" w:rsidRDefault="00A66BC7" w:rsidP="003D372D">
      <w:pPr>
        <w:spacing w:before="0"/>
      </w:pPr>
      <w:r w:rsidRPr="00F517E2">
        <w:t xml:space="preserve">– </w:t>
      </w:r>
      <w:r w:rsidR="004B6F91" w:rsidRPr="00F517E2">
        <w:t>avdrag för premie för pensionsförsäkring och inbetalning på pensionsspa</w:t>
      </w:r>
      <w:r w:rsidR="004B6F91" w:rsidRPr="00F517E2">
        <w:t>r</w:t>
      </w:r>
      <w:r w:rsidR="004B6F91" w:rsidRPr="00F517E2">
        <w:t xml:space="preserve">konto samt särskild löneskatt på pensionskostnader </w:t>
      </w:r>
      <w:r w:rsidRPr="00F517E2">
        <w:t>för</w:t>
      </w:r>
      <w:r w:rsidR="004B6F91" w:rsidRPr="00F517E2">
        <w:t xml:space="preserve"> dessa poster,</w:t>
      </w:r>
    </w:p>
    <w:p w:rsidR="004B6F91" w:rsidRPr="00F517E2" w:rsidRDefault="004B6F91" w:rsidP="003D372D">
      <w:pPr>
        <w:spacing w:before="0"/>
      </w:pPr>
      <w:r w:rsidRPr="00F517E2">
        <w:t>minskat med</w:t>
      </w:r>
    </w:p>
    <w:p w:rsidR="004B6F91" w:rsidRPr="00F517E2" w:rsidRDefault="00A66BC7" w:rsidP="003D372D">
      <w:pPr>
        <w:spacing w:before="0"/>
      </w:pPr>
      <w:r w:rsidRPr="00F517E2">
        <w:t xml:space="preserve">– </w:t>
      </w:r>
      <w:r w:rsidR="004B6F91" w:rsidRPr="00F517E2">
        <w:t>sjukpenning och liknande ersättning</w:t>
      </w:r>
      <w:r w:rsidRPr="00F517E2">
        <w:t>ar</w:t>
      </w:r>
      <w:r w:rsidR="004B6F91" w:rsidRPr="00F517E2">
        <w:t>, och</w:t>
      </w:r>
    </w:p>
    <w:p w:rsidR="004B6F91" w:rsidRPr="00F517E2" w:rsidRDefault="00A66BC7" w:rsidP="003D372D">
      <w:pPr>
        <w:spacing w:before="0"/>
      </w:pPr>
      <w:r w:rsidRPr="00F517E2">
        <w:t xml:space="preserve">– </w:t>
      </w:r>
      <w:r w:rsidR="004B6F91" w:rsidRPr="00F517E2">
        <w:t>återfört avdrag för egenavgifter</w:t>
      </w:r>
      <w:r w:rsidR="00AF2736" w:rsidRPr="00F517E2">
        <w:t>.</w:t>
      </w:r>
    </w:p>
    <w:p w:rsidR="00E222B6" w:rsidRPr="00F517E2" w:rsidRDefault="004B6F91" w:rsidP="00BC45CB">
      <w:pPr>
        <w:spacing w:before="125"/>
      </w:pPr>
      <w:r w:rsidRPr="00F517E2">
        <w:t>Avdraget för avsättning till expansionsfond beläggs med en särskild skatt, expansionsfondsskatt, som är 26,3 procent på avdraget</w:t>
      </w:r>
      <w:r w:rsidR="00BE40C7" w:rsidRPr="00F517E2">
        <w:t xml:space="preserve"> (65 kap. 8 § IL)</w:t>
      </w:r>
      <w:r w:rsidRPr="00F517E2">
        <w:t>. När e</w:t>
      </w:r>
      <w:r w:rsidRPr="00F517E2">
        <w:t>x</w:t>
      </w:r>
      <w:r w:rsidRPr="00F517E2">
        <w:t>pansionsfonden återförs till beskattning återbetalas expansionsfondsskatten. Återföringen blir en inkomst i näringsverksamheten</w:t>
      </w:r>
      <w:r w:rsidR="0000614E" w:rsidRPr="00F517E2">
        <w:t>,</w:t>
      </w:r>
      <w:r w:rsidRPr="00F517E2">
        <w:t xml:space="preserve"> och på nettot av näring</w:t>
      </w:r>
      <w:r w:rsidRPr="00F517E2">
        <w:t>s</w:t>
      </w:r>
      <w:r w:rsidRPr="00F517E2">
        <w:t>verksamheten betalar den skattskyldige egenavgifter och inkomstskatt på vanligt sätt.</w:t>
      </w:r>
    </w:p>
    <w:p w:rsidR="00E222B6" w:rsidRPr="00F517E2" w:rsidRDefault="004B6F91" w:rsidP="00E222B6">
      <w:pPr>
        <w:pStyle w:val="Normaltindrag"/>
      </w:pPr>
      <w:r w:rsidRPr="00F517E2">
        <w:t>När det gäller avdrag för avsättning till expansionsfond finns det dessutom ytterl</w:t>
      </w:r>
      <w:r w:rsidRPr="00F517E2">
        <w:t>i</w:t>
      </w:r>
      <w:r w:rsidRPr="00F517E2">
        <w:t>gare en regel att beakta. När det gäller enskilda näringsidkare begränsas a</w:t>
      </w:r>
      <w:r w:rsidRPr="00F517E2">
        <w:t>v</w:t>
      </w:r>
      <w:r w:rsidRPr="00F517E2">
        <w:t>draget på så sätt att expansionsfonden inte får överstiga 135,69 procent av kapitalunderlaget för expansionsfond</w:t>
      </w:r>
      <w:r w:rsidR="00A15806" w:rsidRPr="00F517E2">
        <w:t>en</w:t>
      </w:r>
      <w:r w:rsidRPr="00F517E2">
        <w:t>. Med kapitalunderlag</w:t>
      </w:r>
      <w:r w:rsidR="00804E50" w:rsidRPr="00F517E2">
        <w:t>et</w:t>
      </w:r>
      <w:r w:rsidRPr="00F517E2">
        <w:t xml:space="preserve"> för expa</w:t>
      </w:r>
      <w:r w:rsidRPr="00F517E2">
        <w:t>n</w:t>
      </w:r>
      <w:r w:rsidRPr="00F517E2">
        <w:t>sionsfond</w:t>
      </w:r>
      <w:r w:rsidR="00A15806" w:rsidRPr="00F517E2">
        <w:t>en</w:t>
      </w:r>
      <w:r w:rsidRPr="00F517E2">
        <w:t xml:space="preserve"> avses i princip skillnaden mellan värdet på tillgångarna och värdet på skulderna i näringsverksamheten vid beskattningsårets utgång, korrigerat på visst sätt</w:t>
      </w:r>
      <w:r w:rsidR="00F872A4" w:rsidRPr="00F517E2">
        <w:t xml:space="preserve"> (34 kap. 6</w:t>
      </w:r>
      <w:r w:rsidR="003E0610" w:rsidRPr="00F517E2">
        <w:t>–</w:t>
      </w:r>
      <w:r w:rsidR="00F872A4" w:rsidRPr="00F517E2">
        <w:t>11 §§ IL)</w:t>
      </w:r>
      <w:r w:rsidRPr="00F517E2">
        <w:t xml:space="preserve">. </w:t>
      </w:r>
    </w:p>
    <w:p w:rsidR="00E222B6" w:rsidRPr="00F517E2" w:rsidRDefault="004B6F91" w:rsidP="00E222B6">
      <w:pPr>
        <w:pStyle w:val="Normaltindrag"/>
      </w:pPr>
      <w:r w:rsidRPr="00F517E2">
        <w:t>För delägare i svenska handelsbolag får expansionsfonden inte uppgå till ett så högt belopp att kapitalunderlaget för expansionsfond</w:t>
      </w:r>
      <w:r w:rsidR="00FD4A08" w:rsidRPr="00F517E2">
        <w:t>en</w:t>
      </w:r>
      <w:r w:rsidRPr="00F517E2">
        <w:t xml:space="preserve"> är neg</w:t>
      </w:r>
      <w:r w:rsidRPr="00F517E2">
        <w:t>a</w:t>
      </w:r>
      <w:r w:rsidRPr="00F517E2">
        <w:t>tivt. När man beräknar kapitalunderlaget för expansionsfond</w:t>
      </w:r>
      <w:r w:rsidR="00FD4A08" w:rsidRPr="00F517E2">
        <w:t>en</w:t>
      </w:r>
      <w:r w:rsidRPr="00F517E2">
        <w:t xml:space="preserve"> för delägare i handel</w:t>
      </w:r>
      <w:r w:rsidRPr="00F517E2">
        <w:t>s</w:t>
      </w:r>
      <w:r w:rsidRPr="00F517E2">
        <w:t>bolag utgår man från den justerade anskaffningsutgiften och korrig</w:t>
      </w:r>
      <w:r w:rsidRPr="00F517E2">
        <w:t>e</w:t>
      </w:r>
      <w:r w:rsidRPr="00F517E2">
        <w:t>rar den på visst sätt</w:t>
      </w:r>
      <w:r w:rsidR="00F872A4" w:rsidRPr="00F517E2">
        <w:t xml:space="preserve"> (34 kap. 12</w:t>
      </w:r>
      <w:r w:rsidR="003E0610" w:rsidRPr="00F517E2">
        <w:t>–</w:t>
      </w:r>
      <w:r w:rsidR="00F872A4" w:rsidRPr="00F517E2">
        <w:t>13 §§ IL)</w:t>
      </w:r>
      <w:r w:rsidRPr="00F517E2">
        <w:t xml:space="preserve">. </w:t>
      </w:r>
    </w:p>
    <w:p w:rsidR="00E222B6" w:rsidRPr="00F517E2" w:rsidRDefault="004B6F91" w:rsidP="00E222B6">
      <w:pPr>
        <w:pStyle w:val="Normaltindrag"/>
      </w:pPr>
      <w:r w:rsidRPr="00F517E2">
        <w:t>Till skillnad från vad som gäller för periodiseringsfonder finns ingen bor</w:t>
      </w:r>
      <w:r w:rsidRPr="00F517E2">
        <w:t>t</w:t>
      </w:r>
      <w:r w:rsidRPr="00F517E2">
        <w:t>re gräns för när en expansionsfond måste återföras till beskattning. Man kan givetvis återföra den frivilligt när man vill. Tvångsmässig återföring sker när kapitalunderlaget inte längre är tillräckligt högt för att behålla den befintliga expansionsfonden. Då kan hela eller delar av expansionsfonden behöva åte</w:t>
      </w:r>
      <w:r w:rsidRPr="00F517E2">
        <w:t>r</w:t>
      </w:r>
      <w:r w:rsidRPr="00F517E2">
        <w:t>föras till beskattning. Det kan t.ex. ske p.g.a. att näringsidkaren tagit ut mer pengar ur näringsverksamheten än vad verksamheten genererar. Dessutom ska expansionsfonden återföras till beskattning bl.a. om man upphör att b</w:t>
      </w:r>
      <w:r w:rsidRPr="00F517E2">
        <w:t>e</w:t>
      </w:r>
      <w:r w:rsidRPr="00F517E2">
        <w:t>driva näringsverksamheten</w:t>
      </w:r>
      <w:r w:rsidR="00F872A4" w:rsidRPr="00F517E2">
        <w:t xml:space="preserve"> (34 kap. 14</w:t>
      </w:r>
      <w:r w:rsidR="003E0610" w:rsidRPr="00F517E2">
        <w:t>–</w:t>
      </w:r>
      <w:r w:rsidR="00F872A4" w:rsidRPr="00F517E2">
        <w:t>17 §§ IL)</w:t>
      </w:r>
      <w:r w:rsidRPr="00F517E2">
        <w:t>.</w:t>
      </w:r>
      <w:r w:rsidR="00E222B6" w:rsidRPr="00F517E2">
        <w:t xml:space="preserve"> </w:t>
      </w:r>
    </w:p>
    <w:p w:rsidR="004B6F91" w:rsidRPr="00F517E2" w:rsidRDefault="004B6F91" w:rsidP="00E222B6">
      <w:pPr>
        <w:pStyle w:val="Normaltindrag"/>
      </w:pPr>
      <w:r w:rsidRPr="00F517E2">
        <w:t>Avdrag för avsättning till expansionsfond minskar således den pension</w:t>
      </w:r>
      <w:r w:rsidRPr="00F517E2">
        <w:t>s</w:t>
      </w:r>
      <w:r w:rsidRPr="00F517E2">
        <w:t xml:space="preserve">grundande inkomsten. Har man ett tillräckligt stort kapitalunderlag kan man reducera den pensionsgrundande inkomsten till noll. På så sätt kan man år efter år låta </w:t>
      </w:r>
      <w:r w:rsidR="00D32E0B" w:rsidRPr="00F517E2">
        <w:t xml:space="preserve">bli </w:t>
      </w:r>
      <w:r w:rsidRPr="00F517E2">
        <w:t>att redovisa någon pensionsgrundande inkomst av näring</w:t>
      </w:r>
      <w:r w:rsidRPr="00F517E2">
        <w:t>s</w:t>
      </w:r>
      <w:r w:rsidRPr="00F517E2">
        <w:t xml:space="preserve">verksamhet. Förutsättningen är att den ersättning man </w:t>
      </w:r>
      <w:r w:rsidR="00D32E0B" w:rsidRPr="00F517E2">
        <w:t>fått</w:t>
      </w:r>
      <w:r w:rsidRPr="00F517E2">
        <w:t xml:space="preserve"> behålls i näring</w:t>
      </w:r>
      <w:r w:rsidRPr="00F517E2">
        <w:t>s</w:t>
      </w:r>
      <w:r w:rsidRPr="00F517E2">
        <w:t xml:space="preserve">verksamheten. I annat fall kan man tvingas </w:t>
      </w:r>
      <w:r w:rsidR="00D32E0B" w:rsidRPr="00F517E2">
        <w:t xml:space="preserve">att </w:t>
      </w:r>
      <w:r w:rsidRPr="00F517E2">
        <w:t>återföra delar av expansion</w:t>
      </w:r>
      <w:r w:rsidRPr="00F517E2">
        <w:t>s</w:t>
      </w:r>
      <w:r w:rsidRPr="00F517E2">
        <w:t>fonden p.g.a. att kapitalunderlaget inte räcker till för att ha kvar hela fonden. Återföring av avdrag till expansionsfond ökar den pensionsgrundande i</w:t>
      </w:r>
      <w:r w:rsidRPr="00F517E2">
        <w:t>n</w:t>
      </w:r>
      <w:r w:rsidRPr="00F517E2">
        <w:t>komsten.</w:t>
      </w:r>
    </w:p>
    <w:p w:rsidR="00D41473" w:rsidRPr="00F517E2" w:rsidRDefault="00D41473" w:rsidP="00D41473">
      <w:pPr>
        <w:pStyle w:val="R4"/>
      </w:pPr>
      <w:r w:rsidRPr="00F517E2">
        <w:t>Riksdagsstyrelsens ställningstagande</w:t>
      </w:r>
    </w:p>
    <w:p w:rsidR="00E222B6" w:rsidRPr="00F517E2" w:rsidRDefault="007A056D" w:rsidP="00BA2B26">
      <w:pPr>
        <w:spacing w:before="0"/>
      </w:pPr>
      <w:r w:rsidRPr="00F517E2">
        <w:t>Enligt bestämmelserna i 34 kap. IL kan en näringsidkare göra avdrag för avsättning till expansionsfond. Avdraget medför att den pensionsgrundande inkomsten minskar. Om kapitalunderlaget är tillräckligt stort kan den pe</w:t>
      </w:r>
      <w:r w:rsidRPr="00F517E2">
        <w:t>n</w:t>
      </w:r>
      <w:r w:rsidRPr="00F517E2">
        <w:t xml:space="preserve">sionsgrundande inkomsten reduceras till noll. På avdraget betalas dock en särskild expansionsfondsskatt som återbetalas när expansionsfonden återförs till beskattning. Till skillnad från </w:t>
      </w:r>
      <w:r w:rsidR="00D32E0B" w:rsidRPr="00F517E2">
        <w:t xml:space="preserve">vad som gäller för </w:t>
      </w:r>
      <w:r w:rsidRPr="00F517E2">
        <w:t xml:space="preserve">periodiseringsfonden finns ingen bortre tidsgräns för när avsättningen </w:t>
      </w:r>
      <w:r w:rsidR="00D32E0B" w:rsidRPr="00F517E2">
        <w:t xml:space="preserve">till en expansionsfond </w:t>
      </w:r>
      <w:r w:rsidRPr="00F517E2">
        <w:t>måste återföras till b</w:t>
      </w:r>
      <w:r w:rsidRPr="00F517E2">
        <w:t>e</w:t>
      </w:r>
      <w:r w:rsidRPr="00F517E2">
        <w:t xml:space="preserve">skattning. </w:t>
      </w:r>
    </w:p>
    <w:p w:rsidR="00E222B6" w:rsidRPr="00F517E2" w:rsidRDefault="007A056D" w:rsidP="00E222B6">
      <w:pPr>
        <w:pStyle w:val="Normaltindrag"/>
      </w:pPr>
      <w:r w:rsidRPr="00F517E2">
        <w:t xml:space="preserve">I likhet med vad som är fallet </w:t>
      </w:r>
      <w:r w:rsidR="00D32E0B" w:rsidRPr="00F517E2">
        <w:t xml:space="preserve">för </w:t>
      </w:r>
      <w:r w:rsidRPr="00F517E2">
        <w:t>periodiseringsfond är en avsättning till expansionsfond inte i sig svår att förena med syftet med inkomstgarantin. Avsättningen till expansionsfond behöver dock inte återföras till beskattning inom någon sä</w:t>
      </w:r>
      <w:r w:rsidRPr="00F517E2">
        <w:t>r</w:t>
      </w:r>
      <w:r w:rsidRPr="00F517E2">
        <w:t>skild tidsgräns. Det innebär att garantitagare som har inkomst av näringsver</w:t>
      </w:r>
      <w:r w:rsidRPr="00F517E2">
        <w:t>k</w:t>
      </w:r>
      <w:r w:rsidRPr="00F517E2">
        <w:t xml:space="preserve">samhet – beroende på kapitalunderlagets storlek – kan reducera sin pensionsgrundande inkomst ner till </w:t>
      </w:r>
      <w:r w:rsidR="00D32E0B" w:rsidRPr="00F517E2">
        <w:t>0</w:t>
      </w:r>
      <w:r w:rsidRPr="00F517E2">
        <w:t xml:space="preserve"> kr och därmed ha rätt till en i</w:t>
      </w:r>
      <w:r w:rsidRPr="00F517E2">
        <w:t>n</w:t>
      </w:r>
      <w:r w:rsidRPr="00F517E2">
        <w:t>komstgaranti som inte alls påverkas av inkomsterna i näringsverksamheten. Att en särskild skatt tas ut på avsättningen blir i sammanhanget i princip betydelselöst eftersom skatten betalas tillbaka när avdraget återförs till b</w:t>
      </w:r>
      <w:r w:rsidRPr="00F517E2">
        <w:t>e</w:t>
      </w:r>
      <w:r w:rsidRPr="00F517E2">
        <w:t>skattning. Möjligh</w:t>
      </w:r>
      <w:r w:rsidRPr="00F517E2">
        <w:t>e</w:t>
      </w:r>
      <w:r w:rsidRPr="00F517E2">
        <w:t xml:space="preserve">terna att utnyttja inkomstgarantisystemet på ett icke avsett sätt är således större när det gäller avsättningar till expansionsfond än </w:t>
      </w:r>
      <w:r w:rsidR="00EA0BD1" w:rsidRPr="00F517E2">
        <w:t xml:space="preserve">vad som är fallet för </w:t>
      </w:r>
      <w:r w:rsidRPr="00F517E2">
        <w:t>periodiseringsfond. Det resonemang om för- och nackd</w:t>
      </w:r>
      <w:r w:rsidRPr="00F517E2">
        <w:t>e</w:t>
      </w:r>
      <w:r w:rsidRPr="00F517E2">
        <w:t xml:space="preserve">lar som förts i det sammanhanget är i övrigt i huvudsak relevant också </w:t>
      </w:r>
      <w:r w:rsidR="00EA0BD1" w:rsidRPr="00F517E2">
        <w:t xml:space="preserve">för </w:t>
      </w:r>
      <w:r w:rsidRPr="00F517E2">
        <w:t>avsät</w:t>
      </w:r>
      <w:r w:rsidRPr="00F517E2">
        <w:t>t</w:t>
      </w:r>
      <w:r w:rsidRPr="00F517E2">
        <w:t>ning till expa</w:t>
      </w:r>
      <w:r w:rsidRPr="00F517E2">
        <w:t>n</w:t>
      </w:r>
      <w:r w:rsidRPr="00F517E2">
        <w:t xml:space="preserve">sionsfond. </w:t>
      </w:r>
    </w:p>
    <w:p w:rsidR="007A056D" w:rsidRPr="00F517E2" w:rsidRDefault="007A056D" w:rsidP="00E222B6">
      <w:pPr>
        <w:pStyle w:val="Normaltindrag"/>
      </w:pPr>
      <w:r w:rsidRPr="00F517E2">
        <w:t>Mot bakgrund av det som sagts nu föreslås att också avsättning till expa</w:t>
      </w:r>
      <w:r w:rsidRPr="00F517E2">
        <w:t>n</w:t>
      </w:r>
      <w:r w:rsidRPr="00F517E2">
        <w:t>sionsfond bör kunna leda till jämkning av inkomstgaranti om det är skäligt. Även här blir det fråga om en helhetsbedömning där samtl</w:t>
      </w:r>
      <w:r w:rsidRPr="00F517E2">
        <w:t>i</w:t>
      </w:r>
      <w:r w:rsidRPr="00F517E2">
        <w:t xml:space="preserve">ga omständigheter ska beaktas. </w:t>
      </w:r>
    </w:p>
    <w:p w:rsidR="007A056D" w:rsidRPr="00F517E2" w:rsidRDefault="007A056D" w:rsidP="007C3B3B">
      <w:pPr>
        <w:pStyle w:val="Rubrik3"/>
        <w:rPr>
          <w:noProof w:val="0"/>
        </w:rPr>
      </w:pPr>
      <w:bookmarkStart w:id="28" w:name="_Toc277831121"/>
      <w:r w:rsidRPr="00F517E2">
        <w:rPr>
          <w:noProof w:val="0"/>
        </w:rPr>
        <w:t>Räntefördelning</w:t>
      </w:r>
      <w:bookmarkEnd w:id="28"/>
    </w:p>
    <w:p w:rsidR="007C3B3B" w:rsidRPr="00F517E2" w:rsidRDefault="007C3B3B" w:rsidP="007C3B3B">
      <w:pPr>
        <w:pStyle w:val="Utskottsfrslagikorthet-Rubrik"/>
        <w:numPr>
          <w:ilvl w:val="0"/>
          <w:numId w:val="0"/>
        </w:numPr>
        <w:ind w:left="113"/>
        <w:rPr>
          <w:b w:val="0"/>
          <w:noProof w:val="0"/>
          <w:sz w:val="19"/>
          <w:szCs w:val="19"/>
        </w:rPr>
      </w:pPr>
      <w:r w:rsidRPr="00F517E2">
        <w:rPr>
          <w:noProof w:val="0"/>
          <w:sz w:val="19"/>
          <w:szCs w:val="19"/>
        </w:rPr>
        <w:t xml:space="preserve">Riksdagsstyrelsens förslag: </w:t>
      </w:r>
      <w:r w:rsidRPr="00F517E2">
        <w:rPr>
          <w:b w:val="0"/>
          <w:noProof w:val="0"/>
          <w:sz w:val="19"/>
          <w:szCs w:val="19"/>
        </w:rPr>
        <w:t xml:space="preserve">Det förhållandet att </w:t>
      </w:r>
      <w:r w:rsidR="00602795" w:rsidRPr="00F517E2">
        <w:rPr>
          <w:b w:val="0"/>
          <w:noProof w:val="0"/>
          <w:sz w:val="19"/>
          <w:szCs w:val="19"/>
        </w:rPr>
        <w:t>en garantitagare</w:t>
      </w:r>
      <w:r w:rsidRPr="00F517E2">
        <w:rPr>
          <w:b w:val="0"/>
          <w:noProof w:val="0"/>
          <w:sz w:val="19"/>
          <w:szCs w:val="19"/>
        </w:rPr>
        <w:t xml:space="preserve"> utnyttjat reglerna om räntefördelning för att påverka den pensionsgrundande inkomsten</w:t>
      </w:r>
      <w:r w:rsidRPr="00F517E2">
        <w:rPr>
          <w:noProof w:val="0"/>
          <w:sz w:val="19"/>
          <w:szCs w:val="19"/>
        </w:rPr>
        <w:t xml:space="preserve"> </w:t>
      </w:r>
      <w:r w:rsidRPr="00F517E2">
        <w:rPr>
          <w:b w:val="0"/>
          <w:noProof w:val="0"/>
          <w:sz w:val="19"/>
          <w:szCs w:val="19"/>
        </w:rPr>
        <w:t>bör inte kunna</w:t>
      </w:r>
      <w:r w:rsidR="00D52730" w:rsidRPr="00F517E2">
        <w:rPr>
          <w:b w:val="0"/>
          <w:noProof w:val="0"/>
          <w:sz w:val="19"/>
          <w:szCs w:val="19"/>
        </w:rPr>
        <w:t xml:space="preserve"> </w:t>
      </w:r>
      <w:r w:rsidRPr="00F517E2">
        <w:rPr>
          <w:b w:val="0"/>
          <w:noProof w:val="0"/>
          <w:sz w:val="19"/>
          <w:szCs w:val="19"/>
        </w:rPr>
        <w:t xml:space="preserve">leda </w:t>
      </w:r>
      <w:r w:rsidR="00D52730" w:rsidRPr="00F517E2">
        <w:rPr>
          <w:b w:val="0"/>
          <w:noProof w:val="0"/>
          <w:sz w:val="19"/>
          <w:szCs w:val="19"/>
        </w:rPr>
        <w:t xml:space="preserve">till </w:t>
      </w:r>
      <w:r w:rsidRPr="00F517E2">
        <w:rPr>
          <w:b w:val="0"/>
          <w:noProof w:val="0"/>
          <w:sz w:val="19"/>
          <w:szCs w:val="19"/>
        </w:rPr>
        <w:t>jämkning av inkomstgarantin.</w:t>
      </w:r>
    </w:p>
    <w:p w:rsidR="007C3B3B" w:rsidRPr="00F517E2" w:rsidRDefault="003969ED" w:rsidP="007C3B3B">
      <w:r w:rsidRPr="00F517E2">
        <w:rPr>
          <w:b/>
        </w:rPr>
        <w:t>Arbetsgruppens</w:t>
      </w:r>
      <w:r w:rsidR="007C3B3B" w:rsidRPr="00F517E2">
        <w:rPr>
          <w:b/>
        </w:rPr>
        <w:t xml:space="preserve"> förslag </w:t>
      </w:r>
      <w:r w:rsidR="007C3B3B" w:rsidRPr="00F517E2">
        <w:t>överensstämmer med riksdagsstyrelsens fö</w:t>
      </w:r>
      <w:r w:rsidR="007C3B3B" w:rsidRPr="00F517E2">
        <w:t>r</w:t>
      </w:r>
      <w:r w:rsidR="007C3B3B" w:rsidRPr="00F517E2">
        <w:t xml:space="preserve">slag. </w:t>
      </w:r>
    </w:p>
    <w:p w:rsidR="007C3B3B" w:rsidRPr="00F517E2" w:rsidRDefault="007C3B3B" w:rsidP="007C3B3B">
      <w:pPr>
        <w:rPr>
          <w:b/>
        </w:rPr>
      </w:pPr>
      <w:r w:rsidRPr="00F517E2">
        <w:rPr>
          <w:b/>
        </w:rPr>
        <w:t xml:space="preserve">Remissinstanserna: </w:t>
      </w:r>
    </w:p>
    <w:p w:rsidR="00094882" w:rsidRPr="00F517E2" w:rsidRDefault="00094882" w:rsidP="00094882">
      <w:r w:rsidRPr="00F517E2">
        <w:t>Skatteverket har tillstyrkt förslaget.</w:t>
      </w:r>
    </w:p>
    <w:p w:rsidR="00D1503A" w:rsidRPr="00F517E2" w:rsidRDefault="00D1503A" w:rsidP="00D1503A">
      <w:pPr>
        <w:pStyle w:val="Normaltindrag"/>
      </w:pPr>
      <w:r w:rsidRPr="00F517E2">
        <w:t>Statens pensionsverk har inga invändningar mot förslaget. Kammarrätten i Stockholm har utifrån de aspekter domstolen har att beakta inte några sy</w:t>
      </w:r>
      <w:r w:rsidRPr="00F517E2">
        <w:t>n</w:t>
      </w:r>
      <w:r w:rsidRPr="00F517E2">
        <w:t>punkter på förslaget. Riksdagens ombudsmän (JO) har från de synpunkter som JO har att beakta inga in</w:t>
      </w:r>
      <w:r w:rsidR="00D542FD" w:rsidRPr="00F517E2">
        <w:t>vändningar</w:t>
      </w:r>
      <w:r w:rsidRPr="00F517E2">
        <w:t xml:space="preserve"> mot förslaget. Sveriges Komm</w:t>
      </w:r>
      <w:r w:rsidRPr="00F517E2">
        <w:t>u</w:t>
      </w:r>
      <w:r w:rsidRPr="00F517E2">
        <w:t xml:space="preserve">ner och Landsting har avstått från att lämna synpunkter. </w:t>
      </w:r>
    </w:p>
    <w:p w:rsidR="007C3B3B" w:rsidRPr="00F517E2" w:rsidRDefault="007C3B3B" w:rsidP="007C3B3B">
      <w:pPr>
        <w:pStyle w:val="R4"/>
      </w:pPr>
      <w:r w:rsidRPr="00F517E2">
        <w:t>Gällande ordning</w:t>
      </w:r>
    </w:p>
    <w:p w:rsidR="00E222B6" w:rsidRPr="00F517E2" w:rsidRDefault="00106CD7" w:rsidP="00BA2B26">
      <w:pPr>
        <w:spacing w:before="0"/>
      </w:pPr>
      <w:r w:rsidRPr="00F517E2">
        <w:t>Reglerna om räntefördelning finns i 33 kap. IL.</w:t>
      </w:r>
      <w:r w:rsidR="00E222B6" w:rsidRPr="00F517E2">
        <w:t xml:space="preserve"> </w:t>
      </w:r>
    </w:p>
    <w:p w:rsidR="00E222B6" w:rsidRPr="00F517E2" w:rsidRDefault="00106CD7" w:rsidP="00E222B6">
      <w:pPr>
        <w:pStyle w:val="Normaltindrag"/>
      </w:pPr>
      <w:r w:rsidRPr="00F517E2">
        <w:t>Det finns både positiv och negativ räntefördelning. I detta sammanhang red</w:t>
      </w:r>
      <w:r w:rsidRPr="00F517E2">
        <w:t>o</w:t>
      </w:r>
      <w:r w:rsidRPr="00F517E2">
        <w:t>görs endast för den positiva räntefördelningen eftersom det är den som kan reducera den pension</w:t>
      </w:r>
      <w:r w:rsidRPr="00F517E2">
        <w:t>s</w:t>
      </w:r>
      <w:r w:rsidRPr="00F517E2">
        <w:t>grundande inkomsten.</w:t>
      </w:r>
      <w:r w:rsidR="00E222B6" w:rsidRPr="00F517E2">
        <w:t xml:space="preserve"> </w:t>
      </w:r>
    </w:p>
    <w:p w:rsidR="00E222B6" w:rsidRPr="00F517E2" w:rsidRDefault="00106CD7" w:rsidP="00E222B6">
      <w:pPr>
        <w:pStyle w:val="Normaltindrag"/>
      </w:pPr>
      <w:r w:rsidRPr="00F517E2">
        <w:t>Positiv räntefördelning innebär att man får dra av en beräknad ränta i i</w:t>
      </w:r>
      <w:r w:rsidRPr="00F517E2">
        <w:t>n</w:t>
      </w:r>
      <w:r w:rsidRPr="00F517E2">
        <w:t>komstslaget näringsverksa</w:t>
      </w:r>
      <w:r w:rsidRPr="00F517E2">
        <w:t>m</w:t>
      </w:r>
      <w:r w:rsidRPr="00F517E2">
        <w:t>het och redovisa samma belopp i inkomstslaget kapital. Ränteprocentsatsen är statslåneräntan vid utgången av november andra året före taxeringsåret ökad med fem procentenheter</w:t>
      </w:r>
      <w:r w:rsidR="00220084" w:rsidRPr="00F517E2">
        <w:t xml:space="preserve"> (33 kap. 3 § IL)</w:t>
      </w:r>
      <w:r w:rsidRPr="00F517E2">
        <w:t>. Denna procentsats multipliceras med kapitalunde</w:t>
      </w:r>
      <w:r w:rsidRPr="00F517E2">
        <w:t>r</w:t>
      </w:r>
      <w:r w:rsidRPr="00F517E2">
        <w:t>laget för räntefördelning som i princip är lika med det egna kapitalet i näringsverksamheten. Avsät</w:t>
      </w:r>
      <w:r w:rsidRPr="00F517E2">
        <w:t>t</w:t>
      </w:r>
      <w:r w:rsidRPr="00F517E2">
        <w:t>ning till periodiseringsfond betraktas som skuld. Även avsatta expansionsfo</w:t>
      </w:r>
      <w:r w:rsidRPr="00F517E2">
        <w:t>n</w:t>
      </w:r>
      <w:r w:rsidRPr="00F517E2">
        <w:t>der b</w:t>
      </w:r>
      <w:r w:rsidRPr="00F517E2">
        <w:t>e</w:t>
      </w:r>
      <w:r w:rsidRPr="00F517E2">
        <w:t>traktas som skuld men reducerar kapitalunderlaget med endast 73,7 procent av expansionsfo</w:t>
      </w:r>
      <w:r w:rsidRPr="00F517E2">
        <w:t>n</w:t>
      </w:r>
      <w:r w:rsidRPr="00F517E2">
        <w:t>den</w:t>
      </w:r>
      <w:r w:rsidR="006942A3" w:rsidRPr="00F517E2">
        <w:t xml:space="preserve"> (33 kap. 8 § IL)</w:t>
      </w:r>
      <w:r w:rsidRPr="00F517E2">
        <w:t>.</w:t>
      </w:r>
      <w:r w:rsidR="00E222B6" w:rsidRPr="00F517E2">
        <w:t xml:space="preserve"> </w:t>
      </w:r>
    </w:p>
    <w:p w:rsidR="00106CD7" w:rsidRPr="00F517E2" w:rsidRDefault="00106CD7" w:rsidP="00E222B6">
      <w:pPr>
        <w:pStyle w:val="Normaltindrag"/>
      </w:pPr>
      <w:r w:rsidRPr="00F517E2">
        <w:t>Tanken med den positiva räntefördelningen är att en beräknad ränta på sa</w:t>
      </w:r>
      <w:r w:rsidRPr="00F517E2">
        <w:t>t</w:t>
      </w:r>
      <w:r w:rsidRPr="00F517E2">
        <w:t>sat beskattat kapital i näringsverksamheten inte ska beskattas i inkomstsl</w:t>
      </w:r>
      <w:r w:rsidRPr="00F517E2">
        <w:t>a</w:t>
      </w:r>
      <w:r w:rsidRPr="00F517E2">
        <w:t>get näringsverksamhet utan i inkomstslaget kapital, som inte är pensionsgrunda</w:t>
      </w:r>
      <w:r w:rsidRPr="00F517E2">
        <w:t>n</w:t>
      </w:r>
      <w:r w:rsidRPr="00F517E2">
        <w:t>de. Genom att ha ett högt eget kapital kan man med hjälp av räntefördelning</w:t>
      </w:r>
      <w:r w:rsidRPr="00F517E2">
        <w:t>s</w:t>
      </w:r>
      <w:r w:rsidRPr="00F517E2">
        <w:t xml:space="preserve">reglerna minska den pensionsgrundande inkomsten. </w:t>
      </w:r>
    </w:p>
    <w:p w:rsidR="007C3B3B" w:rsidRPr="00F517E2" w:rsidRDefault="00106CD7" w:rsidP="007C3B3B">
      <w:pPr>
        <w:pStyle w:val="R4"/>
      </w:pPr>
      <w:r w:rsidRPr="00F517E2">
        <w:t>Riksdagss</w:t>
      </w:r>
      <w:r w:rsidR="007C3B3B" w:rsidRPr="00F517E2">
        <w:t>tyrelsens ställningstagande</w:t>
      </w:r>
    </w:p>
    <w:p w:rsidR="00E222B6" w:rsidRPr="00F517E2" w:rsidRDefault="007A056D" w:rsidP="00BA2B26">
      <w:pPr>
        <w:spacing w:before="0"/>
      </w:pPr>
      <w:r w:rsidRPr="00F517E2">
        <w:t>Enligt bestämmelserna i 33 kap. IL kan den som har inkomst av näringsver</w:t>
      </w:r>
      <w:r w:rsidRPr="00F517E2">
        <w:t>k</w:t>
      </w:r>
      <w:r w:rsidRPr="00F517E2">
        <w:t>samhet göra avdrag för en fiktiv ränta som i princip beräknas på det kapital som satts in i verksamheten. Det avdragna beloppet redovisas i stället som inkomst av kapital. Denna s.k. räntefördelning påverkar den pension</w:t>
      </w:r>
      <w:r w:rsidRPr="00F517E2">
        <w:t>s</w:t>
      </w:r>
      <w:r w:rsidRPr="00F517E2">
        <w:t>grundande inkomsten eftersom inkomsten minskar genom avdraget och kap</w:t>
      </w:r>
      <w:r w:rsidRPr="00F517E2">
        <w:t>i</w:t>
      </w:r>
      <w:r w:rsidRPr="00F517E2">
        <w:t>talinkomst</w:t>
      </w:r>
      <w:r w:rsidR="00D542FD" w:rsidRPr="00F517E2">
        <w:t>er</w:t>
      </w:r>
      <w:r w:rsidRPr="00F517E2">
        <w:t xml:space="preserve"> inte är pensionsgrundande. </w:t>
      </w:r>
    </w:p>
    <w:p w:rsidR="00E222B6" w:rsidRPr="00F517E2" w:rsidRDefault="007A056D" w:rsidP="00E222B6">
      <w:pPr>
        <w:pStyle w:val="Normaltindrag"/>
      </w:pPr>
      <w:r w:rsidRPr="00F517E2">
        <w:t>Frågan blir då om räntefördelning bör inverka på inkomstgarantin. För att låta räntefördelningen påverka garantin i efterhand talar att förfarandet lika väl som avsättningar till periodiserings- eller expansionsfond</w:t>
      </w:r>
      <w:r w:rsidR="0098787A" w:rsidRPr="00F517E2">
        <w:t>er</w:t>
      </w:r>
      <w:r w:rsidRPr="00F517E2">
        <w:t xml:space="preserve"> kan användas för att få en högre inkomstgaranti. Samt</w:t>
      </w:r>
      <w:r w:rsidRPr="00F517E2">
        <w:t>i</w:t>
      </w:r>
      <w:r w:rsidRPr="00F517E2">
        <w:t>digt står det klart att det krävs ett ganska stort eget kapital för att ränteförde</w:t>
      </w:r>
      <w:r w:rsidRPr="00F517E2">
        <w:t>l</w:t>
      </w:r>
      <w:r w:rsidRPr="00F517E2">
        <w:t>ningen ska få någon betydelse eftersom räntesatsen är statslåneräntan, för närvarande cirka 3 procent, ökad med fem procentenheter. Dessutom betraktas avsättningar till periodiserings- och e</w:t>
      </w:r>
      <w:r w:rsidRPr="00F517E2">
        <w:t>x</w:t>
      </w:r>
      <w:r w:rsidRPr="00F517E2">
        <w:t>pansionsfonder som skulder i detta sammanhang</w:t>
      </w:r>
      <w:r w:rsidR="005A556A" w:rsidRPr="00F517E2">
        <w:t>,</w:t>
      </w:r>
      <w:r w:rsidRPr="00F517E2">
        <w:t xml:space="preserve"> vilket innebär att den som gjort sådana avsättningar måste ha ett ännu större eget kapital för att avdraget ska komma upp i ett belopp som är värt att beakta här. </w:t>
      </w:r>
    </w:p>
    <w:p w:rsidR="007A056D" w:rsidRPr="00F517E2" w:rsidRDefault="007A056D" w:rsidP="00E222B6">
      <w:pPr>
        <w:pStyle w:val="Normaltindrag"/>
      </w:pPr>
      <w:r w:rsidRPr="00F517E2">
        <w:t>Mot den nu angivna bakgrunden kan det konstateras att behovet av en jämkningsregel som också gör det möjligt att ta hänsyn till om ränteförde</w:t>
      </w:r>
      <w:r w:rsidRPr="00F517E2">
        <w:t>l</w:t>
      </w:r>
      <w:r w:rsidRPr="00F517E2">
        <w:t xml:space="preserve">ning ägt rum är litet. Något sådant förslag läggs alltså inte fram. </w:t>
      </w:r>
    </w:p>
    <w:p w:rsidR="007A056D" w:rsidRPr="00F517E2" w:rsidRDefault="007A056D" w:rsidP="00D30D00">
      <w:pPr>
        <w:pStyle w:val="Rubrik3"/>
        <w:rPr>
          <w:noProof w:val="0"/>
        </w:rPr>
      </w:pPr>
      <w:bookmarkStart w:id="29" w:name="_Toc277831122"/>
      <w:r w:rsidRPr="00F517E2">
        <w:rPr>
          <w:noProof w:val="0"/>
        </w:rPr>
        <w:t>Pensionssparavdrag</w:t>
      </w:r>
      <w:bookmarkEnd w:id="29"/>
    </w:p>
    <w:p w:rsidR="00D30D00" w:rsidRPr="00F517E2" w:rsidRDefault="00D30D00" w:rsidP="00D30D00">
      <w:pPr>
        <w:pStyle w:val="Utskottsfrslagikorthet-Rubrik"/>
        <w:numPr>
          <w:ilvl w:val="0"/>
          <w:numId w:val="0"/>
        </w:numPr>
        <w:ind w:left="113"/>
        <w:rPr>
          <w:b w:val="0"/>
          <w:noProof w:val="0"/>
          <w:sz w:val="19"/>
          <w:szCs w:val="19"/>
        </w:rPr>
      </w:pPr>
      <w:r w:rsidRPr="00F517E2">
        <w:rPr>
          <w:noProof w:val="0"/>
          <w:sz w:val="19"/>
          <w:szCs w:val="19"/>
        </w:rPr>
        <w:t xml:space="preserve">Riksdagsstyrelsens förslag: </w:t>
      </w:r>
      <w:r w:rsidRPr="00F517E2">
        <w:rPr>
          <w:b w:val="0"/>
          <w:noProof w:val="0"/>
          <w:sz w:val="19"/>
          <w:szCs w:val="19"/>
        </w:rPr>
        <w:t xml:space="preserve">Om </w:t>
      </w:r>
      <w:r w:rsidR="00602795" w:rsidRPr="00F517E2">
        <w:rPr>
          <w:b w:val="0"/>
          <w:noProof w:val="0"/>
          <w:sz w:val="19"/>
          <w:szCs w:val="19"/>
        </w:rPr>
        <w:t>en garantitagare</w:t>
      </w:r>
      <w:r w:rsidRPr="00F517E2">
        <w:rPr>
          <w:b w:val="0"/>
          <w:noProof w:val="0"/>
          <w:sz w:val="19"/>
          <w:szCs w:val="19"/>
        </w:rPr>
        <w:t xml:space="preserve"> har gjort pensionssparavdrag kan inkomstgarantin jämkas, om det är skäligt.</w:t>
      </w:r>
    </w:p>
    <w:p w:rsidR="00D30D00" w:rsidRPr="00F517E2" w:rsidRDefault="003969ED" w:rsidP="00D30D00">
      <w:r w:rsidRPr="00F517E2">
        <w:rPr>
          <w:b/>
        </w:rPr>
        <w:t>Arbetsgruppens</w:t>
      </w:r>
      <w:r w:rsidR="00D30D00" w:rsidRPr="00F517E2">
        <w:rPr>
          <w:b/>
        </w:rPr>
        <w:t xml:space="preserve"> förslag </w:t>
      </w:r>
      <w:r w:rsidR="00D30D00" w:rsidRPr="00F517E2">
        <w:t>överensstämmer med riksdagsstyrelsens fö</w:t>
      </w:r>
      <w:r w:rsidR="00D30D00" w:rsidRPr="00F517E2">
        <w:t>r</w:t>
      </w:r>
      <w:r w:rsidR="00D30D00" w:rsidRPr="00F517E2">
        <w:t xml:space="preserve">slag. </w:t>
      </w:r>
    </w:p>
    <w:p w:rsidR="00D30D00" w:rsidRPr="00F517E2" w:rsidRDefault="00D30D00" w:rsidP="00D30D00">
      <w:pPr>
        <w:rPr>
          <w:b/>
        </w:rPr>
      </w:pPr>
      <w:r w:rsidRPr="00F517E2">
        <w:rPr>
          <w:b/>
        </w:rPr>
        <w:t xml:space="preserve">Remissinstanserna: </w:t>
      </w:r>
    </w:p>
    <w:p w:rsidR="009E7427" w:rsidRPr="00F517E2" w:rsidRDefault="009E7427" w:rsidP="009E7427">
      <w:r w:rsidRPr="00F517E2">
        <w:t>Skatteverket har tillstyrkt förslaget.</w:t>
      </w:r>
    </w:p>
    <w:p w:rsidR="00D1503A" w:rsidRPr="00F517E2" w:rsidRDefault="00D1503A" w:rsidP="00D1503A">
      <w:pPr>
        <w:pStyle w:val="Normaltindrag"/>
      </w:pPr>
      <w:r w:rsidRPr="00F517E2">
        <w:t>Statens pensionsverk har inga invändningar mot förslaget. Kammarrätten i Stockholm har utifrån de aspekter domstolen har att beakta inte några sy</w:t>
      </w:r>
      <w:r w:rsidRPr="00F517E2">
        <w:t>n</w:t>
      </w:r>
      <w:r w:rsidRPr="00F517E2">
        <w:t>punkter på förslaget. Riksdagens ombudsmän (JO) har från de synpunkter som JO har att beakta inga in</w:t>
      </w:r>
      <w:r w:rsidR="00ED6091" w:rsidRPr="00F517E2">
        <w:t>vändningar</w:t>
      </w:r>
      <w:r w:rsidRPr="00F517E2">
        <w:t xml:space="preserve"> mot förslaget. Sveriges Komm</w:t>
      </w:r>
      <w:r w:rsidRPr="00F517E2">
        <w:t>u</w:t>
      </w:r>
      <w:r w:rsidRPr="00F517E2">
        <w:t xml:space="preserve">ner och Landsting har avstått från att lämna synpunkter. </w:t>
      </w:r>
    </w:p>
    <w:p w:rsidR="00D30D00" w:rsidRPr="00F517E2" w:rsidRDefault="00D30D00" w:rsidP="00D30D00">
      <w:pPr>
        <w:pStyle w:val="R4"/>
      </w:pPr>
      <w:r w:rsidRPr="00F517E2">
        <w:t>Gällande ordning</w:t>
      </w:r>
    </w:p>
    <w:p w:rsidR="00220084" w:rsidRPr="00F517E2" w:rsidRDefault="00220084" w:rsidP="009428CA">
      <w:r w:rsidRPr="00F517E2">
        <w:t>Regler om pensions</w:t>
      </w:r>
      <w:r w:rsidR="00F56B15" w:rsidRPr="00F517E2">
        <w:t>spar</w:t>
      </w:r>
      <w:r w:rsidRPr="00F517E2">
        <w:t xml:space="preserve">avdrag finns i 59 kap. IL. </w:t>
      </w:r>
    </w:p>
    <w:p w:rsidR="006E05B4" w:rsidRPr="00F517E2" w:rsidRDefault="006E05B4" w:rsidP="006E05B4">
      <w:pPr>
        <w:pStyle w:val="Normaltindrag"/>
      </w:pPr>
      <w:r w:rsidRPr="00F517E2">
        <w:t xml:space="preserve">Pensionssparavdrag får som utgångspunkt göras bara för premier för </w:t>
      </w:r>
      <w:r w:rsidR="00A239D5" w:rsidRPr="00F517E2">
        <w:t xml:space="preserve">en </w:t>
      </w:r>
      <w:r w:rsidRPr="00F517E2">
        <w:t>pensionsförsäkring som den skattskyldige äger och inbetalningar på pension</w:t>
      </w:r>
      <w:r w:rsidRPr="00F517E2">
        <w:t>s</w:t>
      </w:r>
      <w:r w:rsidRPr="00F517E2">
        <w:t>spararens eget pe</w:t>
      </w:r>
      <w:r w:rsidRPr="00F517E2">
        <w:t>n</w:t>
      </w:r>
      <w:r w:rsidRPr="00F517E2">
        <w:t>sionssparkonto (59 kap. 2 § IL).</w:t>
      </w:r>
    </w:p>
    <w:p w:rsidR="009428CA" w:rsidRPr="00F517E2" w:rsidRDefault="009428CA" w:rsidP="00220084">
      <w:pPr>
        <w:pStyle w:val="Normaltindrag"/>
      </w:pPr>
      <w:r w:rsidRPr="00F517E2">
        <w:t>Enligt 59 kap. 4 § IL får pensionsspa</w:t>
      </w:r>
      <w:r w:rsidRPr="00F517E2">
        <w:t>r</w:t>
      </w:r>
      <w:r w:rsidRPr="00F517E2">
        <w:t>avdraget inte överstiga summan av de avdragsgrundande inkomsterna. Med avdragsgrundande inkomst avses bl.a. överskott av aktiv näring</w:t>
      </w:r>
      <w:r w:rsidRPr="00F517E2">
        <w:t>s</w:t>
      </w:r>
      <w:r w:rsidRPr="00F517E2">
        <w:t>verksamhet beräknat före</w:t>
      </w:r>
    </w:p>
    <w:p w:rsidR="009428CA" w:rsidRPr="00F517E2" w:rsidRDefault="00752F6F" w:rsidP="009428CA">
      <w:r w:rsidRPr="00F517E2">
        <w:t>– p</w:t>
      </w:r>
      <w:r w:rsidR="009428CA" w:rsidRPr="00F517E2">
        <w:t>ensionssparavdraget</w:t>
      </w:r>
    </w:p>
    <w:p w:rsidR="009428CA" w:rsidRPr="00F517E2" w:rsidRDefault="00752F6F" w:rsidP="008B3EB1">
      <w:pPr>
        <w:spacing w:before="0"/>
      </w:pPr>
      <w:r w:rsidRPr="00F517E2">
        <w:t xml:space="preserve">– </w:t>
      </w:r>
      <w:r w:rsidR="009428CA" w:rsidRPr="00F517E2">
        <w:t>avdrag för särskild löneskatt på pensionskostnader som avser pensionsspa</w:t>
      </w:r>
      <w:r w:rsidR="009428CA" w:rsidRPr="00F517E2">
        <w:t>r</w:t>
      </w:r>
      <w:r w:rsidR="009428CA" w:rsidRPr="00F517E2">
        <w:t>avdraget, och</w:t>
      </w:r>
    </w:p>
    <w:p w:rsidR="009428CA" w:rsidRPr="00F517E2" w:rsidRDefault="00752F6F" w:rsidP="008B3EB1">
      <w:pPr>
        <w:spacing w:before="0"/>
      </w:pPr>
      <w:r w:rsidRPr="00F517E2">
        <w:t xml:space="preserve">– </w:t>
      </w:r>
      <w:r w:rsidR="009428CA" w:rsidRPr="00F517E2">
        <w:t>avdrag för avsättning till egenavgifter.</w:t>
      </w:r>
    </w:p>
    <w:p w:rsidR="00E222B6" w:rsidRPr="00F517E2" w:rsidRDefault="009428CA" w:rsidP="00BC45CB">
      <w:pPr>
        <w:spacing w:before="125"/>
      </w:pPr>
      <w:r w:rsidRPr="00F517E2">
        <w:t>Den som har inkomst av aktiv näringsverksamhet får göra pensionsspara</w:t>
      </w:r>
      <w:r w:rsidRPr="00F517E2">
        <w:t>v</w:t>
      </w:r>
      <w:r w:rsidRPr="00F517E2">
        <w:t xml:space="preserve">drag med 12 000 kr plus 35 procent av den avdragsgrundande inkomsten. </w:t>
      </w:r>
      <w:r w:rsidR="00752F6F" w:rsidRPr="00F517E2">
        <w:t>Det m</w:t>
      </w:r>
      <w:r w:rsidRPr="00F517E2">
        <w:t>aximal</w:t>
      </w:r>
      <w:r w:rsidR="00752F6F" w:rsidRPr="00F517E2">
        <w:t>a</w:t>
      </w:r>
      <w:r w:rsidRPr="00F517E2">
        <w:t xml:space="preserve"> avdrag</w:t>
      </w:r>
      <w:r w:rsidR="00752F6F" w:rsidRPr="00F517E2">
        <w:t>et</w:t>
      </w:r>
      <w:r w:rsidRPr="00F517E2">
        <w:t xml:space="preserve"> uppgår till 10 prisbasbelopp plus 12 000 kr </w:t>
      </w:r>
      <w:r w:rsidR="00220084" w:rsidRPr="00F517E2">
        <w:t>(</w:t>
      </w:r>
      <w:r w:rsidRPr="00F517E2">
        <w:t>59 kap. 5 § IL</w:t>
      </w:r>
      <w:r w:rsidR="00220084" w:rsidRPr="00F517E2">
        <w:t>)</w:t>
      </w:r>
      <w:r w:rsidRPr="00F517E2">
        <w:t>.</w:t>
      </w:r>
      <w:r w:rsidR="00E222B6" w:rsidRPr="00F517E2">
        <w:t xml:space="preserve"> </w:t>
      </w:r>
    </w:p>
    <w:p w:rsidR="009428CA" w:rsidRPr="00F517E2" w:rsidRDefault="009428CA" w:rsidP="00E222B6">
      <w:pPr>
        <w:pStyle w:val="Normaltindrag"/>
      </w:pPr>
      <w:r w:rsidRPr="00F517E2">
        <w:t>Man kan således minska sin inkomst från enskild näring</w:t>
      </w:r>
      <w:r w:rsidRPr="00F517E2">
        <w:t>s</w:t>
      </w:r>
      <w:r w:rsidRPr="00F517E2">
        <w:t>verksamhet eller handelsbolag med 35 procent av inkomsten plus ytterligare 12 000 kr med hjälp av pensionssparavdrag. Dessutom minskas inkomsten med ytterligare 24,26 procent av pensionssparavdraget eftersom näringsidkaren betalar sä</w:t>
      </w:r>
      <w:r w:rsidRPr="00F517E2">
        <w:t>r</w:t>
      </w:r>
      <w:r w:rsidRPr="00F517E2">
        <w:t>skild löneskatt på pensionskostnader med detta belopp. Den särskilda lön</w:t>
      </w:r>
      <w:r w:rsidRPr="00F517E2">
        <w:t>e</w:t>
      </w:r>
      <w:r w:rsidRPr="00F517E2">
        <w:t>skatten bör inte beaktas i detta sammanhang; hade näringsidk</w:t>
      </w:r>
      <w:r w:rsidRPr="00F517E2">
        <w:t>a</w:t>
      </w:r>
      <w:r w:rsidRPr="00F517E2">
        <w:t>ren inte yrkat avdrag för pensionskostnaden hade i stället egenavgifterna blivit högre. På så sätt kan man säga att den särskilda löneskatten på pe</w:t>
      </w:r>
      <w:r w:rsidRPr="00F517E2">
        <w:t>n</w:t>
      </w:r>
      <w:r w:rsidRPr="00F517E2">
        <w:t>sionskostnaden i stort hade motsvarats av egenavgifter.</w:t>
      </w:r>
    </w:p>
    <w:p w:rsidR="00D30D00" w:rsidRPr="00F517E2" w:rsidRDefault="00D30D00" w:rsidP="00D30D00">
      <w:pPr>
        <w:pStyle w:val="R4"/>
      </w:pPr>
      <w:r w:rsidRPr="00F517E2">
        <w:t>Riksdagsstyrelsens ställningstagande</w:t>
      </w:r>
    </w:p>
    <w:p w:rsidR="00E222B6" w:rsidRPr="00F517E2" w:rsidRDefault="007A056D" w:rsidP="00BA2B26">
      <w:pPr>
        <w:spacing w:before="0"/>
      </w:pPr>
      <w:r w:rsidRPr="00F517E2">
        <w:t xml:space="preserve">Enligt vad som närmare föreskrivs i 59 kap. IL får den som har inkomst av aktiv näringsverksamhet göra pensionssparavdrag med 12 000 kr </w:t>
      </w:r>
      <w:r w:rsidR="00752F6F" w:rsidRPr="00F517E2">
        <w:t>plus</w:t>
      </w:r>
      <w:r w:rsidRPr="00F517E2">
        <w:t xml:space="preserve"> 35 </w:t>
      </w:r>
      <w:r w:rsidR="00220084" w:rsidRPr="00F517E2">
        <w:t xml:space="preserve">procent </w:t>
      </w:r>
      <w:r w:rsidRPr="00F517E2">
        <w:t xml:space="preserve">av den avdragsgrundande inkomsten. Maximalt handlar det om 10 prisbasbelopp </w:t>
      </w:r>
      <w:r w:rsidR="00C35AFD" w:rsidRPr="00F517E2">
        <w:t>plus</w:t>
      </w:r>
      <w:r w:rsidRPr="00F517E2">
        <w:t xml:space="preserve"> 12 000 kr. Det avdragna beloppet måste sättas in i ett pension</w:t>
      </w:r>
      <w:r w:rsidRPr="00F517E2">
        <w:t>s</w:t>
      </w:r>
      <w:r w:rsidRPr="00F517E2">
        <w:t xml:space="preserve">sparinstitut. </w:t>
      </w:r>
    </w:p>
    <w:p w:rsidR="00E222B6" w:rsidRPr="00F517E2" w:rsidRDefault="007A056D" w:rsidP="00E222B6">
      <w:pPr>
        <w:pStyle w:val="Normaltindrag"/>
      </w:pPr>
      <w:r w:rsidRPr="00F517E2">
        <w:t>Pensionssparavdraget innebär att den pensionsgrundande inkom</w:t>
      </w:r>
      <w:r w:rsidRPr="00F517E2">
        <w:t>s</w:t>
      </w:r>
      <w:r w:rsidRPr="00F517E2">
        <w:t>ten kan minskas</w:t>
      </w:r>
      <w:r w:rsidR="00C35AFD" w:rsidRPr="00F517E2">
        <w:t>,</w:t>
      </w:r>
      <w:r w:rsidRPr="00F517E2">
        <w:t xml:space="preserve"> vilket får till följd att inkomstgarantin ökar. Beroende på hur sent pensionen i det enskilda fallet tas ut uppkommer samma situation som </w:t>
      </w:r>
      <w:r w:rsidR="00C35AFD" w:rsidRPr="00F517E2">
        <w:t xml:space="preserve">för </w:t>
      </w:r>
      <w:r w:rsidRPr="00F517E2">
        <w:t>fondavsättningar. Den som gör avdraget kan alltså utnyttja avdragsmöjligh</w:t>
      </w:r>
      <w:r w:rsidRPr="00F517E2">
        <w:t>e</w:t>
      </w:r>
      <w:r w:rsidRPr="00F517E2">
        <w:t>ten till att skaffa en högre inkomstgaranti under några år och sedan ta ut pe</w:t>
      </w:r>
      <w:r w:rsidRPr="00F517E2">
        <w:t>n</w:t>
      </w:r>
      <w:r w:rsidRPr="00F517E2">
        <w:t>sionen när inkomstgarantin upphört. De resonemang som förts i det föregåe</w:t>
      </w:r>
      <w:r w:rsidRPr="00F517E2">
        <w:t>n</w:t>
      </w:r>
      <w:r w:rsidRPr="00F517E2">
        <w:t>de om avsättningar är relevanta också i fråga om pensionsspa</w:t>
      </w:r>
      <w:r w:rsidRPr="00F517E2">
        <w:t>r</w:t>
      </w:r>
      <w:r w:rsidRPr="00F517E2">
        <w:t>avdrag. Här skulle det i och för sig kunna hävdas att just pensionssparande uppmun</w:t>
      </w:r>
      <w:r w:rsidRPr="00F517E2">
        <w:t>t</w:t>
      </w:r>
      <w:r w:rsidRPr="00F517E2">
        <w:t>ras i andra sammanhang och att en jämkning skulle motverka det syftet. Det finns dock en pedagogisk poäng med att behandla dessa avdrag på samma sätt som de övriga avdrag som behandlats ovan. Det utesluter dock inte att det vid den skälighetsbedömning som ska göras inom ramen för jäm</w:t>
      </w:r>
      <w:r w:rsidRPr="00F517E2">
        <w:t>k</w:t>
      </w:r>
      <w:r w:rsidRPr="00F517E2">
        <w:t>ningsfrågan finns anledning att särskilt beakta att dessa avsättningar skett just för pensionsä</w:t>
      </w:r>
      <w:r w:rsidRPr="00F517E2">
        <w:t>n</w:t>
      </w:r>
      <w:r w:rsidRPr="00F517E2">
        <w:t xml:space="preserve">damål. </w:t>
      </w:r>
    </w:p>
    <w:p w:rsidR="007A056D" w:rsidRPr="00F517E2" w:rsidRDefault="00C35AFD" w:rsidP="00E222B6">
      <w:pPr>
        <w:pStyle w:val="Normaltindrag"/>
      </w:pPr>
      <w:r w:rsidRPr="00F517E2">
        <w:t xml:space="preserve">Riksdagsstyrelsen </w:t>
      </w:r>
      <w:r w:rsidR="007A056D" w:rsidRPr="00F517E2">
        <w:t>föreslå</w:t>
      </w:r>
      <w:r w:rsidRPr="00F517E2">
        <w:t>r</w:t>
      </w:r>
      <w:r w:rsidR="007A056D" w:rsidRPr="00F517E2">
        <w:t xml:space="preserve"> således att det införs en möjlighet att jämka i</w:t>
      </w:r>
      <w:r w:rsidR="007A056D" w:rsidRPr="00F517E2">
        <w:t>n</w:t>
      </w:r>
      <w:r w:rsidR="007A056D" w:rsidRPr="00F517E2">
        <w:t>komstgaranti</w:t>
      </w:r>
      <w:r w:rsidRPr="00F517E2">
        <w:t>n</w:t>
      </w:r>
      <w:r w:rsidR="007A056D" w:rsidRPr="00F517E2">
        <w:t xml:space="preserve">, om </w:t>
      </w:r>
      <w:r w:rsidR="00602795" w:rsidRPr="00F517E2">
        <w:t>en garantitagare</w:t>
      </w:r>
      <w:r w:rsidR="002B5CD0" w:rsidRPr="00F517E2">
        <w:t xml:space="preserve"> g</w:t>
      </w:r>
      <w:r w:rsidR="007A056D" w:rsidRPr="00F517E2">
        <w:t xml:space="preserve">jort pensionssparavdrag. </w:t>
      </w:r>
    </w:p>
    <w:p w:rsidR="007A056D" w:rsidRPr="00F517E2" w:rsidRDefault="007A056D" w:rsidP="005542E9">
      <w:pPr>
        <w:pStyle w:val="Rubrik3"/>
        <w:rPr>
          <w:noProof w:val="0"/>
        </w:rPr>
      </w:pPr>
      <w:bookmarkStart w:id="30" w:name="_Toc277831123"/>
      <w:r w:rsidRPr="00F517E2">
        <w:rPr>
          <w:noProof w:val="0"/>
        </w:rPr>
        <w:t>Flera verksamhetsgrenar</w:t>
      </w:r>
      <w:bookmarkEnd w:id="30"/>
    </w:p>
    <w:p w:rsidR="00C30F99" w:rsidRPr="00F517E2" w:rsidRDefault="005542E9" w:rsidP="00C30F99">
      <w:pPr>
        <w:pStyle w:val="Utskottsfrslagikorthet-Rubrik"/>
        <w:numPr>
          <w:ilvl w:val="0"/>
          <w:numId w:val="0"/>
        </w:numPr>
        <w:ind w:left="113"/>
        <w:rPr>
          <w:b w:val="0"/>
          <w:noProof w:val="0"/>
          <w:sz w:val="19"/>
          <w:szCs w:val="19"/>
        </w:rPr>
      </w:pPr>
      <w:r w:rsidRPr="00F517E2">
        <w:rPr>
          <w:noProof w:val="0"/>
          <w:sz w:val="19"/>
          <w:szCs w:val="19"/>
        </w:rPr>
        <w:t xml:space="preserve">Riksdagsstyrelsens förslag: </w:t>
      </w:r>
      <w:r w:rsidRPr="00F517E2">
        <w:rPr>
          <w:b w:val="0"/>
          <w:noProof w:val="0"/>
          <w:sz w:val="19"/>
          <w:szCs w:val="19"/>
        </w:rPr>
        <w:t xml:space="preserve">Om </w:t>
      </w:r>
      <w:r w:rsidR="00602795" w:rsidRPr="00F517E2">
        <w:rPr>
          <w:b w:val="0"/>
          <w:noProof w:val="0"/>
          <w:sz w:val="19"/>
          <w:szCs w:val="19"/>
        </w:rPr>
        <w:t>en garantitagare</w:t>
      </w:r>
      <w:r w:rsidR="00C35AFD" w:rsidRPr="00F517E2">
        <w:rPr>
          <w:b w:val="0"/>
          <w:noProof w:val="0"/>
          <w:sz w:val="19"/>
          <w:szCs w:val="19"/>
        </w:rPr>
        <w:t>s</w:t>
      </w:r>
      <w:r w:rsidRPr="00F517E2">
        <w:rPr>
          <w:b w:val="0"/>
          <w:noProof w:val="0"/>
          <w:sz w:val="19"/>
          <w:szCs w:val="19"/>
        </w:rPr>
        <w:t xml:space="preserve"> pensionsgrundande inkomst reducerats genom att inkomster från en verksamhetsgren kvittats mot ett underskott i en annan verksamhetsgren, får jämkning ske av inkomstgarantin om det är skäligt.</w:t>
      </w:r>
    </w:p>
    <w:p w:rsidR="00C30F99" w:rsidRPr="00F517E2" w:rsidRDefault="003969ED" w:rsidP="00C30F99">
      <w:r w:rsidRPr="00F517E2">
        <w:rPr>
          <w:b/>
        </w:rPr>
        <w:t>Arbetsgruppens</w:t>
      </w:r>
      <w:r w:rsidR="00C30F99" w:rsidRPr="00F517E2">
        <w:rPr>
          <w:b/>
        </w:rPr>
        <w:t xml:space="preserve"> förslag </w:t>
      </w:r>
      <w:r w:rsidR="00C30F99" w:rsidRPr="00F517E2">
        <w:t>överensstämmer med riksdagsstyrelsens fö</w:t>
      </w:r>
      <w:r w:rsidR="00C30F99" w:rsidRPr="00F517E2">
        <w:t>r</w:t>
      </w:r>
      <w:r w:rsidR="00C30F99" w:rsidRPr="00F517E2">
        <w:t xml:space="preserve">slag. </w:t>
      </w:r>
    </w:p>
    <w:p w:rsidR="00C30F99" w:rsidRPr="00F517E2" w:rsidRDefault="00C30F99" w:rsidP="00C30F99">
      <w:pPr>
        <w:rPr>
          <w:b/>
        </w:rPr>
      </w:pPr>
      <w:r w:rsidRPr="00F517E2">
        <w:rPr>
          <w:b/>
        </w:rPr>
        <w:t xml:space="preserve">Remissinstanserna: </w:t>
      </w:r>
    </w:p>
    <w:p w:rsidR="006C21FA" w:rsidRPr="00F517E2" w:rsidRDefault="006C21FA" w:rsidP="006C21FA">
      <w:r w:rsidRPr="00F517E2">
        <w:t>Skatteverket har tillstyrkt förslaget.</w:t>
      </w:r>
    </w:p>
    <w:p w:rsidR="00D1503A" w:rsidRPr="00F517E2" w:rsidRDefault="00D1503A" w:rsidP="00D1503A">
      <w:pPr>
        <w:pStyle w:val="Normaltindrag"/>
      </w:pPr>
      <w:r w:rsidRPr="00F517E2">
        <w:t>Statens pensionsverk har inga invändningar mot förslaget. Kammarrätten i Stockholm har utifrån de aspekter domstolen har att beakta inte några sy</w:t>
      </w:r>
      <w:r w:rsidRPr="00F517E2">
        <w:t>n</w:t>
      </w:r>
      <w:r w:rsidRPr="00F517E2">
        <w:t>punkter på förslaget. Riksdagens ombudsmän (JO) har från de synpunkter som JO har att beakta inga in</w:t>
      </w:r>
      <w:r w:rsidR="001F62F1" w:rsidRPr="00F517E2">
        <w:t>vändningar</w:t>
      </w:r>
      <w:r w:rsidRPr="00F517E2">
        <w:t xml:space="preserve"> mot förslaget. Sveriges Komm</w:t>
      </w:r>
      <w:r w:rsidRPr="00F517E2">
        <w:t>u</w:t>
      </w:r>
      <w:r w:rsidRPr="00F517E2">
        <w:t xml:space="preserve">ner och Landsting har avstått från att lämna synpunkter. </w:t>
      </w:r>
    </w:p>
    <w:p w:rsidR="005542E9" w:rsidRPr="00F517E2" w:rsidRDefault="005542E9" w:rsidP="005542E9">
      <w:pPr>
        <w:pStyle w:val="R4"/>
      </w:pPr>
      <w:r w:rsidRPr="00F517E2">
        <w:t>Gällande ordning</w:t>
      </w:r>
    </w:p>
    <w:p w:rsidR="00E222B6" w:rsidRPr="00F517E2" w:rsidRDefault="005542E9" w:rsidP="00BA2B26">
      <w:pPr>
        <w:spacing w:before="0"/>
      </w:pPr>
      <w:r w:rsidRPr="00F517E2">
        <w:t>Av 14 kap. 12 § IL framgår att all näringsverksamhet som bedrivs av en e</w:t>
      </w:r>
      <w:r w:rsidRPr="00F517E2">
        <w:t>n</w:t>
      </w:r>
      <w:r w:rsidRPr="00F517E2">
        <w:t xml:space="preserve">skild näringsidkare räknas som en enda näringsverksamhet, </w:t>
      </w:r>
      <w:r w:rsidR="007847E2" w:rsidRPr="00F517E2">
        <w:t xml:space="preserve">men </w:t>
      </w:r>
      <w:r w:rsidRPr="00F517E2">
        <w:t>undantag finns för självständig näringsverksamhet i utlandet.</w:t>
      </w:r>
      <w:r w:rsidR="00E222B6" w:rsidRPr="00F517E2">
        <w:t xml:space="preserve"> </w:t>
      </w:r>
    </w:p>
    <w:p w:rsidR="00E222B6" w:rsidRPr="00F517E2" w:rsidRDefault="005542E9" w:rsidP="00E222B6">
      <w:pPr>
        <w:pStyle w:val="Normaltindrag"/>
      </w:pPr>
      <w:r w:rsidRPr="00F517E2">
        <w:t>Av 13 § samma kapitel framgår att för en fysisk person som är delägare i ett eller flera svenska handelsbolag räknas verksamheten i varje handelsbolag som en egen näringsverksamhet.</w:t>
      </w:r>
      <w:r w:rsidR="00E222B6" w:rsidRPr="00F517E2">
        <w:t xml:space="preserve"> </w:t>
      </w:r>
    </w:p>
    <w:p w:rsidR="00E222B6" w:rsidRPr="00F517E2" w:rsidRDefault="005542E9" w:rsidP="00E222B6">
      <w:pPr>
        <w:pStyle w:val="Normaltindrag"/>
      </w:pPr>
      <w:r w:rsidRPr="00F517E2">
        <w:t>Dessa regler innebär att man kan ha inkomster i sin näringsverksamhet som i sig är pensionsgrundande, t.ex. konsultinkomster, men att dessa i</w:t>
      </w:r>
      <w:r w:rsidRPr="00F517E2">
        <w:t>n</w:t>
      </w:r>
      <w:r w:rsidRPr="00F517E2">
        <w:t>komster kvittas bort mot underskott av en annan verksamhetsgren, t.ex. u</w:t>
      </w:r>
      <w:r w:rsidRPr="00F517E2">
        <w:t>n</w:t>
      </w:r>
      <w:r w:rsidRPr="00F517E2">
        <w:t xml:space="preserve">derskott av jordbruksfastighet. </w:t>
      </w:r>
    </w:p>
    <w:p w:rsidR="005542E9" w:rsidRPr="00F517E2" w:rsidRDefault="005542E9" w:rsidP="00E222B6">
      <w:pPr>
        <w:pStyle w:val="Normaltindrag"/>
      </w:pPr>
      <w:r w:rsidRPr="00F517E2">
        <w:t>Av 2 kap. 25 § IL framgår att med verksa</w:t>
      </w:r>
      <w:r w:rsidRPr="00F517E2">
        <w:t>m</w:t>
      </w:r>
      <w:r w:rsidRPr="00F517E2">
        <w:t>hetsgren avses sådan del av en rörelse som lämpar sig för att avskiljas till en självständig rörelse.</w:t>
      </w:r>
    </w:p>
    <w:p w:rsidR="005542E9" w:rsidRPr="00F517E2" w:rsidRDefault="006C16FE" w:rsidP="005542E9">
      <w:pPr>
        <w:pStyle w:val="R4"/>
      </w:pPr>
      <w:r w:rsidRPr="00F517E2">
        <w:t>Riksdagss</w:t>
      </w:r>
      <w:r w:rsidR="005542E9" w:rsidRPr="00F517E2">
        <w:t>tyrelsens ställningstagande</w:t>
      </w:r>
    </w:p>
    <w:p w:rsidR="00E222B6" w:rsidRPr="00F517E2" w:rsidRDefault="00655391" w:rsidP="00E222B6">
      <w:r w:rsidRPr="00F517E2">
        <w:t>Mot ba</w:t>
      </w:r>
      <w:r w:rsidRPr="00F517E2">
        <w:t>k</w:t>
      </w:r>
      <w:r w:rsidRPr="00F517E2">
        <w:t xml:space="preserve">grund av syftet med inkomstgarantin kan resultatet av en kvittning </w:t>
      </w:r>
      <w:r w:rsidR="002524F9" w:rsidRPr="00F517E2">
        <w:t>av inkom</w:t>
      </w:r>
      <w:r w:rsidR="002524F9" w:rsidRPr="00F517E2">
        <w:t>s</w:t>
      </w:r>
      <w:r w:rsidR="002524F9" w:rsidRPr="00F517E2">
        <w:t xml:space="preserve">ter i en verksamhetsgren mot förluster i en annan </w:t>
      </w:r>
      <w:r w:rsidRPr="00F517E2">
        <w:t>i vissa fall framstå som di</w:t>
      </w:r>
      <w:r w:rsidRPr="00F517E2">
        <w:t>s</w:t>
      </w:r>
      <w:r w:rsidRPr="00F517E2">
        <w:t>kutabelt. Det bör alltså övervägas om inkomstgarantin bör kunna jämkas när den redovisade pensionsgrundande inkomsten har påverkats av att underskott i en verksamhetsgren räknats av mot överskott i en annan ver</w:t>
      </w:r>
      <w:r w:rsidRPr="00F517E2">
        <w:t>k</w:t>
      </w:r>
      <w:r w:rsidRPr="00F517E2">
        <w:t>samhet</w:t>
      </w:r>
      <w:r w:rsidRPr="00F517E2">
        <w:t>s</w:t>
      </w:r>
      <w:r w:rsidRPr="00F517E2">
        <w:t xml:space="preserve">gren. </w:t>
      </w:r>
    </w:p>
    <w:p w:rsidR="00E222B6" w:rsidRPr="00F517E2" w:rsidRDefault="007A056D" w:rsidP="00E222B6">
      <w:pPr>
        <w:pStyle w:val="Normaltindrag"/>
      </w:pPr>
      <w:r w:rsidRPr="00F517E2">
        <w:t>Av bestämmelserna i 14 kap. IL följer att all näringsverksamhet som b</w:t>
      </w:r>
      <w:r w:rsidRPr="00F517E2">
        <w:t>e</w:t>
      </w:r>
      <w:r w:rsidRPr="00F517E2">
        <w:t>drivs av en enskild näringsidkare i princip räknas som en enda näringsver</w:t>
      </w:r>
      <w:r w:rsidRPr="00F517E2">
        <w:t>k</w:t>
      </w:r>
      <w:r w:rsidRPr="00F517E2">
        <w:t>samhet. Vidare gäller att verksamheten i ett handelsbolag räknas som en egen näringsverksamhet, om delägaren är en fysisk person. Att flera verksamhet</w:t>
      </w:r>
      <w:r w:rsidRPr="00F517E2">
        <w:t>s</w:t>
      </w:r>
      <w:r w:rsidRPr="00F517E2">
        <w:t>grenar bedöms som en enda näringsverksamhet medför att inkomster av en typ kan kvittas bort mot underskott av en annan verksamhetsgren.</w:t>
      </w:r>
      <w:r w:rsidR="00E222B6" w:rsidRPr="00F517E2">
        <w:t xml:space="preserve"> </w:t>
      </w:r>
    </w:p>
    <w:p w:rsidR="00E222B6" w:rsidRPr="00F517E2" w:rsidRDefault="007A056D" w:rsidP="00E222B6">
      <w:pPr>
        <w:pStyle w:val="Normaltindrag"/>
      </w:pPr>
      <w:r w:rsidRPr="00F517E2">
        <w:t>Om en garantitagare har ett underskott i en viss verksamhetsgren kan det minska den pensionsgrundande inkomsten från en annan verksamhet. Den fråga som måste ställas i detta sammanhang är om det är rimligt att inkoms</w:t>
      </w:r>
      <w:r w:rsidRPr="00F517E2">
        <w:t>t</w:t>
      </w:r>
      <w:r w:rsidRPr="00F517E2">
        <w:t>garantin ökar eftersom underskottet hade funnits oavsett om de andra inkom</w:t>
      </w:r>
      <w:r w:rsidRPr="00F517E2">
        <w:t>s</w:t>
      </w:r>
      <w:r w:rsidRPr="00F517E2">
        <w:t xml:space="preserve">terna existerat. Att kvittningen sker med skattemässig verkan betyder inte att den måste accepteras också </w:t>
      </w:r>
      <w:r w:rsidR="007847E2" w:rsidRPr="00F517E2">
        <w:t xml:space="preserve">för </w:t>
      </w:r>
      <w:r w:rsidRPr="00F517E2">
        <w:t>inkomstgaranti</w:t>
      </w:r>
      <w:r w:rsidR="007847E2" w:rsidRPr="00F517E2">
        <w:t>n</w:t>
      </w:r>
      <w:r w:rsidRPr="00F517E2">
        <w:t>. Tvärtom kan kvittnin</w:t>
      </w:r>
      <w:r w:rsidRPr="00F517E2">
        <w:t>g</w:t>
      </w:r>
      <w:r w:rsidRPr="00F517E2">
        <w:t>en på det området få konsekvenser som framstår som stötande. Mot den ba</w:t>
      </w:r>
      <w:r w:rsidRPr="00F517E2">
        <w:t>k</w:t>
      </w:r>
      <w:r w:rsidRPr="00F517E2">
        <w:t>grunden finns det skäl att överväga om det bör vara möjligt att jämka i</w:t>
      </w:r>
      <w:r w:rsidRPr="00F517E2">
        <w:t>n</w:t>
      </w:r>
      <w:r w:rsidRPr="00F517E2">
        <w:t xml:space="preserve">komstgarantin i en sådan situation. </w:t>
      </w:r>
    </w:p>
    <w:p w:rsidR="00E222B6" w:rsidRPr="00F517E2" w:rsidRDefault="007A056D" w:rsidP="00E222B6">
      <w:pPr>
        <w:pStyle w:val="Normaltindrag"/>
      </w:pPr>
      <w:r w:rsidRPr="00F517E2">
        <w:t>Emot en möjlighet att jämka inkomstg</w:t>
      </w:r>
      <w:r w:rsidRPr="00F517E2">
        <w:t>a</w:t>
      </w:r>
      <w:r w:rsidRPr="00F517E2">
        <w:t>ranti i nu aktuella fall skulle i och för sig kunna anföras att det ur garantitag</w:t>
      </w:r>
      <w:r w:rsidRPr="00F517E2">
        <w:t>a</w:t>
      </w:r>
      <w:r w:rsidRPr="00F517E2">
        <w:t>rens perspektiv kan framstå som märkligt att han eller hon ska behöva drabbas av jämkning eftersom kvit</w:t>
      </w:r>
      <w:r w:rsidRPr="00F517E2">
        <w:t>t</w:t>
      </w:r>
      <w:r w:rsidRPr="00F517E2">
        <w:t>ningen görs i deklarationen och garantitagaren inte kan påverka den. Probl</w:t>
      </w:r>
      <w:r w:rsidRPr="00F517E2">
        <w:t>e</w:t>
      </w:r>
      <w:r w:rsidRPr="00F517E2">
        <w:t xml:space="preserve">met för garantitagaren blir då att i förväg kunna överblicka alla konsekvenser av att de olika verksamhetsgrenarna gett olika resultat. Denna svårighet måste anses var hanterbar. Här kan det – i likhet med vad som sagts ovan </w:t>
      </w:r>
      <w:r w:rsidR="002232C0" w:rsidRPr="00F517E2">
        <w:t xml:space="preserve">om </w:t>
      </w:r>
      <w:r w:rsidRPr="00F517E2">
        <w:t>peri</w:t>
      </w:r>
      <w:r w:rsidRPr="00F517E2">
        <w:t>o</w:t>
      </w:r>
      <w:r w:rsidRPr="00F517E2">
        <w:t>diseringsfond – framhållas att g</w:t>
      </w:r>
      <w:r w:rsidRPr="00F517E2">
        <w:t>a</w:t>
      </w:r>
      <w:r w:rsidRPr="00F517E2">
        <w:t xml:space="preserve">rantitagaren redan i dag måste göra vissa bedömningar av vilken lön som ska tas ut om han eller hon utför arbete i exempelvis ett eget aktiebolag. </w:t>
      </w:r>
    </w:p>
    <w:p w:rsidR="00BA2B26" w:rsidRPr="00F517E2" w:rsidRDefault="007A056D" w:rsidP="00E222B6">
      <w:pPr>
        <w:pStyle w:val="Normaltindrag"/>
      </w:pPr>
      <w:r w:rsidRPr="00F517E2">
        <w:t>För att införa en möjlighet till jämkning i de fall där inkomster i en ver</w:t>
      </w:r>
      <w:r w:rsidRPr="00F517E2">
        <w:t>k</w:t>
      </w:r>
      <w:r w:rsidRPr="00F517E2">
        <w:t>samhetsgren kvittats mot underskott i en annan gren talar att det i vissa fall kan framstå som orimligt att underskottet i fö</w:t>
      </w:r>
      <w:r w:rsidRPr="00F517E2">
        <w:t>r</w:t>
      </w:r>
      <w:r w:rsidRPr="00F517E2">
        <w:t xml:space="preserve">längningen får till följd att en högre inkomstgaranti betalas ut. </w:t>
      </w:r>
    </w:p>
    <w:p w:rsidR="007A056D" w:rsidRPr="00F517E2" w:rsidRDefault="007A056D" w:rsidP="00BA2B26">
      <w:pPr>
        <w:pStyle w:val="Normaltindrag"/>
      </w:pPr>
      <w:r w:rsidRPr="00F517E2">
        <w:t>Mot bakgrund av det anförda föreslå</w:t>
      </w:r>
      <w:r w:rsidR="002232C0" w:rsidRPr="00F517E2">
        <w:t>r</w:t>
      </w:r>
      <w:r w:rsidRPr="00F517E2">
        <w:t xml:space="preserve"> </w:t>
      </w:r>
      <w:r w:rsidR="002232C0" w:rsidRPr="00F517E2">
        <w:t xml:space="preserve">riksdagsstyrelsen </w:t>
      </w:r>
      <w:r w:rsidRPr="00F517E2">
        <w:t>att det införs en möjlighet att fatta beslut om jämkning när den pensionsgrundande inkomsten min</w:t>
      </w:r>
      <w:r w:rsidRPr="00F517E2">
        <w:t>s</w:t>
      </w:r>
      <w:r w:rsidRPr="00F517E2">
        <w:t>kats som ett resultat av att inkomster i en verksamhetsgren reducerats på grund av unde</w:t>
      </w:r>
      <w:r w:rsidRPr="00F517E2">
        <w:t>r</w:t>
      </w:r>
      <w:r w:rsidRPr="00F517E2">
        <w:t xml:space="preserve">skott i en annan. Liksom i fråga om avsättningar m.m. bör jämkning förutsätta att det är skäligt. </w:t>
      </w:r>
    </w:p>
    <w:p w:rsidR="007A056D" w:rsidRPr="00F517E2" w:rsidRDefault="007A056D" w:rsidP="00726CB7">
      <w:pPr>
        <w:pStyle w:val="Rubrik3"/>
        <w:rPr>
          <w:noProof w:val="0"/>
        </w:rPr>
      </w:pPr>
      <w:bookmarkStart w:id="31" w:name="_Toc277831124"/>
      <w:r w:rsidRPr="00F517E2">
        <w:rPr>
          <w:noProof w:val="0"/>
        </w:rPr>
        <w:t>Passiv näringsverksamhet</w:t>
      </w:r>
      <w:bookmarkEnd w:id="31"/>
    </w:p>
    <w:p w:rsidR="00726CB7" w:rsidRPr="00F517E2" w:rsidRDefault="00726CB7" w:rsidP="00726CB7">
      <w:pPr>
        <w:pStyle w:val="Utskottsfrslagikorthet-Rubrik"/>
        <w:numPr>
          <w:ilvl w:val="0"/>
          <w:numId w:val="0"/>
        </w:numPr>
        <w:ind w:left="113"/>
        <w:rPr>
          <w:b w:val="0"/>
          <w:noProof w:val="0"/>
        </w:rPr>
      </w:pPr>
      <w:r w:rsidRPr="00F517E2">
        <w:rPr>
          <w:noProof w:val="0"/>
          <w:sz w:val="19"/>
          <w:szCs w:val="19"/>
        </w:rPr>
        <w:t xml:space="preserve">Riksdagsstyrelsens förslag i korthet: </w:t>
      </w:r>
      <w:r w:rsidRPr="00F517E2">
        <w:rPr>
          <w:b w:val="0"/>
          <w:noProof w:val="0"/>
          <w:sz w:val="19"/>
          <w:szCs w:val="19"/>
        </w:rPr>
        <w:t xml:space="preserve">Om </w:t>
      </w:r>
      <w:r w:rsidR="00602795" w:rsidRPr="00F517E2">
        <w:rPr>
          <w:b w:val="0"/>
          <w:noProof w:val="0"/>
          <w:sz w:val="19"/>
          <w:szCs w:val="19"/>
        </w:rPr>
        <w:t>en garantitagare</w:t>
      </w:r>
      <w:r w:rsidRPr="00F517E2">
        <w:rPr>
          <w:b w:val="0"/>
          <w:noProof w:val="0"/>
          <w:sz w:val="19"/>
          <w:szCs w:val="19"/>
        </w:rPr>
        <w:t xml:space="preserve"> har inkomst av passiv näringsverksamhet som härrör från arbete, får inkomstgarantin jämkas om det är skäligt</w:t>
      </w:r>
      <w:r w:rsidRPr="00F517E2">
        <w:rPr>
          <w:b w:val="0"/>
          <w:noProof w:val="0"/>
        </w:rPr>
        <w:t xml:space="preserve">. </w:t>
      </w:r>
    </w:p>
    <w:p w:rsidR="00C30F99" w:rsidRPr="00F517E2" w:rsidRDefault="003969ED" w:rsidP="00C30F99">
      <w:r w:rsidRPr="00F517E2">
        <w:rPr>
          <w:b/>
        </w:rPr>
        <w:t>Arbetsgruppens</w:t>
      </w:r>
      <w:r w:rsidR="00C30F99" w:rsidRPr="00F517E2">
        <w:rPr>
          <w:b/>
        </w:rPr>
        <w:t xml:space="preserve"> förslag </w:t>
      </w:r>
      <w:r w:rsidR="00C30F99" w:rsidRPr="00F517E2">
        <w:t>överensstämmer med riksdagsstyrelsens fö</w:t>
      </w:r>
      <w:r w:rsidR="00C30F99" w:rsidRPr="00F517E2">
        <w:t>r</w:t>
      </w:r>
      <w:r w:rsidR="00C30F99" w:rsidRPr="00F517E2">
        <w:t xml:space="preserve">slag. </w:t>
      </w:r>
    </w:p>
    <w:p w:rsidR="00C30F99" w:rsidRPr="00F517E2" w:rsidRDefault="00C30F99" w:rsidP="00C30F99">
      <w:pPr>
        <w:rPr>
          <w:b/>
        </w:rPr>
      </w:pPr>
      <w:r w:rsidRPr="00F517E2">
        <w:rPr>
          <w:b/>
        </w:rPr>
        <w:t xml:space="preserve">Remissinstanserna: </w:t>
      </w:r>
    </w:p>
    <w:p w:rsidR="006C21FA" w:rsidRPr="00F517E2" w:rsidRDefault="006C21FA" w:rsidP="006C21FA">
      <w:r w:rsidRPr="00F517E2">
        <w:t>Skatteverket har tillstyrkt förslaget.</w:t>
      </w:r>
    </w:p>
    <w:p w:rsidR="00D1503A" w:rsidRPr="00F517E2" w:rsidRDefault="00D1503A" w:rsidP="00D1503A">
      <w:pPr>
        <w:pStyle w:val="Normaltindrag"/>
      </w:pPr>
      <w:r w:rsidRPr="00F517E2">
        <w:t>Statens pensionsverk har inga invändningar mot förslaget. Kammarrätten i Stockholm har utifrån de aspekter domstolen har att beakta inte några sy</w:t>
      </w:r>
      <w:r w:rsidRPr="00F517E2">
        <w:t>n</w:t>
      </w:r>
      <w:r w:rsidRPr="00F517E2">
        <w:t>punkter på förslaget. Riksdagens ombudsmän (JO) har från de synpunkter som JO har att beakta inga in</w:t>
      </w:r>
      <w:r w:rsidR="00C65198" w:rsidRPr="00F517E2">
        <w:t>vändningar</w:t>
      </w:r>
      <w:r w:rsidRPr="00F517E2">
        <w:t xml:space="preserve"> mot förslaget. Sveriges Komm</w:t>
      </w:r>
      <w:r w:rsidRPr="00F517E2">
        <w:t>u</w:t>
      </w:r>
      <w:r w:rsidRPr="00F517E2">
        <w:t xml:space="preserve">ner och Landsting har avstått från att lämna synpunkter. </w:t>
      </w:r>
    </w:p>
    <w:p w:rsidR="00726CB7" w:rsidRPr="00F517E2" w:rsidRDefault="00726CB7" w:rsidP="00726CB7">
      <w:pPr>
        <w:pStyle w:val="R4"/>
      </w:pPr>
      <w:r w:rsidRPr="00F517E2">
        <w:t>Gällande ordning</w:t>
      </w:r>
    </w:p>
    <w:p w:rsidR="004D4953" w:rsidRPr="00F517E2" w:rsidRDefault="0096589F" w:rsidP="00BA2B26">
      <w:pPr>
        <w:spacing w:before="0"/>
      </w:pPr>
      <w:r w:rsidRPr="00F517E2">
        <w:t>Passiv näringsverksamhet har många gånger inget att göra med att man utfört arbete av någon nämnvärd omfattning. Exempel på passiv näringsverksamhet kan vara fastighetsförvaltning.</w:t>
      </w:r>
      <w:r w:rsidR="004D4953" w:rsidRPr="00F517E2">
        <w:t xml:space="preserve"> </w:t>
      </w:r>
    </w:p>
    <w:p w:rsidR="004D4953" w:rsidRPr="00F517E2" w:rsidRDefault="0096589F" w:rsidP="004D4953">
      <w:pPr>
        <w:pStyle w:val="Normaltindrag"/>
      </w:pPr>
      <w:r w:rsidRPr="00F517E2">
        <w:t>Begreppet passiv näringsverksamhet infördes i dåvarande18 § kommuna</w:t>
      </w:r>
      <w:r w:rsidRPr="00F517E2">
        <w:t>l</w:t>
      </w:r>
      <w:r w:rsidRPr="00F517E2">
        <w:t>ska</w:t>
      </w:r>
      <w:r w:rsidRPr="00F517E2">
        <w:t>t</w:t>
      </w:r>
      <w:r w:rsidRPr="00F517E2">
        <w:t xml:space="preserve">telagen (1928:370), </w:t>
      </w:r>
      <w:r w:rsidR="006C16FE" w:rsidRPr="00F517E2">
        <w:t xml:space="preserve">förkortad </w:t>
      </w:r>
      <w:r w:rsidRPr="00F517E2">
        <w:t>KL. Numera definieras begreppet i 2 kap. 23 § IL. I prop</w:t>
      </w:r>
      <w:r w:rsidR="004C33D7" w:rsidRPr="00F517E2">
        <w:t>osition</w:t>
      </w:r>
      <w:r w:rsidRPr="00F517E2">
        <w:t xml:space="preserve"> 1989/90:110 s. 646 framgår av specialmotiveringen till 18 § KL att en verksamhet utgör aktiv näringsverksamhet om den skattsky</w:t>
      </w:r>
      <w:r w:rsidRPr="00F517E2">
        <w:t>l</w:t>
      </w:r>
      <w:r w:rsidRPr="00F517E2">
        <w:t>dige i inte oväsentlig omfattning arbetat i verksamheten. I det motsatta fallet utgör verksamheten passiv näringsverksamhet. Kravet på aktivitet innebär i norma</w:t>
      </w:r>
      <w:r w:rsidRPr="00F517E2">
        <w:t>l</w:t>
      </w:r>
      <w:r w:rsidRPr="00F517E2">
        <w:t>fallet att den skattskyldige ska ha ägnat sysslorna i verksamheten minst en tredjedel av den tid som åtgår för en vanlig anställning på heltid. Detta krav får i vissa fall jämkas med hänsyn till omständigheterna. En person som vid sidan av en anställning bedriver näringsverksamhet som i huvudsak bas</w:t>
      </w:r>
      <w:r w:rsidRPr="00F517E2">
        <w:t>e</w:t>
      </w:r>
      <w:r w:rsidRPr="00F517E2">
        <w:t xml:space="preserve">ras på hans </w:t>
      </w:r>
      <w:r w:rsidR="00C3618A" w:rsidRPr="00F517E2">
        <w:t xml:space="preserve">eller hennes </w:t>
      </w:r>
      <w:r w:rsidRPr="00F517E2">
        <w:t>egen arbetskraft får regelmässigt anses uppfylla akt</w:t>
      </w:r>
      <w:r w:rsidRPr="00F517E2">
        <w:t>i</w:t>
      </w:r>
      <w:r w:rsidRPr="00F517E2">
        <w:t xml:space="preserve">vitetskravet. Detta gäller däremot inte </w:t>
      </w:r>
      <w:r w:rsidR="00C3618A" w:rsidRPr="00F517E2">
        <w:t xml:space="preserve">för </w:t>
      </w:r>
      <w:r w:rsidRPr="00F517E2">
        <w:t>verksamhet med en betydande b</w:t>
      </w:r>
      <w:r w:rsidRPr="00F517E2">
        <w:t>a</w:t>
      </w:r>
      <w:r w:rsidRPr="00F517E2">
        <w:t>lansomslutning. I fråga om t.ex. förvaltning av egna fastigheter bör således arbetsinsatsen motsvara minst en tredjedel av arbetstiden i en heltidsanstäl</w:t>
      </w:r>
      <w:r w:rsidRPr="00F517E2">
        <w:t>l</w:t>
      </w:r>
      <w:r w:rsidRPr="00F517E2">
        <w:t>ning för att verksamheten ska vara att hänföra till aktiv näringsver</w:t>
      </w:r>
      <w:r w:rsidRPr="00F517E2">
        <w:t>k</w:t>
      </w:r>
      <w:r w:rsidRPr="00F517E2">
        <w:t xml:space="preserve">samhet. </w:t>
      </w:r>
    </w:p>
    <w:p w:rsidR="00726CB7" w:rsidRPr="00F517E2" w:rsidRDefault="0096589F" w:rsidP="004D4953">
      <w:pPr>
        <w:pStyle w:val="Normaltindrag"/>
      </w:pPr>
      <w:r w:rsidRPr="00F517E2">
        <w:t>Det innebär att man t.ex. kan arbeta c</w:t>
      </w:r>
      <w:r w:rsidR="00C3618A" w:rsidRPr="00F517E2">
        <w:t>irk</w:t>
      </w:r>
      <w:r w:rsidRPr="00F517E2">
        <w:t>a 400 timmar som konsult i en e</w:t>
      </w:r>
      <w:r w:rsidRPr="00F517E2">
        <w:t>n</w:t>
      </w:r>
      <w:r w:rsidRPr="00F517E2">
        <w:t>skild näringsverksamhet och har man dessutom en större jordbruksfastighet där man inte arbetar ko</w:t>
      </w:r>
      <w:r w:rsidRPr="00F517E2">
        <w:t>m</w:t>
      </w:r>
      <w:r w:rsidRPr="00F517E2">
        <w:t>mer den enskilda näringsverksamheten att betraktas som passiv eftersom man inte arbetat en tredjedels årsarbetstid. Man kan således ha relativt stora inkomster av arbete som hänförs till passiv näring</w:t>
      </w:r>
      <w:r w:rsidRPr="00F517E2">
        <w:t>s</w:t>
      </w:r>
      <w:r w:rsidRPr="00F517E2">
        <w:t>verksamhet. Även här kan man givetvis dessutom reducera dessa arbetsi</w:t>
      </w:r>
      <w:r w:rsidRPr="00F517E2">
        <w:t>n</w:t>
      </w:r>
      <w:r w:rsidRPr="00F517E2">
        <w:t>komster mot underskott av en annan verksamhetsgren.</w:t>
      </w:r>
    </w:p>
    <w:p w:rsidR="00726CB7" w:rsidRPr="00F517E2" w:rsidRDefault="00726CB7" w:rsidP="00726CB7">
      <w:pPr>
        <w:pStyle w:val="R4"/>
      </w:pPr>
      <w:r w:rsidRPr="00F517E2">
        <w:t>Riksdagsstyrelsens ställningstagande</w:t>
      </w:r>
    </w:p>
    <w:p w:rsidR="004D4953" w:rsidRPr="00F517E2" w:rsidRDefault="00655391" w:rsidP="00BA2B26">
      <w:pPr>
        <w:spacing w:before="0"/>
      </w:pPr>
      <w:r w:rsidRPr="00F517E2">
        <w:t xml:space="preserve">Som framgått </w:t>
      </w:r>
      <w:r w:rsidR="00C3618A" w:rsidRPr="00F517E2">
        <w:t>av</w:t>
      </w:r>
      <w:r w:rsidRPr="00F517E2">
        <w:t xml:space="preserve"> det föregående är frågan om samordning ska ske eller inte beroende av om en inkomst av näringsverksamhet bedömts härröra från aktiv eller passiv näringsverksamhet. Det kan hävdas att det finns skäl för samor</w:t>
      </w:r>
      <w:r w:rsidRPr="00F517E2">
        <w:t>d</w:t>
      </w:r>
      <w:r w:rsidRPr="00F517E2">
        <w:t xml:space="preserve">ning också i vissa fall där näringsverksamheten är passiv. Det skulle också kunna göras gällande att inkomst av passiv näringsverksamhet bör kunna leda </w:t>
      </w:r>
      <w:r w:rsidR="00C3618A" w:rsidRPr="00F517E2">
        <w:t xml:space="preserve">till </w:t>
      </w:r>
      <w:r w:rsidRPr="00F517E2">
        <w:t xml:space="preserve">jämkning. </w:t>
      </w:r>
    </w:p>
    <w:p w:rsidR="004D4953" w:rsidRPr="00F517E2" w:rsidRDefault="00655391" w:rsidP="004D4953">
      <w:pPr>
        <w:pStyle w:val="Normaltindrag"/>
      </w:pPr>
      <w:r w:rsidRPr="00F517E2">
        <w:t>Det skatterättsliga regelverket kring aktiv och passiv näringsverksamhet kan visserligen ge konsekvenser som – sett mot bakgrund av syftet med i</w:t>
      </w:r>
      <w:r w:rsidRPr="00F517E2">
        <w:t>n</w:t>
      </w:r>
      <w:r w:rsidRPr="00F517E2">
        <w:t xml:space="preserve">komstgarantin – kan ge oönskade effekter. Samtidigt finns </w:t>
      </w:r>
      <w:r w:rsidR="004F3B08" w:rsidRPr="00F517E2">
        <w:t xml:space="preserve">det inte </w:t>
      </w:r>
      <w:r w:rsidR="00D85E8B" w:rsidRPr="00F517E2">
        <w:t xml:space="preserve">här </w:t>
      </w:r>
      <w:r w:rsidRPr="00F517E2">
        <w:t>anle</w:t>
      </w:r>
      <w:r w:rsidRPr="00F517E2">
        <w:t>d</w:t>
      </w:r>
      <w:r w:rsidRPr="00F517E2">
        <w:t>ning</w:t>
      </w:r>
      <w:r w:rsidR="00D85E8B" w:rsidRPr="00F517E2">
        <w:t xml:space="preserve"> </w:t>
      </w:r>
      <w:r w:rsidRPr="00F517E2">
        <w:t>att överväga gränsdragningsfr</w:t>
      </w:r>
      <w:r w:rsidRPr="00F517E2">
        <w:t>å</w:t>
      </w:r>
      <w:r w:rsidRPr="00F517E2">
        <w:t>gan i sig, dvs. vad som ska bedömas som aktiv respektive passiv näringsverksamhet. En utvidgning av kretsen av i</w:t>
      </w:r>
      <w:r w:rsidRPr="00F517E2">
        <w:t>n</w:t>
      </w:r>
      <w:r w:rsidRPr="00F517E2">
        <w:t>komster som ska samor</w:t>
      </w:r>
      <w:r w:rsidRPr="00F517E2">
        <w:t>d</w:t>
      </w:r>
      <w:r w:rsidRPr="00F517E2">
        <w:t>nas så att även inkomst av passiv näringsverksamhet omfattas skulle i och för sig kunna övervägas. I detta sammanhang är det dock inte lämpligt att ta upp den frågan. Däremot bör inte jämkning</w:t>
      </w:r>
      <w:r w:rsidRPr="00F517E2">
        <w:t>s</w:t>
      </w:r>
      <w:r w:rsidRPr="00F517E2">
        <w:t>reglerna ändras eftersom det kan tänkas att det bland inkomster i en passiv näring</w:t>
      </w:r>
      <w:r w:rsidRPr="00F517E2">
        <w:t>s</w:t>
      </w:r>
      <w:r w:rsidRPr="00F517E2">
        <w:t xml:space="preserve">verksamhet förekommer arbetsinkomster. </w:t>
      </w:r>
    </w:p>
    <w:p w:rsidR="004D4953" w:rsidRPr="00F517E2" w:rsidRDefault="007A056D" w:rsidP="004D4953">
      <w:pPr>
        <w:pStyle w:val="Normaltindrag"/>
      </w:pPr>
      <w:r w:rsidRPr="00F517E2">
        <w:t>Inkomst av passiv näringsverksamhet är inte pensionsgrundande. En nä</w:t>
      </w:r>
      <w:r w:rsidRPr="00F517E2">
        <w:t>r</w:t>
      </w:r>
      <w:r w:rsidRPr="00F517E2">
        <w:t>ingsverksamhet bedöms som passiv om den skat</w:t>
      </w:r>
      <w:r w:rsidRPr="00F517E2">
        <w:t>t</w:t>
      </w:r>
      <w:r w:rsidRPr="00F517E2">
        <w:t>skyldige inte varit så aktiv att han eller hon kan sägas ha arbetat i verksamh</w:t>
      </w:r>
      <w:r w:rsidRPr="00F517E2">
        <w:t>e</w:t>
      </w:r>
      <w:r w:rsidRPr="00F517E2">
        <w:t>ten i en ”inte oväsentlig” omfattning. Den som vid sidan av en heltidsanställning bedriver en näring</w:t>
      </w:r>
      <w:r w:rsidRPr="00F517E2">
        <w:t>s</w:t>
      </w:r>
      <w:r w:rsidRPr="00F517E2">
        <w:t>verksamhet som i huvudsak baseras på hans eller hennes egen arbetskraft anses uppfylla aktivitetskravet. Detsamma gäller den som utan att ha en a</w:t>
      </w:r>
      <w:r w:rsidRPr="00F517E2">
        <w:t>n</w:t>
      </w:r>
      <w:r w:rsidRPr="00F517E2">
        <w:t>ställning bedriver en näringsverksamhet av mindre omfattning, om den bas</w:t>
      </w:r>
      <w:r w:rsidRPr="00F517E2">
        <w:t>e</w:t>
      </w:r>
      <w:r w:rsidRPr="00F517E2">
        <w:t>ras enbart på den egna arbetsinsatsen. Om verksamheten har en betydande balansomslutning anses det vara fråga om passiv näring</w:t>
      </w:r>
      <w:r w:rsidRPr="00F517E2">
        <w:t>s</w:t>
      </w:r>
      <w:r w:rsidRPr="00F517E2">
        <w:t>verksamhet, om inte arbetsi</w:t>
      </w:r>
      <w:r w:rsidRPr="00F517E2">
        <w:t>n</w:t>
      </w:r>
      <w:r w:rsidRPr="00F517E2">
        <w:t xml:space="preserve">satsen uppgår till en tredjedel av en årsarbetstid. Så kan t.ex. vara fallet vid fastighetsförvaltning. </w:t>
      </w:r>
    </w:p>
    <w:p w:rsidR="004D4953" w:rsidRPr="00F517E2" w:rsidRDefault="007A056D" w:rsidP="004D4953">
      <w:pPr>
        <w:pStyle w:val="Normaltindrag"/>
      </w:pPr>
      <w:r w:rsidRPr="00F517E2">
        <w:t>För storleken på inkomstgarantin får det alltså en avgörande betydelse om inkomst av näringsverksamhet bedöms härröra från en aktiv eller en passiv näringsverksamhet. I praktiken kan en person – beroende på omständighete</w:t>
      </w:r>
      <w:r w:rsidRPr="00F517E2">
        <w:t>r</w:t>
      </w:r>
      <w:r w:rsidRPr="00F517E2">
        <w:t>na i det enskilda fallet – lägga ner så mycket som cirka 400 timmar på ett år i en näringsverksamhet utan att den bedöms som aktiv. Inkomsterna från en sådan passiv näringsverksamhet är inte pension</w:t>
      </w:r>
      <w:r w:rsidRPr="00F517E2">
        <w:t>s</w:t>
      </w:r>
      <w:r w:rsidRPr="00F517E2">
        <w:t>grundande och påverkar alltså inte inkomstgarantins storlek. Om det är rimligt eller inte hänger sa</w:t>
      </w:r>
      <w:r w:rsidRPr="00F517E2">
        <w:t>m</w:t>
      </w:r>
      <w:r w:rsidRPr="00F517E2">
        <w:t>man med vilken typ av näringsverksamhet det är fråga om. Är det fråga om arbetsinkomster, exempelvis från konsultverksa</w:t>
      </w:r>
      <w:r w:rsidRPr="00F517E2">
        <w:t>m</w:t>
      </w:r>
      <w:r w:rsidRPr="00F517E2">
        <w:t>het, ligger det nära till hands att jämföra dessa inkomster med andra inkom</w:t>
      </w:r>
      <w:r w:rsidRPr="00F517E2">
        <w:t>s</w:t>
      </w:r>
      <w:r w:rsidRPr="00F517E2">
        <w:t>ter av arbete. De sistnämnda inverkar regelmässigt på inkomstgarantins storlek genom samordningsregle</w:t>
      </w:r>
      <w:r w:rsidRPr="00F517E2">
        <w:t>r</w:t>
      </w:r>
      <w:r w:rsidRPr="00F517E2">
        <w:t>na. I dessa fall framstår det som svårbegripligt att inkomsterna inte ska påve</w:t>
      </w:r>
      <w:r w:rsidRPr="00F517E2">
        <w:t>r</w:t>
      </w:r>
      <w:r w:rsidRPr="00F517E2">
        <w:t>ka inkomstgarantin, även om de härrör från vad som skattemässigt bedöms som passiv näringsverksamhet. Andra inkomster av passiv näringsverksa</w:t>
      </w:r>
      <w:r w:rsidRPr="00F517E2">
        <w:t>m</w:t>
      </w:r>
      <w:r w:rsidRPr="00F517E2">
        <w:t xml:space="preserve">het, exempelvis från kapitalförvaltning, bör däremot – i linje med vad som gäller inkomster av kapital – inte påverka garantins storlek. </w:t>
      </w:r>
    </w:p>
    <w:p w:rsidR="004D4953" w:rsidRPr="00F517E2" w:rsidRDefault="007A056D" w:rsidP="004D4953">
      <w:pPr>
        <w:pStyle w:val="Normaltindrag"/>
      </w:pPr>
      <w:r w:rsidRPr="00F517E2">
        <w:t>Mot bakgrund av det som sagts nu kan det konstateras att det finns starka skäl som talar för att inkomster av passiv näringsverksamhet bör kunna p</w:t>
      </w:r>
      <w:r w:rsidRPr="00F517E2">
        <w:t>å</w:t>
      </w:r>
      <w:r w:rsidRPr="00F517E2">
        <w:t>verka inkomstgarantins storlek, om det är fråga arbetsinkomster. I linje med vad som föreslagits i det föregående bör frågan lösas inom ramen för jäm</w:t>
      </w:r>
      <w:r w:rsidRPr="00F517E2">
        <w:t>k</w:t>
      </w:r>
      <w:r w:rsidRPr="00F517E2">
        <w:t>ning</w:t>
      </w:r>
      <w:r w:rsidRPr="00F517E2">
        <w:t>s</w:t>
      </w:r>
      <w:r w:rsidRPr="00F517E2">
        <w:t xml:space="preserve">reglerna. </w:t>
      </w:r>
    </w:p>
    <w:p w:rsidR="004D4953" w:rsidRPr="00F517E2" w:rsidRDefault="007A056D" w:rsidP="004D4953">
      <w:pPr>
        <w:pStyle w:val="Normaltindrag"/>
      </w:pPr>
      <w:r w:rsidRPr="00F517E2">
        <w:t xml:space="preserve">En invändning som i och för </w:t>
      </w:r>
      <w:r w:rsidR="00C61EB3" w:rsidRPr="00F517E2">
        <w:t xml:space="preserve">sig </w:t>
      </w:r>
      <w:r w:rsidRPr="00F517E2">
        <w:t>kan resas mot en sådan ordning är att det kan vara svårt att avgöra om en inkomst avser aktiv eller passiv näringsver</w:t>
      </w:r>
      <w:r w:rsidRPr="00F517E2">
        <w:t>k</w:t>
      </w:r>
      <w:r w:rsidRPr="00F517E2">
        <w:t>samhet. Denna invändning har dock inget större fog för sig. Det måste föru</w:t>
      </w:r>
      <w:r w:rsidRPr="00F517E2">
        <w:t>t</w:t>
      </w:r>
      <w:r w:rsidRPr="00F517E2">
        <w:t>sättas att den som bedriver näringsverksamhet känner till om den i skattemä</w:t>
      </w:r>
      <w:r w:rsidRPr="00F517E2">
        <w:t>s</w:t>
      </w:r>
      <w:r w:rsidRPr="00F517E2">
        <w:t xml:space="preserve">sigt hänseende bedöms som aktiv eller passiv. För garantitagaren måste det alltså rimligen stå klart om han eller hon riskerar jämkning. </w:t>
      </w:r>
    </w:p>
    <w:p w:rsidR="004D4953" w:rsidRPr="00F517E2" w:rsidRDefault="007A056D" w:rsidP="004D4953">
      <w:pPr>
        <w:pStyle w:val="Normaltindrag"/>
      </w:pPr>
      <w:r w:rsidRPr="00F517E2">
        <w:t>En annan invändning mot att det införs en möjlighet till jämkning i fall där en garantitagare har arbetsinkomster inom ramen för en passiv näringsver</w:t>
      </w:r>
      <w:r w:rsidRPr="00F517E2">
        <w:t>k</w:t>
      </w:r>
      <w:r w:rsidRPr="00F517E2">
        <w:t>samhet rör möjligh</w:t>
      </w:r>
      <w:r w:rsidRPr="00F517E2">
        <w:t>e</w:t>
      </w:r>
      <w:r w:rsidRPr="00F517E2">
        <w:t>terna att klarlägga vilka inkomster inom den passiva näring</w:t>
      </w:r>
      <w:r w:rsidRPr="00F517E2">
        <w:t>s</w:t>
      </w:r>
      <w:r w:rsidRPr="00F517E2">
        <w:t>verksamheten som utgör just arbetsinkomster. Men inte heller den frågan bör vålla några beaktansvärda svårigheter. Om förslaget om uppgift</w:t>
      </w:r>
      <w:r w:rsidRPr="00F517E2">
        <w:t>s</w:t>
      </w:r>
      <w:r w:rsidRPr="00F517E2">
        <w:t xml:space="preserve">skyldighet för Skatteverket genomförs kommer </w:t>
      </w:r>
      <w:r w:rsidR="00973205" w:rsidRPr="00F517E2">
        <w:t>a</w:t>
      </w:r>
      <w:r w:rsidR="005B46F8" w:rsidRPr="00F517E2">
        <w:t>rvodes</w:t>
      </w:r>
      <w:r w:rsidRPr="00F517E2">
        <w:t>nämnden att ha til</w:t>
      </w:r>
      <w:r w:rsidRPr="00F517E2">
        <w:t>l</w:t>
      </w:r>
      <w:r w:rsidRPr="00F517E2">
        <w:t>gång till uppgifter om vilka garantitagare som har inkomst av passiv näring</w:t>
      </w:r>
      <w:r w:rsidRPr="00F517E2">
        <w:t>s</w:t>
      </w:r>
      <w:r w:rsidRPr="00F517E2">
        <w:t>ver</w:t>
      </w:r>
      <w:r w:rsidRPr="00F517E2">
        <w:t>k</w:t>
      </w:r>
      <w:r w:rsidRPr="00F517E2">
        <w:t>samhet. Till dem får sedan frågor ställas om inkomsternas natur. Genom förslaget om uppgiftsskyldighet även för garantitagare ökar förutsät</w:t>
      </w:r>
      <w:r w:rsidRPr="00F517E2">
        <w:t>t</w:t>
      </w:r>
      <w:r w:rsidRPr="00F517E2">
        <w:t xml:space="preserve">ningarna för att nämnden får ett fullgott beslutsunderlag i dessa frågor. </w:t>
      </w:r>
    </w:p>
    <w:p w:rsidR="004D4953" w:rsidRPr="00F517E2" w:rsidRDefault="007A056D" w:rsidP="004D4953">
      <w:pPr>
        <w:pStyle w:val="Normaltindrag"/>
      </w:pPr>
      <w:r w:rsidRPr="00F517E2">
        <w:t xml:space="preserve">Slutligen kan det hävdas att en garantitagare kan ha svårt att avgöra om en inkomst kan leda </w:t>
      </w:r>
      <w:r w:rsidR="00165037" w:rsidRPr="00F517E2">
        <w:t xml:space="preserve">till </w:t>
      </w:r>
      <w:r w:rsidRPr="00F517E2">
        <w:t>jämkning och att förutsebarheten i systemet blir otil</w:t>
      </w:r>
      <w:r w:rsidRPr="00F517E2">
        <w:t>l</w:t>
      </w:r>
      <w:r w:rsidRPr="00F517E2">
        <w:t xml:space="preserve">räcklig. Här måste det dock framhållas att det också </w:t>
      </w:r>
      <w:r w:rsidR="00F00DF5" w:rsidRPr="00F517E2">
        <w:t xml:space="preserve">i </w:t>
      </w:r>
      <w:r w:rsidRPr="00F517E2">
        <w:t>dessa fall bör kr</w:t>
      </w:r>
      <w:r w:rsidRPr="00F517E2">
        <w:t>ä</w:t>
      </w:r>
      <w:r w:rsidRPr="00F517E2">
        <w:t>vas att jämkning är skäligt. Inom ramen för den skälighetsbedömnin</w:t>
      </w:r>
      <w:r w:rsidRPr="00F517E2">
        <w:t>g</w:t>
      </w:r>
      <w:r w:rsidRPr="00F517E2">
        <w:t>en bör det bl.a. kunna beaktas vilka möjligheter garantitagaren haft att avgöra om inkomstg</w:t>
      </w:r>
      <w:r w:rsidRPr="00F517E2">
        <w:t>a</w:t>
      </w:r>
      <w:r w:rsidRPr="00F517E2">
        <w:t>rantin kan komma att jämkas. Inte heller denna invändning utgör något b</w:t>
      </w:r>
      <w:r w:rsidRPr="00F517E2">
        <w:t>ä</w:t>
      </w:r>
      <w:r w:rsidRPr="00F517E2">
        <w:t xml:space="preserve">rande skäl emot den ordning som nu skisserats. </w:t>
      </w:r>
    </w:p>
    <w:p w:rsidR="007A056D" w:rsidRPr="00F517E2" w:rsidRDefault="007A056D" w:rsidP="004D4953">
      <w:pPr>
        <w:pStyle w:val="Normaltindrag"/>
      </w:pPr>
      <w:r w:rsidRPr="00F517E2">
        <w:t xml:space="preserve">Det föreslås således att inkomster från passiv näringsverksamhet ska kunna leda </w:t>
      </w:r>
      <w:r w:rsidR="00F00DF5" w:rsidRPr="00F517E2">
        <w:t xml:space="preserve">till </w:t>
      </w:r>
      <w:r w:rsidRPr="00F517E2">
        <w:t xml:space="preserve">jämkning, om det rör sig om inkomster av arbete och det är skäligt. </w:t>
      </w:r>
    </w:p>
    <w:p w:rsidR="007A056D" w:rsidRPr="00F517E2" w:rsidRDefault="007A056D" w:rsidP="00655391">
      <w:pPr>
        <w:pStyle w:val="Rubrik3"/>
        <w:rPr>
          <w:noProof w:val="0"/>
        </w:rPr>
      </w:pPr>
      <w:bookmarkStart w:id="32" w:name="_Toc277831125"/>
      <w:r w:rsidRPr="00F517E2">
        <w:rPr>
          <w:noProof w:val="0"/>
        </w:rPr>
        <w:t>Återförda avsättningar kan fordra nytt jämkningsbeslut</w:t>
      </w:r>
      <w:bookmarkEnd w:id="32"/>
    </w:p>
    <w:p w:rsidR="00655391" w:rsidRPr="00F517E2" w:rsidRDefault="00655391" w:rsidP="004D4953">
      <w:pPr>
        <w:pStyle w:val="Utskottsfrslagikorthet-Rubrik"/>
        <w:numPr>
          <w:ilvl w:val="0"/>
          <w:numId w:val="0"/>
        </w:numPr>
        <w:ind w:left="113"/>
        <w:rPr>
          <w:b w:val="0"/>
          <w:noProof w:val="0"/>
          <w:sz w:val="19"/>
          <w:szCs w:val="19"/>
        </w:rPr>
      </w:pPr>
      <w:r w:rsidRPr="00F517E2">
        <w:rPr>
          <w:noProof w:val="0"/>
          <w:sz w:val="19"/>
          <w:szCs w:val="19"/>
        </w:rPr>
        <w:t xml:space="preserve">Riksdagsstyrelsens förslag i korthet: </w:t>
      </w:r>
      <w:r w:rsidRPr="00F517E2">
        <w:rPr>
          <w:b w:val="0"/>
          <w:noProof w:val="0"/>
          <w:sz w:val="19"/>
          <w:szCs w:val="19"/>
        </w:rPr>
        <w:t>Om inkomstgaranti</w:t>
      </w:r>
      <w:r w:rsidR="009A2985" w:rsidRPr="00F517E2">
        <w:rPr>
          <w:b w:val="0"/>
          <w:noProof w:val="0"/>
          <w:sz w:val="19"/>
          <w:szCs w:val="19"/>
        </w:rPr>
        <w:t>n</w:t>
      </w:r>
      <w:r w:rsidRPr="00F517E2">
        <w:rPr>
          <w:b w:val="0"/>
          <w:noProof w:val="0"/>
          <w:sz w:val="19"/>
          <w:szCs w:val="19"/>
        </w:rPr>
        <w:t xml:space="preserve"> jämkats på den grunden att avsättning skett till periodiseringsfond, upphovsmannakonto eller expansionsfond får frågan om garantins storlek prövas på nytt, om det avsatta beloppet återförs till beskattning. En sådan prövning förutsätter ett yrkande av garantitagaren.</w:t>
      </w:r>
    </w:p>
    <w:p w:rsidR="00C30F99" w:rsidRPr="00F517E2" w:rsidRDefault="003969ED" w:rsidP="00C30F99">
      <w:r w:rsidRPr="00F517E2">
        <w:rPr>
          <w:b/>
        </w:rPr>
        <w:t>Arbetsgruppens</w:t>
      </w:r>
      <w:r w:rsidR="00C30F99" w:rsidRPr="00F517E2">
        <w:rPr>
          <w:b/>
        </w:rPr>
        <w:t xml:space="preserve"> förslag </w:t>
      </w:r>
      <w:r w:rsidR="00C30F99" w:rsidRPr="00F517E2">
        <w:t>överensstämmer med riksdagsstyrelsens fö</w:t>
      </w:r>
      <w:r w:rsidR="00C30F99" w:rsidRPr="00F517E2">
        <w:t>r</w:t>
      </w:r>
      <w:r w:rsidR="00C30F99" w:rsidRPr="00F517E2">
        <w:t xml:space="preserve">slag. </w:t>
      </w:r>
    </w:p>
    <w:p w:rsidR="00C30F99" w:rsidRPr="00F517E2" w:rsidRDefault="00C30F99" w:rsidP="00C30F99">
      <w:pPr>
        <w:rPr>
          <w:b/>
        </w:rPr>
      </w:pPr>
      <w:r w:rsidRPr="00F517E2">
        <w:rPr>
          <w:b/>
        </w:rPr>
        <w:t xml:space="preserve">Remissinstanserna: </w:t>
      </w:r>
    </w:p>
    <w:p w:rsidR="006C21FA" w:rsidRPr="00F517E2" w:rsidRDefault="006C21FA" w:rsidP="006C21FA">
      <w:r w:rsidRPr="00F517E2">
        <w:t>Skatteverket har tillstyrkt förslaget.</w:t>
      </w:r>
    </w:p>
    <w:p w:rsidR="00D1503A" w:rsidRPr="00F517E2" w:rsidRDefault="00D1503A" w:rsidP="00D1503A">
      <w:pPr>
        <w:pStyle w:val="Normaltindrag"/>
      </w:pPr>
      <w:r w:rsidRPr="00F517E2">
        <w:t>Statens pensionsverk har inga invändningar mot förslaget. Kammarrätten i Stockholm har utifrån de aspekter domstolen har att beakta inte några sy</w:t>
      </w:r>
      <w:r w:rsidRPr="00F517E2">
        <w:t>n</w:t>
      </w:r>
      <w:r w:rsidRPr="00F517E2">
        <w:t>punkter på förslaget. Riksdagens ombudsmän (JO) har från de synpunkter som JO har att beakta inga in</w:t>
      </w:r>
      <w:r w:rsidR="009A2985" w:rsidRPr="00F517E2">
        <w:t>vändningar</w:t>
      </w:r>
      <w:r w:rsidRPr="00F517E2">
        <w:t xml:space="preserve"> mot förslaget. Sveriges Komm</w:t>
      </w:r>
      <w:r w:rsidRPr="00F517E2">
        <w:t>u</w:t>
      </w:r>
      <w:r w:rsidRPr="00F517E2">
        <w:t xml:space="preserve">ner och Landsting har avstått från att lämna synpunkter. </w:t>
      </w:r>
    </w:p>
    <w:p w:rsidR="00655391" w:rsidRPr="00F517E2" w:rsidRDefault="00655391" w:rsidP="00655391">
      <w:pPr>
        <w:pStyle w:val="R4"/>
      </w:pPr>
      <w:r w:rsidRPr="00F517E2">
        <w:t>Gällande ordning</w:t>
      </w:r>
    </w:p>
    <w:p w:rsidR="00655391" w:rsidRPr="00F517E2" w:rsidRDefault="00655391" w:rsidP="00BA2B26">
      <w:pPr>
        <w:spacing w:before="0"/>
      </w:pPr>
      <w:r w:rsidRPr="00F517E2">
        <w:t xml:space="preserve">Detta är en ny regel som tillkommer </w:t>
      </w:r>
      <w:r w:rsidR="00743FD1" w:rsidRPr="00F517E2">
        <w:t>i garantitagarens intresse på grund av att nya regler om jämkning införs</w:t>
      </w:r>
      <w:r w:rsidRPr="00F517E2">
        <w:t xml:space="preserve">. </w:t>
      </w:r>
    </w:p>
    <w:p w:rsidR="00655391" w:rsidRPr="00F517E2" w:rsidRDefault="00655391" w:rsidP="00655391">
      <w:pPr>
        <w:pStyle w:val="R4"/>
      </w:pPr>
      <w:r w:rsidRPr="00F517E2">
        <w:t>Riksdagsstyrelsens ställningstagande</w:t>
      </w:r>
    </w:p>
    <w:p w:rsidR="004D4953" w:rsidRPr="00F517E2" w:rsidRDefault="007A056D" w:rsidP="00BA2B26">
      <w:pPr>
        <w:spacing w:before="0"/>
      </w:pPr>
      <w:r w:rsidRPr="00F517E2">
        <w:t xml:space="preserve">I det föregående har </w:t>
      </w:r>
      <w:r w:rsidR="005A7CE1" w:rsidRPr="00F517E2">
        <w:t xml:space="preserve">riksdagsstyrelsen </w:t>
      </w:r>
      <w:r w:rsidRPr="00F517E2">
        <w:t>föreslagit att inkomstgarantin ska ku</w:t>
      </w:r>
      <w:r w:rsidRPr="00F517E2">
        <w:t>n</w:t>
      </w:r>
      <w:r w:rsidRPr="00F517E2">
        <w:t>na jämkas om garantitagaren gjort avsättning till olika fonder. En förutsät</w:t>
      </w:r>
      <w:r w:rsidRPr="00F517E2">
        <w:t>t</w:t>
      </w:r>
      <w:r w:rsidRPr="00F517E2">
        <w:t>ning för jämkning är dock att det bedöms som skäligt i det enskilda fallet. Tanken med förslagen är att förhindra att garantin används i situationer där avsät</w:t>
      </w:r>
      <w:r w:rsidRPr="00F517E2">
        <w:t>t</w:t>
      </w:r>
      <w:r w:rsidRPr="00F517E2">
        <w:t xml:space="preserve">ningen medför att inkomstgarantin ökar samtidigt som utsikterna till att garantin minskar vid </w:t>
      </w:r>
      <w:r w:rsidR="005A7CE1" w:rsidRPr="00F517E2">
        <w:t xml:space="preserve">den </w:t>
      </w:r>
      <w:r w:rsidRPr="00F517E2">
        <w:t>kommande återföring</w:t>
      </w:r>
      <w:r w:rsidR="005A7CE1" w:rsidRPr="00F517E2">
        <w:t>en</w:t>
      </w:r>
      <w:r w:rsidRPr="00F517E2">
        <w:t xml:space="preserve"> av det avsatta beloppet fra</w:t>
      </w:r>
      <w:r w:rsidRPr="00F517E2">
        <w:t>m</w:t>
      </w:r>
      <w:r w:rsidRPr="00F517E2">
        <w:t>står som små. Det innebär att det kan uppstå situationer där avsättningen först medfört att jämkning skett men där beloppet senare ändå återförs innan garantitiden löpt ut. Återförandet medför att den pensionsgrundande inkom</w:t>
      </w:r>
      <w:r w:rsidRPr="00F517E2">
        <w:t>s</w:t>
      </w:r>
      <w:r w:rsidRPr="00F517E2">
        <w:t>ten blir högre</w:t>
      </w:r>
      <w:r w:rsidR="005A7CE1" w:rsidRPr="00F517E2">
        <w:t>,</w:t>
      </w:r>
      <w:r w:rsidRPr="00F517E2">
        <w:t xml:space="preserve"> vilket i sin tur leder till att inkomstgarantin minskar. Frågan blir då om återf</w:t>
      </w:r>
      <w:r w:rsidRPr="00F517E2">
        <w:t>ö</w:t>
      </w:r>
      <w:r w:rsidRPr="00F517E2">
        <w:t xml:space="preserve">randet bör leda </w:t>
      </w:r>
      <w:r w:rsidR="004A2C8C" w:rsidRPr="00F517E2">
        <w:t xml:space="preserve">till </w:t>
      </w:r>
      <w:r w:rsidRPr="00F517E2">
        <w:t xml:space="preserve">någon åtgärd i efterhand och hur det i så fall ska gå till. </w:t>
      </w:r>
    </w:p>
    <w:p w:rsidR="004D4953" w:rsidRPr="00F517E2" w:rsidRDefault="007A056D" w:rsidP="004D4953">
      <w:pPr>
        <w:pStyle w:val="Normaltindrag"/>
      </w:pPr>
      <w:r w:rsidRPr="00F517E2">
        <w:t>När det gäller den första frågan kan det till en början konstateras att grun</w:t>
      </w:r>
      <w:r w:rsidRPr="00F517E2">
        <w:t>d</w:t>
      </w:r>
      <w:r w:rsidRPr="00F517E2">
        <w:t>tanken med jäm</w:t>
      </w:r>
      <w:r w:rsidRPr="00F517E2">
        <w:t>k</w:t>
      </w:r>
      <w:r w:rsidRPr="00F517E2">
        <w:t>ningsreglerna är att garantitagaren inte ska kunna använda systemet med inkomstgaranti på ett icke avsett sätt. I de fall där en avsättning till exempe</w:t>
      </w:r>
      <w:r w:rsidRPr="00F517E2">
        <w:t>l</w:t>
      </w:r>
      <w:r w:rsidRPr="00F517E2">
        <w:t>vis periodiseringsfond återförs till beskattning innan garantitiden löpt ut kan det inte sägas vara fråga om ett utnyttjande av regelverket. Jäm</w:t>
      </w:r>
      <w:r w:rsidRPr="00F517E2">
        <w:t>k</w:t>
      </w:r>
      <w:r w:rsidRPr="00F517E2">
        <w:t>ningsfrågan kommer dock i många fall att prövas innan tiden löpt ut för att återföra det avsatta beloppet till beskattning. Om jämkning då skett kan det alltså uppkomma fall där situationen ur den enskild</w:t>
      </w:r>
      <w:r w:rsidR="000C31DB" w:rsidRPr="00F517E2">
        <w:t>a</w:t>
      </w:r>
      <w:r w:rsidRPr="00F517E2">
        <w:t xml:space="preserve"> garantitagarens perspe</w:t>
      </w:r>
      <w:r w:rsidRPr="00F517E2">
        <w:t>k</w:t>
      </w:r>
      <w:r w:rsidRPr="00F517E2">
        <w:t xml:space="preserve">tiv kan upplevas som orättmätig. I ett sådant fall har ju garantitagaren inte fått ut en högre inkomstgaranti totalt sett jämfört med vad han </w:t>
      </w:r>
      <w:r w:rsidR="000C31DB" w:rsidRPr="00F517E2">
        <w:t xml:space="preserve">eller hon </w:t>
      </w:r>
      <w:r w:rsidRPr="00F517E2">
        <w:t>skulle ha fått utan a</w:t>
      </w:r>
      <w:r w:rsidRPr="00F517E2">
        <w:t>v</w:t>
      </w:r>
      <w:r w:rsidRPr="00F517E2">
        <w:t>sättningen. Om garantin då jämkats i det tidigare skedet framstår det alltså som rimligt att återförandet av avdraget tillåts inverka på inkoms</w:t>
      </w:r>
      <w:r w:rsidRPr="00F517E2">
        <w:t>t</w:t>
      </w:r>
      <w:r w:rsidRPr="00F517E2">
        <w:t>gara</w:t>
      </w:r>
      <w:r w:rsidRPr="00F517E2">
        <w:t>n</w:t>
      </w:r>
      <w:r w:rsidRPr="00F517E2">
        <w:t xml:space="preserve">tin. Någon egentlig nackdel med en sådan ordning kan inte förutses. </w:t>
      </w:r>
    </w:p>
    <w:p w:rsidR="004D4953" w:rsidRPr="00F517E2" w:rsidRDefault="007A056D" w:rsidP="004D4953">
      <w:pPr>
        <w:pStyle w:val="Normaltindrag"/>
      </w:pPr>
      <w:r w:rsidRPr="00F517E2">
        <w:t>Nästa fråga blir då hur återförandet ska beaktas. En lösning skulle kunna vara att Statens pensionsverk i samband med den löpande handläggningen av frågan om hur stor inkomstgaranti som ska betalas ut beaktar den tidigare jämkningen och betalar ut ett högre belopp som kompensation för det jämk</w:t>
      </w:r>
      <w:r w:rsidRPr="00F517E2">
        <w:t>a</w:t>
      </w:r>
      <w:r w:rsidRPr="00F517E2">
        <w:t xml:space="preserve">de beloppet. Det är emellertid inte givet att hela det jämkade beloppet ska betalas ut. Det kan ju exempelvis vara så att garantitagaren väljer att ta upp ett mindre belopp än det ursprungliga avdragsbeloppet. Vilket utrymme som skattereglerna lämnar för det varierar. Den som exempelvis under ett visst år avsatt ett stort belopp kan välja att återföra mindre delar av det under en följd av år. I en sådan situation är det inte självklart vilket belopp som ska </w:t>
      </w:r>
      <w:r w:rsidR="00C70A89" w:rsidRPr="00F517E2">
        <w:t xml:space="preserve">betalas ut </w:t>
      </w:r>
      <w:r w:rsidRPr="00F517E2">
        <w:t>i kompensation för jämkningen. Att beakta återförandet inom ramen för handläggningen av ärendet om utbetalning framstår alltså inte som ett läm</w:t>
      </w:r>
      <w:r w:rsidRPr="00F517E2">
        <w:t>p</w:t>
      </w:r>
      <w:r w:rsidRPr="00F517E2">
        <w:t>ligt altern</w:t>
      </w:r>
      <w:r w:rsidRPr="00F517E2">
        <w:t>a</w:t>
      </w:r>
      <w:r w:rsidRPr="00F517E2">
        <w:t xml:space="preserve">tiv. </w:t>
      </w:r>
    </w:p>
    <w:p w:rsidR="007A056D" w:rsidRPr="00F517E2" w:rsidRDefault="007A056D" w:rsidP="004D4953">
      <w:pPr>
        <w:pStyle w:val="Normaltindrag"/>
      </w:pPr>
      <w:r w:rsidRPr="00F517E2">
        <w:t xml:space="preserve">En annan metod för att beakta återförandet skulle kunna vara att låta </w:t>
      </w:r>
      <w:r w:rsidR="00E510B6" w:rsidRPr="00F517E2">
        <w:t>a</w:t>
      </w:r>
      <w:r w:rsidRPr="00F517E2">
        <w:t>r</w:t>
      </w:r>
      <w:r w:rsidRPr="00F517E2">
        <w:t>vodesnämnden pröva frågan om inkomstgarantins storlek. En sådan lö</w:t>
      </w:r>
      <w:r w:rsidRPr="00F517E2">
        <w:t>s</w:t>
      </w:r>
      <w:r w:rsidRPr="00F517E2">
        <w:t>ning ligger också väl i linje med den nuvarande ordningen att nämnden kan pröva frågan om rätten till inkomstgaranti i fall där jämkning skett och nya förhå</w:t>
      </w:r>
      <w:r w:rsidRPr="00F517E2">
        <w:t>l</w:t>
      </w:r>
      <w:r w:rsidRPr="00F517E2">
        <w:t>landen inträtt, se 13 kap. 27 § ersättningslagen. Det skulle i och för sig kunna hävdas att den bestämmelsen redan med dess nuvarande utformning ger en möjlighet att ta upp frågan om hur garantin ska påverkas. Samtidigt anger bestämmelsens ordalydelse att garantitagaren på nytt kan ansöka om i</w:t>
      </w:r>
      <w:r w:rsidRPr="00F517E2">
        <w:t>n</w:t>
      </w:r>
      <w:r w:rsidRPr="00F517E2">
        <w:t>komstgaranti. Det framstår mot den bakgrunden inte som självklart att den befintliga bestämmelsen fångar upp det behov som nu beskrivits. Av tydli</w:t>
      </w:r>
      <w:r w:rsidRPr="00F517E2">
        <w:t>g</w:t>
      </w:r>
      <w:r w:rsidRPr="00F517E2">
        <w:t>hetsskäl bör det därför införas en särskild bestämmelse av innebörd</w:t>
      </w:r>
      <w:r w:rsidR="00C70A89" w:rsidRPr="00F517E2">
        <w:t>en</w:t>
      </w:r>
      <w:r w:rsidRPr="00F517E2">
        <w:t xml:space="preserve"> att nämnden ska pröva frågan om garantins storlek, om den pensionsgrundande inkomsten ökats på grund av att ett avdrag för avsättning till periodisering</w:t>
      </w:r>
      <w:r w:rsidRPr="00F517E2">
        <w:t>s</w:t>
      </w:r>
      <w:r w:rsidRPr="00F517E2">
        <w:t>fond m.m. återförts till beskattning. En sådan prövning bör förutsätta ett y</w:t>
      </w:r>
      <w:r w:rsidRPr="00F517E2">
        <w:t>r</w:t>
      </w:r>
      <w:r w:rsidRPr="00F517E2">
        <w:t xml:space="preserve">kande från garantitagaren. </w:t>
      </w:r>
    </w:p>
    <w:p w:rsidR="007A056D" w:rsidRPr="00F517E2" w:rsidRDefault="007A056D" w:rsidP="00010A1D">
      <w:pPr>
        <w:pStyle w:val="Rubrik3"/>
        <w:rPr>
          <w:noProof w:val="0"/>
        </w:rPr>
      </w:pPr>
      <w:bookmarkStart w:id="33" w:name="_Toc277831126"/>
      <w:r w:rsidRPr="00F517E2">
        <w:rPr>
          <w:noProof w:val="0"/>
        </w:rPr>
        <w:t>Förtydligande av samordningsreglerna</w:t>
      </w:r>
      <w:bookmarkEnd w:id="33"/>
    </w:p>
    <w:p w:rsidR="00010A1D" w:rsidRPr="00F517E2" w:rsidRDefault="00010A1D" w:rsidP="00010A1D">
      <w:pPr>
        <w:pStyle w:val="Utskottsfrslagikorthet-Text"/>
        <w:rPr>
          <w:sz w:val="19"/>
          <w:szCs w:val="19"/>
        </w:rPr>
      </w:pPr>
      <w:r w:rsidRPr="00F517E2">
        <w:rPr>
          <w:b/>
          <w:sz w:val="19"/>
          <w:szCs w:val="19"/>
        </w:rPr>
        <w:t xml:space="preserve">Riksdagsstyrelsens förslag: </w:t>
      </w:r>
      <w:r w:rsidRPr="00F517E2">
        <w:rPr>
          <w:sz w:val="19"/>
          <w:szCs w:val="19"/>
        </w:rPr>
        <w:t>Vid beräkningen av det belopp som inkoms</w:t>
      </w:r>
      <w:r w:rsidRPr="00F517E2">
        <w:rPr>
          <w:sz w:val="19"/>
          <w:szCs w:val="19"/>
        </w:rPr>
        <w:t>t</w:t>
      </w:r>
      <w:r w:rsidRPr="00F517E2">
        <w:rPr>
          <w:sz w:val="19"/>
          <w:szCs w:val="19"/>
        </w:rPr>
        <w:t>garantin ska minskas med ska hänsyn även tas till inkomster som överst</w:t>
      </w:r>
      <w:r w:rsidRPr="00F517E2">
        <w:rPr>
          <w:sz w:val="19"/>
          <w:szCs w:val="19"/>
        </w:rPr>
        <w:t>i</w:t>
      </w:r>
      <w:r w:rsidRPr="00F517E2">
        <w:rPr>
          <w:sz w:val="19"/>
          <w:szCs w:val="19"/>
        </w:rPr>
        <w:t xml:space="preserve">ger 7,5 inkomstbasbelopp. </w:t>
      </w:r>
      <w:r w:rsidR="002A3C9B" w:rsidRPr="00F517E2">
        <w:rPr>
          <w:sz w:val="19"/>
          <w:szCs w:val="19"/>
        </w:rPr>
        <w:t xml:space="preserve">Det bör klargöras vilken art av inkomster </w:t>
      </w:r>
      <w:r w:rsidR="00C70A89" w:rsidRPr="00F517E2">
        <w:rPr>
          <w:sz w:val="19"/>
          <w:szCs w:val="19"/>
        </w:rPr>
        <w:t>s</w:t>
      </w:r>
      <w:r w:rsidR="002A3C9B" w:rsidRPr="00F517E2">
        <w:rPr>
          <w:sz w:val="19"/>
          <w:szCs w:val="19"/>
        </w:rPr>
        <w:t>om ska beaktas</w:t>
      </w:r>
      <w:r w:rsidR="00C70A89" w:rsidRPr="00F517E2">
        <w:rPr>
          <w:sz w:val="19"/>
          <w:szCs w:val="19"/>
        </w:rPr>
        <w:t>.</w:t>
      </w:r>
      <w:r w:rsidR="002A3C9B" w:rsidRPr="00F517E2">
        <w:rPr>
          <w:sz w:val="19"/>
          <w:szCs w:val="19"/>
        </w:rPr>
        <w:t xml:space="preserve"> </w:t>
      </w:r>
    </w:p>
    <w:p w:rsidR="00C30F99" w:rsidRPr="00F517E2" w:rsidRDefault="003969ED" w:rsidP="00C30F99">
      <w:r w:rsidRPr="00F517E2">
        <w:rPr>
          <w:b/>
        </w:rPr>
        <w:t>Arbetsgruppens</w:t>
      </w:r>
      <w:r w:rsidR="00C30F99" w:rsidRPr="00F517E2">
        <w:rPr>
          <w:b/>
        </w:rPr>
        <w:t xml:space="preserve"> förslag </w:t>
      </w:r>
      <w:r w:rsidR="00012FBB" w:rsidRPr="00F517E2">
        <w:t xml:space="preserve">bör förtydligas på det sätt som anges nedan. </w:t>
      </w:r>
    </w:p>
    <w:p w:rsidR="00C30F99" w:rsidRPr="00F517E2" w:rsidRDefault="00C30F99" w:rsidP="00C30F99">
      <w:pPr>
        <w:rPr>
          <w:b/>
        </w:rPr>
      </w:pPr>
      <w:r w:rsidRPr="00F517E2">
        <w:rPr>
          <w:b/>
        </w:rPr>
        <w:t xml:space="preserve">Remissinstanserna: </w:t>
      </w:r>
    </w:p>
    <w:p w:rsidR="00964DD5" w:rsidRPr="00F517E2" w:rsidRDefault="00964DD5" w:rsidP="00C30F99">
      <w:r w:rsidRPr="00F517E2">
        <w:t xml:space="preserve">Skatteverket har tillstyrkt förslaget. </w:t>
      </w:r>
    </w:p>
    <w:p w:rsidR="00C30F99" w:rsidRPr="00F517E2" w:rsidRDefault="002A3C9B" w:rsidP="00964DD5">
      <w:pPr>
        <w:pStyle w:val="Normaltindrag"/>
      </w:pPr>
      <w:r w:rsidRPr="00F517E2">
        <w:t xml:space="preserve">Statens pensionsverk har ifrågasatt om den </w:t>
      </w:r>
      <w:r w:rsidR="005C74F2" w:rsidRPr="00F517E2">
        <w:t>ändring som a</w:t>
      </w:r>
      <w:r w:rsidRPr="00F517E2">
        <w:t>r</w:t>
      </w:r>
      <w:r w:rsidR="00012FBB" w:rsidRPr="00F517E2">
        <w:t>betsgruppen</w:t>
      </w:r>
      <w:r w:rsidRPr="00F517E2">
        <w:t xml:space="preserve"> f</w:t>
      </w:r>
      <w:r w:rsidRPr="00F517E2">
        <w:t>ö</w:t>
      </w:r>
      <w:r w:rsidRPr="00F517E2">
        <w:t>reslag</w:t>
      </w:r>
      <w:r w:rsidR="005C74F2" w:rsidRPr="00F517E2">
        <w:t>it</w:t>
      </w:r>
      <w:r w:rsidRPr="00F517E2">
        <w:t xml:space="preserve"> i 13 kap. 13 § ersättningslagen verkligen leder till en tydligare r</w:t>
      </w:r>
      <w:r w:rsidRPr="00F517E2">
        <w:t>e</w:t>
      </w:r>
      <w:r w:rsidRPr="00F517E2">
        <w:t xml:space="preserve">glering av vilka inkomster som ska påverka inkomstgarantin. Genom att en specifik bestämmelse i andra kapitlet i </w:t>
      </w:r>
      <w:r w:rsidR="00D168D2" w:rsidRPr="00F517E2">
        <w:t>inkomstskattelagen</w:t>
      </w:r>
      <w:r w:rsidR="00B20420" w:rsidRPr="00F517E2">
        <w:t xml:space="preserve"> undantas på det sätt som föreslås, ligger det nära till hands att anta att övriga delar i kapi</w:t>
      </w:r>
      <w:r w:rsidR="00B20420" w:rsidRPr="00F517E2">
        <w:t>t</w:t>
      </w:r>
      <w:r w:rsidR="00B20420" w:rsidRPr="00F517E2">
        <w:t>let är tillämpliga. Detta skulle innebära att garantitagaren kan använda avdragsmö</w:t>
      </w:r>
      <w:r w:rsidR="00B20420" w:rsidRPr="00F517E2">
        <w:t>j</w:t>
      </w:r>
      <w:r w:rsidR="00B20420" w:rsidRPr="00F517E2">
        <w:t>ligheterna i kapitlet och därmed dra av exemp</w:t>
      </w:r>
      <w:r w:rsidR="00AE4ADC" w:rsidRPr="00F517E2">
        <w:t>e</w:t>
      </w:r>
      <w:r w:rsidR="00B20420" w:rsidRPr="00F517E2">
        <w:t>lvis rese- och bosättningskos</w:t>
      </w:r>
      <w:r w:rsidR="00B20420" w:rsidRPr="00F517E2">
        <w:t>t</w:t>
      </w:r>
      <w:r w:rsidR="00B20420" w:rsidRPr="00F517E2">
        <w:t>nader från den inkomst som ska samordnas. Enligt Statens pe</w:t>
      </w:r>
      <w:r w:rsidR="00B20420" w:rsidRPr="00F517E2">
        <w:t>n</w:t>
      </w:r>
      <w:r w:rsidR="00B20420" w:rsidRPr="00F517E2">
        <w:t>sionsverks uppfat</w:t>
      </w:r>
      <w:r w:rsidR="00B20420" w:rsidRPr="00F517E2">
        <w:t>t</w:t>
      </w:r>
      <w:r w:rsidR="00B20420" w:rsidRPr="00F517E2">
        <w:t>ning är syftet med hänvisningen till 2 kap</w:t>
      </w:r>
      <w:r w:rsidR="00D210E6" w:rsidRPr="00F517E2">
        <w:t xml:space="preserve">. </w:t>
      </w:r>
      <w:r w:rsidR="00B20420" w:rsidRPr="00F517E2">
        <w:t xml:space="preserve">IL endast att peka ut vilken art av inkomster som ska beaktas vid samordningen, inte att inkomsterna ska beräknas som en pensionsgrundande inkomst. Den </w:t>
      </w:r>
      <w:r w:rsidR="005C74F2" w:rsidRPr="00F517E2">
        <w:t>formulering som</w:t>
      </w:r>
      <w:r w:rsidR="00B20420" w:rsidRPr="00F517E2">
        <w:t xml:space="preserve"> </w:t>
      </w:r>
      <w:r w:rsidR="00B45A41" w:rsidRPr="00F517E2">
        <w:t>arbet</w:t>
      </w:r>
      <w:r w:rsidR="00B45A41" w:rsidRPr="00F517E2">
        <w:t>s</w:t>
      </w:r>
      <w:r w:rsidR="00B45A41" w:rsidRPr="00F517E2">
        <w:t>gruppen</w:t>
      </w:r>
      <w:r w:rsidR="00B20420" w:rsidRPr="00F517E2">
        <w:t xml:space="preserve"> föreslag</w:t>
      </w:r>
      <w:r w:rsidR="005C74F2" w:rsidRPr="00F517E2">
        <w:t>it</w:t>
      </w:r>
      <w:r w:rsidR="00B20420" w:rsidRPr="00F517E2">
        <w:t xml:space="preserve"> är därför missledande.</w:t>
      </w:r>
    </w:p>
    <w:p w:rsidR="00D1503A" w:rsidRPr="00F517E2" w:rsidRDefault="00D1503A" w:rsidP="00D1503A">
      <w:pPr>
        <w:pStyle w:val="Normaltindrag"/>
      </w:pPr>
      <w:r w:rsidRPr="00F517E2">
        <w:t>Kammarrätten i Stockholm har utifrån de aspekter domstolen har att bea</w:t>
      </w:r>
      <w:r w:rsidRPr="00F517E2">
        <w:t>k</w:t>
      </w:r>
      <w:r w:rsidRPr="00F517E2">
        <w:t>ta inte några sy</w:t>
      </w:r>
      <w:r w:rsidRPr="00F517E2">
        <w:t>n</w:t>
      </w:r>
      <w:r w:rsidRPr="00F517E2">
        <w:t>punkter på förslaget. Riksdagens ombudsmän (JO) har från de synpunkter som JO har att beakta inga in</w:t>
      </w:r>
      <w:r w:rsidR="00A03EBE" w:rsidRPr="00F517E2">
        <w:t>vändningar</w:t>
      </w:r>
      <w:r w:rsidRPr="00F517E2">
        <w:t xml:space="preserve"> mot förslaget. Sver</w:t>
      </w:r>
      <w:r w:rsidRPr="00F517E2">
        <w:t>i</w:t>
      </w:r>
      <w:r w:rsidRPr="00F517E2">
        <w:t>ges Komm</w:t>
      </w:r>
      <w:r w:rsidRPr="00F517E2">
        <w:t>u</w:t>
      </w:r>
      <w:r w:rsidRPr="00F517E2">
        <w:t xml:space="preserve">ner och Landsting har avstått från att lämna synpunkter. </w:t>
      </w:r>
    </w:p>
    <w:p w:rsidR="00010A1D" w:rsidRPr="00F517E2" w:rsidRDefault="00130401" w:rsidP="00010A1D">
      <w:pPr>
        <w:pStyle w:val="R4"/>
      </w:pPr>
      <w:r w:rsidRPr="00F517E2">
        <w:t>Gällande ordning</w:t>
      </w:r>
    </w:p>
    <w:p w:rsidR="00010A1D" w:rsidRPr="00F517E2" w:rsidRDefault="00010A1D" w:rsidP="00BA2B26">
      <w:pPr>
        <w:spacing w:before="0"/>
      </w:pPr>
      <w:r w:rsidRPr="00F517E2">
        <w:t xml:space="preserve">I 13 kap. ersättningslagen finns bestämmelser om vilka inkomster som ska </w:t>
      </w:r>
      <w:r w:rsidR="00AB23AF" w:rsidRPr="00F517E2">
        <w:t>med</w:t>
      </w:r>
      <w:r w:rsidRPr="00F517E2">
        <w:t>för</w:t>
      </w:r>
      <w:r w:rsidR="00AB23AF" w:rsidRPr="00F517E2">
        <w:t>a</w:t>
      </w:r>
      <w:r w:rsidRPr="00F517E2">
        <w:t xml:space="preserve"> att inkomstgarantin minskas. Reglerna anger bl.a. att garantin ska minskas med inkomst</w:t>
      </w:r>
      <w:r w:rsidR="00AB23AF" w:rsidRPr="00F517E2">
        <w:t>er</w:t>
      </w:r>
      <w:r w:rsidRPr="00F517E2">
        <w:t xml:space="preserve"> som är pensionsgrundande enligt 2 kap. lagen (1998:674) om inkomstgrundad ålderspension. Av 2 kap. 1 § sistnämnda lag framgår bl.a. att man vid beräkning av en försäkrads pensionsgrundande inkomst ska bortse från inkomster av anställning och inkomster av annat förvärvsarbete till den del summan av dessa överstiger sju och ett halvt gån</w:t>
      </w:r>
      <w:r w:rsidRPr="00F517E2">
        <w:t>g</w:t>
      </w:r>
      <w:r w:rsidRPr="00F517E2">
        <w:t>er det för intjänandeåret gällande inkomstbasbeloppet (</w:t>
      </w:r>
      <w:r w:rsidR="00FA1EC2" w:rsidRPr="00F517E2">
        <w:t xml:space="preserve">förkortat </w:t>
      </w:r>
      <w:r w:rsidRPr="00F517E2">
        <w:t>IBB). Sådana belopp som det ska bortses ifrån ska i första hand räknas av från den försä</w:t>
      </w:r>
      <w:r w:rsidRPr="00F517E2">
        <w:t>k</w:t>
      </w:r>
      <w:r w:rsidRPr="00F517E2">
        <w:t>rades inkomster av annat förvärvsarbete. IBB för 20</w:t>
      </w:r>
      <w:r w:rsidR="00FA1EC2" w:rsidRPr="00F517E2">
        <w:t>1</w:t>
      </w:r>
      <w:r w:rsidRPr="00F517E2">
        <w:t>0 uppgår till 5</w:t>
      </w:r>
      <w:r w:rsidR="00FA1EC2" w:rsidRPr="00F517E2">
        <w:t>1</w:t>
      </w:r>
      <w:r w:rsidRPr="00F517E2">
        <w:t> </w:t>
      </w:r>
      <w:r w:rsidR="00FA1EC2" w:rsidRPr="00F517E2">
        <w:t>1</w:t>
      </w:r>
      <w:r w:rsidRPr="00F517E2">
        <w:t>00 kr</w:t>
      </w:r>
      <w:r w:rsidR="00C503D7" w:rsidRPr="00F517E2">
        <w:t>,</w:t>
      </w:r>
      <w:r w:rsidRPr="00F517E2">
        <w:t xml:space="preserve"> och 7,5 IBB blir således 38</w:t>
      </w:r>
      <w:r w:rsidR="00FA1EC2" w:rsidRPr="00F517E2">
        <w:t>3</w:t>
      </w:r>
      <w:r w:rsidRPr="00F517E2">
        <w:t> </w:t>
      </w:r>
      <w:r w:rsidR="00FA1EC2" w:rsidRPr="00F517E2">
        <w:t>2</w:t>
      </w:r>
      <w:r w:rsidRPr="00F517E2">
        <w:t>50 kr för detta år. Inkomstgarantin i sig är pension</w:t>
      </w:r>
      <w:r w:rsidRPr="00F517E2">
        <w:t>s</w:t>
      </w:r>
      <w:r w:rsidRPr="00F517E2">
        <w:t>grundande</w:t>
      </w:r>
      <w:r w:rsidR="00C503D7" w:rsidRPr="00F517E2">
        <w:t>,</w:t>
      </w:r>
      <w:r w:rsidRPr="00F517E2">
        <w:t xml:space="preserve"> och den redovisas under inkomst av tjänst. </w:t>
      </w:r>
    </w:p>
    <w:p w:rsidR="00010A1D" w:rsidRPr="00F517E2" w:rsidRDefault="00EE319A" w:rsidP="00010A1D">
      <w:pPr>
        <w:pStyle w:val="R4"/>
      </w:pPr>
      <w:r w:rsidRPr="00F517E2">
        <w:t>Riksdagss</w:t>
      </w:r>
      <w:r w:rsidR="00010A1D" w:rsidRPr="00F517E2">
        <w:t>tyrelsens ställningstagande</w:t>
      </w:r>
    </w:p>
    <w:p w:rsidR="00BA2B26" w:rsidRPr="00F517E2" w:rsidRDefault="007A056D" w:rsidP="00BA2B26">
      <w:pPr>
        <w:spacing w:before="0"/>
      </w:pPr>
      <w:r w:rsidRPr="00F517E2">
        <w:t>Bestämmelserna om hur inkomstgarantin ska minskas skulle kunna tolkas på följande sätt. Om exempelvis garantitagaren har arbetsinkomster som uppgår till minst 38</w:t>
      </w:r>
      <w:r w:rsidR="00EE319A" w:rsidRPr="00F517E2">
        <w:t>3</w:t>
      </w:r>
      <w:r w:rsidRPr="00F517E2">
        <w:t> </w:t>
      </w:r>
      <w:r w:rsidR="00EE319A" w:rsidRPr="00F517E2">
        <w:t>250</w:t>
      </w:r>
      <w:r w:rsidRPr="00F517E2">
        <w:t xml:space="preserve"> kr kommer inkomst av aktiv näringsverksamhet inte att vara pensionsgrundande eftersom man enligt </w:t>
      </w:r>
      <w:r w:rsidR="00630F3D" w:rsidRPr="00F517E2">
        <w:t xml:space="preserve">den </w:t>
      </w:r>
      <w:r w:rsidRPr="00F517E2">
        <w:t>ovan nämnda regel</w:t>
      </w:r>
      <w:r w:rsidR="00630F3D" w:rsidRPr="00F517E2">
        <w:t>n</w:t>
      </w:r>
      <w:r w:rsidRPr="00F517E2">
        <w:t xml:space="preserve"> ska bor</w:t>
      </w:r>
      <w:r w:rsidRPr="00F517E2">
        <w:t>t</w:t>
      </w:r>
      <w:r w:rsidRPr="00F517E2">
        <w:t>se från inkomster överstigande 7,5 IBB. Därmed ska dessa inkomster inte reducera inkomstgarantin. Att tolka bestämmelsen på detta sätt strider give</w:t>
      </w:r>
      <w:r w:rsidRPr="00F517E2">
        <w:t>t</w:t>
      </w:r>
      <w:r w:rsidRPr="00F517E2">
        <w:t>vis mot syftet med regelsystemet. Bestämmelsen t</w:t>
      </w:r>
      <w:r w:rsidR="001F0B5E" w:rsidRPr="00F517E2">
        <w:t xml:space="preserve">illämpas </w:t>
      </w:r>
      <w:r w:rsidRPr="00F517E2">
        <w:t xml:space="preserve">i praktiken inte heller på det sättet. </w:t>
      </w:r>
    </w:p>
    <w:p w:rsidR="007A056D" w:rsidRPr="00F517E2" w:rsidRDefault="007A056D" w:rsidP="00BA2B26">
      <w:pPr>
        <w:pStyle w:val="Normaltindrag"/>
      </w:pPr>
      <w:r w:rsidRPr="00F517E2">
        <w:t>Mot den nu angivna bakgrunden föresl</w:t>
      </w:r>
      <w:r w:rsidR="00630F3D" w:rsidRPr="00F517E2">
        <w:t>år</w:t>
      </w:r>
      <w:r w:rsidRPr="00F517E2">
        <w:t xml:space="preserve"> </w:t>
      </w:r>
      <w:r w:rsidR="00630F3D" w:rsidRPr="00F517E2">
        <w:t xml:space="preserve">riksdagsstyrelsen </w:t>
      </w:r>
      <w:r w:rsidRPr="00F517E2">
        <w:t>att bestämme</w:t>
      </w:r>
      <w:r w:rsidRPr="00F517E2">
        <w:t>l</w:t>
      </w:r>
      <w:r w:rsidRPr="00F517E2">
        <w:t xml:space="preserve">sen i 13 kap. 13 § ersättningslagen förtydligas så att också inkomster över sju och ett halvt </w:t>
      </w:r>
      <w:r w:rsidR="001F0B5E" w:rsidRPr="00F517E2">
        <w:t>i</w:t>
      </w:r>
      <w:r w:rsidR="001F0B5E" w:rsidRPr="00F517E2">
        <w:t>n</w:t>
      </w:r>
      <w:r w:rsidR="001F0B5E" w:rsidRPr="00F517E2">
        <w:t>komst</w:t>
      </w:r>
      <w:r w:rsidRPr="00F517E2">
        <w:t xml:space="preserve">basbelopp ska påverka inkomstgarantin. </w:t>
      </w:r>
    </w:p>
    <w:p w:rsidR="00626475" w:rsidRPr="00F517E2" w:rsidRDefault="00626475" w:rsidP="00626475">
      <w:pPr>
        <w:pStyle w:val="Normaltindrag"/>
      </w:pPr>
      <w:r w:rsidRPr="00F517E2">
        <w:t xml:space="preserve">Arvodesnämnden har yttrat sig över Statens pensionsverks remissvar och </w:t>
      </w:r>
      <w:r w:rsidR="00630F3D" w:rsidRPr="00F517E2">
        <w:t xml:space="preserve">i det sammanhanget </w:t>
      </w:r>
      <w:r w:rsidR="00BB2316" w:rsidRPr="00F517E2">
        <w:t xml:space="preserve">framfört </w:t>
      </w:r>
      <w:r w:rsidRPr="00F517E2">
        <w:t xml:space="preserve">att i linje med vad verket anför </w:t>
      </w:r>
      <w:r w:rsidR="00BB2316" w:rsidRPr="00F517E2">
        <w:t>bör bestämme</w:t>
      </w:r>
      <w:r w:rsidR="00BB2316" w:rsidRPr="00F517E2">
        <w:t>l</w:t>
      </w:r>
      <w:r w:rsidR="00BB2316" w:rsidRPr="00F517E2">
        <w:t xml:space="preserve">sen utformas så att den fokuserar på vilken art av inkomster som ska beaktas. Enligt </w:t>
      </w:r>
      <w:r w:rsidR="005060C8" w:rsidRPr="00F517E2">
        <w:t>a</w:t>
      </w:r>
      <w:r w:rsidR="00BB2316" w:rsidRPr="00F517E2">
        <w:t xml:space="preserve">rvodesnämndens mening skulle ett alternativ till den </w:t>
      </w:r>
      <w:r w:rsidR="00630F3D" w:rsidRPr="00F517E2">
        <w:t xml:space="preserve">ändring som </w:t>
      </w:r>
      <w:r w:rsidR="005060C8" w:rsidRPr="00F517E2">
        <w:t>a</w:t>
      </w:r>
      <w:r w:rsidR="00BB2316" w:rsidRPr="00F517E2">
        <w:t>rvodesnämnden ursprungligen föresl</w:t>
      </w:r>
      <w:r w:rsidR="00630F3D" w:rsidRPr="00F517E2">
        <w:t>og</w:t>
      </w:r>
      <w:r w:rsidR="00BB2316" w:rsidRPr="00F517E2">
        <w:t xml:space="preserve"> kunna vara att den första pun</w:t>
      </w:r>
      <w:r w:rsidR="00BB2316" w:rsidRPr="00F517E2">
        <w:t>k</w:t>
      </w:r>
      <w:r w:rsidR="00BB2316" w:rsidRPr="00F517E2">
        <w:t>ten i den nämnda lagbestämmelsen ges en ny lydelse som gör att regeln får det avsedda innehållet, nämligen att inkomster som är pension</w:t>
      </w:r>
      <w:r w:rsidR="00BB2316" w:rsidRPr="00F517E2">
        <w:t>s</w:t>
      </w:r>
      <w:r w:rsidR="00BB2316" w:rsidRPr="00F517E2">
        <w:t>grundande medför reduktion vare sig de ligger under eller över det s.k. taket</w:t>
      </w:r>
      <w:r w:rsidR="001A290A" w:rsidRPr="00F517E2">
        <w:t xml:space="preserve"> om 7,5 IBB</w:t>
      </w:r>
      <w:r w:rsidR="00BB2316" w:rsidRPr="00F517E2">
        <w:t>. Rik</w:t>
      </w:r>
      <w:r w:rsidR="00BB2316" w:rsidRPr="00F517E2">
        <w:t>s</w:t>
      </w:r>
      <w:r w:rsidR="00BB2316" w:rsidRPr="00F517E2">
        <w:t xml:space="preserve">dagsstyrelsen ansluter sig till </w:t>
      </w:r>
      <w:r w:rsidR="005060C8" w:rsidRPr="00F517E2">
        <w:t>a</w:t>
      </w:r>
      <w:r w:rsidR="00BB2316" w:rsidRPr="00F517E2">
        <w:t>rvodesnämndens förslag i detta hänsee</w:t>
      </w:r>
      <w:r w:rsidR="00BB2316" w:rsidRPr="00F517E2">
        <w:t>n</w:t>
      </w:r>
      <w:r w:rsidR="00BB2316" w:rsidRPr="00F517E2">
        <w:t>de.</w:t>
      </w:r>
    </w:p>
    <w:p w:rsidR="007A056D" w:rsidRPr="00F517E2" w:rsidRDefault="007A056D" w:rsidP="00010A1D">
      <w:pPr>
        <w:pStyle w:val="Rubrik3"/>
        <w:rPr>
          <w:noProof w:val="0"/>
        </w:rPr>
      </w:pPr>
      <w:bookmarkStart w:id="34" w:name="_Toc277831127"/>
      <w:r w:rsidRPr="00F517E2">
        <w:rPr>
          <w:noProof w:val="0"/>
        </w:rPr>
        <w:t>Uppgiftsskyldighet för garantitagare</w:t>
      </w:r>
      <w:bookmarkEnd w:id="34"/>
      <w:r w:rsidRPr="00F517E2">
        <w:rPr>
          <w:noProof w:val="0"/>
        </w:rPr>
        <w:t xml:space="preserve"> </w:t>
      </w:r>
    </w:p>
    <w:p w:rsidR="00010A1D" w:rsidRPr="00F517E2" w:rsidRDefault="00010A1D" w:rsidP="00010A1D">
      <w:pPr>
        <w:pStyle w:val="Utskottsfrslagikorthet-Rubrik"/>
        <w:numPr>
          <w:ilvl w:val="0"/>
          <w:numId w:val="0"/>
        </w:numPr>
        <w:ind w:left="113"/>
        <w:rPr>
          <w:b w:val="0"/>
          <w:noProof w:val="0"/>
          <w:sz w:val="19"/>
          <w:szCs w:val="19"/>
        </w:rPr>
      </w:pPr>
      <w:r w:rsidRPr="00F517E2">
        <w:rPr>
          <w:noProof w:val="0"/>
          <w:sz w:val="19"/>
          <w:szCs w:val="19"/>
        </w:rPr>
        <w:t xml:space="preserve">Riksdagsstyrelsens förslag: </w:t>
      </w:r>
      <w:r w:rsidRPr="00F517E2">
        <w:rPr>
          <w:b w:val="0"/>
          <w:noProof w:val="0"/>
          <w:sz w:val="19"/>
          <w:szCs w:val="19"/>
        </w:rPr>
        <w:t xml:space="preserve">En garantitagare ska vara skyldig att lämna uppgifter till </w:t>
      </w:r>
      <w:r w:rsidR="000261DC" w:rsidRPr="00F517E2">
        <w:rPr>
          <w:b w:val="0"/>
          <w:noProof w:val="0"/>
          <w:sz w:val="19"/>
          <w:szCs w:val="19"/>
        </w:rPr>
        <w:t>a</w:t>
      </w:r>
      <w:r w:rsidRPr="00F517E2">
        <w:rPr>
          <w:b w:val="0"/>
          <w:noProof w:val="0"/>
          <w:sz w:val="19"/>
          <w:szCs w:val="19"/>
        </w:rPr>
        <w:t xml:space="preserve">rvodesnämnden </w:t>
      </w:r>
      <w:r w:rsidR="00D65622" w:rsidRPr="00F517E2">
        <w:rPr>
          <w:b w:val="0"/>
          <w:noProof w:val="0"/>
          <w:sz w:val="19"/>
          <w:szCs w:val="19"/>
        </w:rPr>
        <w:t>om</w:t>
      </w:r>
      <w:r w:rsidRPr="00F517E2">
        <w:rPr>
          <w:b w:val="0"/>
          <w:noProof w:val="0"/>
          <w:sz w:val="19"/>
          <w:szCs w:val="19"/>
        </w:rPr>
        <w:t xml:space="preserve"> sådant som har betydelse för prövningen av frågan om jämkning av inkomstgaranti. Uppgiftsskyldigheten ska dock inte omfatta fall där jämkning kan aktualiseras på grund av brott.</w:t>
      </w:r>
    </w:p>
    <w:p w:rsidR="00C30F99" w:rsidRPr="00F517E2" w:rsidRDefault="003969ED" w:rsidP="00C30F99">
      <w:r w:rsidRPr="00F517E2">
        <w:rPr>
          <w:b/>
        </w:rPr>
        <w:t>Arbetsgruppens</w:t>
      </w:r>
      <w:r w:rsidR="00C30F99" w:rsidRPr="00F517E2">
        <w:rPr>
          <w:b/>
        </w:rPr>
        <w:t xml:space="preserve"> förslag </w:t>
      </w:r>
      <w:r w:rsidR="00C30F99" w:rsidRPr="00F517E2">
        <w:t>överensstämmer med riksdagsstyrelsens fö</w:t>
      </w:r>
      <w:r w:rsidR="00C30F99" w:rsidRPr="00F517E2">
        <w:t>r</w:t>
      </w:r>
      <w:r w:rsidR="00C30F99" w:rsidRPr="00F517E2">
        <w:t xml:space="preserve">slag. </w:t>
      </w:r>
    </w:p>
    <w:p w:rsidR="00C30F99" w:rsidRPr="00F517E2" w:rsidRDefault="00C30F99" w:rsidP="00C30F99">
      <w:pPr>
        <w:rPr>
          <w:b/>
        </w:rPr>
      </w:pPr>
      <w:r w:rsidRPr="00F517E2">
        <w:rPr>
          <w:b/>
        </w:rPr>
        <w:t xml:space="preserve">Remissinstanserna: </w:t>
      </w:r>
    </w:p>
    <w:p w:rsidR="00964DD5" w:rsidRPr="00F517E2" w:rsidRDefault="00964DD5" w:rsidP="00964DD5">
      <w:r w:rsidRPr="00F517E2">
        <w:t>Skatteverket har tillstyrkt förslaget.</w:t>
      </w:r>
    </w:p>
    <w:p w:rsidR="00D1503A" w:rsidRPr="00F517E2" w:rsidRDefault="00D1503A" w:rsidP="00D1503A">
      <w:pPr>
        <w:pStyle w:val="Normaltindrag"/>
      </w:pPr>
      <w:r w:rsidRPr="00F517E2">
        <w:t>Statens pensionsverk har inga invändningar mot förslaget. Kammarrätten i Stockholm har utifrån de aspekter domstolen har att beakta inte några sy</w:t>
      </w:r>
      <w:r w:rsidRPr="00F517E2">
        <w:t>n</w:t>
      </w:r>
      <w:r w:rsidRPr="00F517E2">
        <w:t>punkter på förslaget. Riksdagens ombudsmän (JO) har från de synpunkter som JO har att beakta inga in</w:t>
      </w:r>
      <w:r w:rsidR="003837B4" w:rsidRPr="00F517E2">
        <w:t>vändningar</w:t>
      </w:r>
      <w:r w:rsidRPr="00F517E2">
        <w:t xml:space="preserve"> mot förslaget. Sveriges Komm</w:t>
      </w:r>
      <w:r w:rsidRPr="00F517E2">
        <w:t>u</w:t>
      </w:r>
      <w:r w:rsidRPr="00F517E2">
        <w:t xml:space="preserve">ner och Landsting har avstått från att lämna synpunkter. </w:t>
      </w:r>
    </w:p>
    <w:p w:rsidR="00010A1D" w:rsidRPr="00F517E2" w:rsidRDefault="00130401" w:rsidP="00010A1D">
      <w:pPr>
        <w:pStyle w:val="R4"/>
      </w:pPr>
      <w:r w:rsidRPr="00F517E2">
        <w:t>Gällande ordning</w:t>
      </w:r>
    </w:p>
    <w:p w:rsidR="00010A1D" w:rsidRPr="00F517E2" w:rsidRDefault="0017650E" w:rsidP="00010A1D">
      <w:r w:rsidRPr="00F517E2">
        <w:t xml:space="preserve">Förslaget innebär en nyordning eftersom det nu inte finns någon särskild regel om upplysningsskyldighet för en garantitagare gentemot </w:t>
      </w:r>
      <w:r w:rsidR="000261DC" w:rsidRPr="00F517E2">
        <w:t>a</w:t>
      </w:r>
      <w:r w:rsidRPr="00F517E2">
        <w:t>rvodesnämnden.</w:t>
      </w:r>
    </w:p>
    <w:p w:rsidR="00010A1D" w:rsidRPr="00F517E2" w:rsidRDefault="004304C0" w:rsidP="00010A1D">
      <w:pPr>
        <w:pStyle w:val="R4"/>
      </w:pPr>
      <w:r w:rsidRPr="00F517E2">
        <w:t>Riksdagss</w:t>
      </w:r>
      <w:r w:rsidR="00010A1D" w:rsidRPr="00F517E2">
        <w:t>tyrelsens ställningstagande</w:t>
      </w:r>
    </w:p>
    <w:p w:rsidR="004D4953" w:rsidRPr="00F517E2" w:rsidRDefault="007A056D" w:rsidP="00BA2B26">
      <w:pPr>
        <w:spacing w:before="0"/>
      </w:pPr>
      <w:r w:rsidRPr="00F517E2">
        <w:t xml:space="preserve">Förslaget att utvidga den ram inom vilken </w:t>
      </w:r>
      <w:r w:rsidR="000261DC" w:rsidRPr="00F517E2">
        <w:t>a</w:t>
      </w:r>
      <w:r w:rsidRPr="00F517E2">
        <w:t>rvodesnämnden ska kunna b</w:t>
      </w:r>
      <w:r w:rsidRPr="00F517E2">
        <w:t>e</w:t>
      </w:r>
      <w:r w:rsidRPr="00F517E2">
        <w:t>sluta om jämkning av inkomstgaranti innebär att nämndens tillsyn måste utökas och stärkas. Tillsynen – som i dag i princip bara avser garantitagare som är verksamma i aktiebolag – behöver omfatta även garantitagarnas ver</w:t>
      </w:r>
      <w:r w:rsidRPr="00F517E2">
        <w:t>k</w:t>
      </w:r>
      <w:r w:rsidRPr="00F517E2">
        <w:t xml:space="preserve">samhet som drivs i form av enskild firma och handelsbolag. Dessutom behövs en granskning av garantitagarnas skattemässiga förhållanden i de avseenden som redovisats </w:t>
      </w:r>
      <w:r w:rsidR="003123C5" w:rsidRPr="00F517E2">
        <w:t>tidigare</w:t>
      </w:r>
      <w:r w:rsidRPr="00F517E2">
        <w:t>.</w:t>
      </w:r>
      <w:r w:rsidR="004D4953" w:rsidRPr="00F517E2">
        <w:t xml:space="preserve"> </w:t>
      </w:r>
    </w:p>
    <w:p w:rsidR="004D4953" w:rsidRPr="00F517E2" w:rsidRDefault="007A056D" w:rsidP="004D4953">
      <w:pPr>
        <w:pStyle w:val="Normaltindrag"/>
      </w:pPr>
      <w:r w:rsidRPr="00F517E2">
        <w:t xml:space="preserve">Om de ovan nämnda förslagen genomförs kommer </w:t>
      </w:r>
      <w:r w:rsidR="000261DC" w:rsidRPr="00F517E2">
        <w:t>a</w:t>
      </w:r>
      <w:r w:rsidR="003123C5" w:rsidRPr="00F517E2">
        <w:t>rvodes</w:t>
      </w:r>
      <w:r w:rsidRPr="00F517E2">
        <w:t>nämndens til</w:t>
      </w:r>
      <w:r w:rsidRPr="00F517E2">
        <w:t>l</w:t>
      </w:r>
      <w:r w:rsidRPr="00F517E2">
        <w:t>synsverksamhet att bedrivas på i huvudsak följande sätt. Ett första steg i til</w:t>
      </w:r>
      <w:r w:rsidRPr="00F517E2">
        <w:t>l</w:t>
      </w:r>
      <w:r w:rsidRPr="00F517E2">
        <w:t>synen är, efter att materialet från Statens pensionsverk överlämnats till näm</w:t>
      </w:r>
      <w:r w:rsidRPr="00F517E2">
        <w:t>n</w:t>
      </w:r>
      <w:r w:rsidRPr="00F517E2">
        <w:t>den, att skaffa in öppet underlag som grund för närmare granskning. Från Bolagsregistret inhämtas uppgifter om funktionärsuppdrag i aktiebolag. Hä</w:t>
      </w:r>
      <w:r w:rsidRPr="00F517E2">
        <w:t>r</w:t>
      </w:r>
      <w:r w:rsidRPr="00F517E2">
        <w:t>utöver kan information skaffas om registreringen av enskilda firmor och handelsbolag. Det bör dock beaktas att enskilda firmor inte omfattas av reg</w:t>
      </w:r>
      <w:r w:rsidRPr="00F517E2">
        <w:t>i</w:t>
      </w:r>
      <w:r w:rsidRPr="00F517E2">
        <w:t>streringsplikt och att därmed underlaget i den delen kan vara oful</w:t>
      </w:r>
      <w:r w:rsidRPr="00F517E2">
        <w:t>l</w:t>
      </w:r>
      <w:r w:rsidRPr="00F517E2">
        <w:t xml:space="preserve">ständigt. Informationen från Bolagsverket kan därför behöva kompletteras med de offentliga uppgifter som finns hos Skatteverket om innehavet av F-skattsedel. Dessa uppgifter är allmänt tillgängliga för allmänheten genom att man kan ta del av dem i </w:t>
      </w:r>
      <w:r w:rsidR="00750275" w:rsidRPr="00F517E2">
        <w:t xml:space="preserve">en </w:t>
      </w:r>
      <w:r w:rsidRPr="00F517E2">
        <w:t>pr</w:t>
      </w:r>
      <w:r w:rsidRPr="00F517E2">
        <w:t>e</w:t>
      </w:r>
      <w:r w:rsidRPr="00F517E2">
        <w:t>sentationsterminal vid besök hos Skatteverket.</w:t>
      </w:r>
      <w:r w:rsidR="004D4953" w:rsidRPr="00F517E2">
        <w:t xml:space="preserve"> </w:t>
      </w:r>
    </w:p>
    <w:p w:rsidR="004D4953" w:rsidRPr="00F517E2" w:rsidRDefault="007A056D" w:rsidP="004D4953">
      <w:pPr>
        <w:pStyle w:val="Normaltindrag"/>
      </w:pPr>
      <w:r w:rsidRPr="00F517E2">
        <w:t>Med denna information som underlag är nästa steg att nämnden beslutar om att inleda tillsynsärenden i de fall där det finns skäl för det. I dessa fall görs sedan förfrågningar hos garantitagarna själva</w:t>
      </w:r>
      <w:r w:rsidR="003837B4" w:rsidRPr="00F517E2">
        <w:t>,</w:t>
      </w:r>
      <w:r w:rsidRPr="00F517E2">
        <w:t xml:space="preserve"> och dessa lämnar uppgifter i de hänseenden som är av betydelse för nämndens prövning. Vilka nya up</w:t>
      </w:r>
      <w:r w:rsidRPr="00F517E2">
        <w:t>p</w:t>
      </w:r>
      <w:r w:rsidRPr="00F517E2">
        <w:t xml:space="preserve">gifter som kan vara av betydelse framgår av </w:t>
      </w:r>
      <w:r w:rsidR="003123C5" w:rsidRPr="00F517E2">
        <w:t>vad som tidigare har redov</w:t>
      </w:r>
      <w:r w:rsidR="003123C5" w:rsidRPr="00F517E2">
        <w:t>i</w:t>
      </w:r>
      <w:r w:rsidR="003123C5" w:rsidRPr="00F517E2">
        <w:t>sats</w:t>
      </w:r>
      <w:r w:rsidRPr="00F517E2">
        <w:t>.</w:t>
      </w:r>
      <w:r w:rsidR="004D4953" w:rsidRPr="00F517E2">
        <w:t xml:space="preserve"> </w:t>
      </w:r>
    </w:p>
    <w:p w:rsidR="004D4953" w:rsidRPr="00F517E2" w:rsidRDefault="007A056D" w:rsidP="004D4953">
      <w:pPr>
        <w:pStyle w:val="Normaltindrag"/>
      </w:pPr>
      <w:r w:rsidRPr="00F517E2">
        <w:t xml:space="preserve">Den tillsyn som hittills bedrivits visar </w:t>
      </w:r>
      <w:r w:rsidR="003123C5" w:rsidRPr="00F517E2">
        <w:t xml:space="preserve">enligt arbetsgruppen </w:t>
      </w:r>
      <w:r w:rsidRPr="00F517E2">
        <w:t xml:space="preserve">att det finns ett stort behov av att kunna få klargöranden från garantitagarna </w:t>
      </w:r>
      <w:r w:rsidR="003837B4" w:rsidRPr="00F517E2">
        <w:t xml:space="preserve">om </w:t>
      </w:r>
      <w:r w:rsidRPr="00F517E2">
        <w:t>uppgi</w:t>
      </w:r>
      <w:r w:rsidRPr="00F517E2">
        <w:t>f</w:t>
      </w:r>
      <w:r w:rsidRPr="00F517E2">
        <w:t>ter i de handlingar som inhämtats. Det är i och för sig helt naturligt eftersom exe</w:t>
      </w:r>
      <w:r w:rsidRPr="00F517E2">
        <w:t>m</w:t>
      </w:r>
      <w:r w:rsidRPr="00F517E2">
        <w:t>pelvis årsredovisningar i aktiebolag inte upprättas med siktet i</w:t>
      </w:r>
      <w:r w:rsidRPr="00F517E2">
        <w:t>n</w:t>
      </w:r>
      <w:r w:rsidRPr="00F517E2">
        <w:t>ställt på nämndens tillsynsverksamhet. Detta aktualiserar dock frågan om garantit</w:t>
      </w:r>
      <w:r w:rsidRPr="00F517E2">
        <w:t>a</w:t>
      </w:r>
      <w:r w:rsidRPr="00F517E2">
        <w:t>garna bör vara skyldiga att lämna up</w:t>
      </w:r>
      <w:r w:rsidRPr="00F517E2">
        <w:t>p</w:t>
      </w:r>
      <w:r w:rsidRPr="00F517E2">
        <w:t>gifter till nämnden. I dag finns det inte några särskilda regler om uppgiftsskyldighet i förhållande till näm</w:t>
      </w:r>
      <w:r w:rsidRPr="00F517E2">
        <w:t>n</w:t>
      </w:r>
      <w:r w:rsidRPr="00F517E2">
        <w:t>den. På verksamheten hos nämnden är förvaltningslagen (1986:223) tilläm</w:t>
      </w:r>
      <w:r w:rsidRPr="00F517E2">
        <w:t>p</w:t>
      </w:r>
      <w:r w:rsidRPr="00F517E2">
        <w:t>lig</w:t>
      </w:r>
      <w:r w:rsidR="009F742F" w:rsidRPr="00F517E2">
        <w:t>,</w:t>
      </w:r>
      <w:r w:rsidRPr="00F517E2">
        <w:t xml:space="preserve"> men i övrigt finns inte några regler om förfarandet. På denna punkt finns det alltså ett behov av att strama upp förfarandet genom att införa en skyldi</w:t>
      </w:r>
      <w:r w:rsidRPr="00F517E2">
        <w:t>g</w:t>
      </w:r>
      <w:r w:rsidRPr="00F517E2">
        <w:t>het för garantitagarna att lämna up</w:t>
      </w:r>
      <w:r w:rsidRPr="00F517E2">
        <w:t>p</w:t>
      </w:r>
      <w:r w:rsidRPr="00F517E2">
        <w:t xml:space="preserve">gifter till nämnden. </w:t>
      </w:r>
    </w:p>
    <w:p w:rsidR="004D4953" w:rsidRPr="00F517E2" w:rsidRDefault="007A056D" w:rsidP="004D4953">
      <w:pPr>
        <w:pStyle w:val="Normaltindrag"/>
      </w:pPr>
      <w:r w:rsidRPr="00F517E2">
        <w:t>Ett skäl som kan anföras emot att införa en uppgiftsskyldighet är att näm</w:t>
      </w:r>
      <w:r w:rsidRPr="00F517E2">
        <w:t>n</w:t>
      </w:r>
      <w:r w:rsidRPr="00F517E2">
        <w:t>den ändå får det underlag som den behöver för att kunna ta ställning till om jäm</w:t>
      </w:r>
      <w:r w:rsidRPr="00F517E2">
        <w:t>k</w:t>
      </w:r>
      <w:r w:rsidRPr="00F517E2">
        <w:t>ning ska ske. De erfarenheter som hittills vunnits talar i och för sig för att garantitagarna frivilligt lämnar de uppgifter som behövs. Samtidigt står det klart att tilltron till nämndens verksamhet förutsätter att den som granskas är skyldig att lämna de uppgifter som behövs för handläggningen av ett tillsyn</w:t>
      </w:r>
      <w:r w:rsidRPr="00F517E2">
        <w:t>s</w:t>
      </w:r>
      <w:r w:rsidRPr="00F517E2">
        <w:t>ärende. Ett annat skäl för att införa en up</w:t>
      </w:r>
      <w:r w:rsidRPr="00F517E2">
        <w:t>p</w:t>
      </w:r>
      <w:r w:rsidRPr="00F517E2">
        <w:t>giftsskyldighet hänger samman med att garantitagare redan har en uppgift</w:t>
      </w:r>
      <w:r w:rsidRPr="00F517E2">
        <w:t>s</w:t>
      </w:r>
      <w:r w:rsidRPr="00F517E2">
        <w:t>skyldighet i förhållande till Statens pensionsverk som handlägger frågor om utbetalning av inkomstgaranti (13</w:t>
      </w:r>
      <w:r w:rsidR="007061BC" w:rsidRPr="00F517E2">
        <w:t> </w:t>
      </w:r>
      <w:r w:rsidRPr="00F517E2">
        <w:t>kap. 23 § ersättningslagen). Det framstår inte som rimligt att nämndens föru</w:t>
      </w:r>
      <w:r w:rsidRPr="00F517E2">
        <w:t>t</w:t>
      </w:r>
      <w:r w:rsidRPr="00F517E2">
        <w:t xml:space="preserve">sättningar att leva upp </w:t>
      </w:r>
      <w:r w:rsidR="004A7ECE" w:rsidRPr="00F517E2">
        <w:t xml:space="preserve">till </w:t>
      </w:r>
      <w:r w:rsidRPr="00F517E2">
        <w:t>sitt ansvar ska vara sämre än de som gäller för St</w:t>
      </w:r>
      <w:r w:rsidRPr="00F517E2">
        <w:t>a</w:t>
      </w:r>
      <w:r w:rsidRPr="00F517E2">
        <w:t xml:space="preserve">tens pensionsverk. </w:t>
      </w:r>
    </w:p>
    <w:p w:rsidR="004D4953" w:rsidRPr="00F517E2" w:rsidRDefault="007A056D" w:rsidP="004D4953">
      <w:pPr>
        <w:pStyle w:val="Normaltindrag"/>
      </w:pPr>
      <w:r w:rsidRPr="00F517E2">
        <w:t>En fråga som inställer sig i detta sammanhang är om uppgift</w:t>
      </w:r>
      <w:r w:rsidRPr="00F517E2">
        <w:t>s</w:t>
      </w:r>
      <w:r w:rsidRPr="00F517E2">
        <w:t>skyldigheten bör gälla i samtliga typer av ärenden där jämkning kan bli akt</w:t>
      </w:r>
      <w:r w:rsidRPr="00F517E2">
        <w:t>u</w:t>
      </w:r>
      <w:r w:rsidRPr="00F517E2">
        <w:t xml:space="preserve">ell. Förutom i de fall som tas upp i denna </w:t>
      </w:r>
      <w:r w:rsidR="004411DE" w:rsidRPr="00F517E2">
        <w:t>framställning</w:t>
      </w:r>
      <w:r w:rsidRPr="00F517E2">
        <w:t xml:space="preserve"> kan jämkning bli aktuell om garant</w:t>
      </w:r>
      <w:r w:rsidRPr="00F517E2">
        <w:t>i</w:t>
      </w:r>
      <w:r w:rsidRPr="00F517E2">
        <w:t xml:space="preserve">tagaren dömts för brott. I denna fråga bör </w:t>
      </w:r>
      <w:r w:rsidR="00F83E62" w:rsidRPr="00F517E2">
        <w:t xml:space="preserve">man </w:t>
      </w:r>
      <w:r w:rsidRPr="00F517E2">
        <w:t>till att börja med beakta att E</w:t>
      </w:r>
      <w:r w:rsidRPr="00F517E2">
        <w:t>u</w:t>
      </w:r>
      <w:r w:rsidRPr="00F517E2">
        <w:t>ropakonventionens krav på en rättvis rättegång anses innefatta en rätt för den misstänkte att inte behöva lämna besvärande uppgifter om sig själv. Även om jämkningsregeln alltså förutsätter att garantitagaren dömts och utrednin</w:t>
      </w:r>
      <w:r w:rsidRPr="00F517E2">
        <w:t>g</w:t>
      </w:r>
      <w:r w:rsidRPr="00F517E2">
        <w:t>en om brottet således slutförts framstår det som olämpligt att ålägga garant</w:t>
      </w:r>
      <w:r w:rsidRPr="00F517E2">
        <w:t>i</w:t>
      </w:r>
      <w:r w:rsidRPr="00F517E2">
        <w:t>tagaren en skyldighet att lämna uppgifter i fall som dessa. Till detta ska lä</w:t>
      </w:r>
      <w:r w:rsidRPr="00F517E2">
        <w:t>g</w:t>
      </w:r>
      <w:r w:rsidRPr="00F517E2">
        <w:t>gas att det för närvarande inte finns något belägg för att det behövs en up</w:t>
      </w:r>
      <w:r w:rsidRPr="00F517E2">
        <w:t>p</w:t>
      </w:r>
      <w:r w:rsidRPr="00F517E2">
        <w:t>giftsskyldighet för dessa situationer; något ärende där jämkning aktualis</w:t>
      </w:r>
      <w:r w:rsidRPr="00F517E2">
        <w:t>e</w:t>
      </w:r>
      <w:r w:rsidRPr="00F517E2">
        <w:t xml:space="preserve">rats på denna grund har inte prövats i nämnden. </w:t>
      </w:r>
    </w:p>
    <w:p w:rsidR="004D4953" w:rsidRPr="00F517E2" w:rsidRDefault="007A056D" w:rsidP="004D4953">
      <w:pPr>
        <w:pStyle w:val="Normaltindrag"/>
      </w:pPr>
      <w:r w:rsidRPr="00F517E2">
        <w:t xml:space="preserve">Slutsatsen blir därför att garantitagarna bör åläggas en uppgiftsskyldighet i förhållande till </w:t>
      </w:r>
      <w:r w:rsidR="001A3FD6" w:rsidRPr="00F517E2">
        <w:t>a</w:t>
      </w:r>
      <w:r w:rsidR="002A060D" w:rsidRPr="00F517E2">
        <w:t>rvodes</w:t>
      </w:r>
      <w:r w:rsidRPr="00F517E2">
        <w:t xml:space="preserve">nämnden. </w:t>
      </w:r>
    </w:p>
    <w:p w:rsidR="004D4953" w:rsidRPr="00F517E2" w:rsidRDefault="007A056D" w:rsidP="004D4953">
      <w:pPr>
        <w:pStyle w:val="Normaltindrag"/>
      </w:pPr>
      <w:r w:rsidRPr="00F517E2">
        <w:t>En annan fråga som uppkommer här är om det finns skäl att införa någon form av sanktion för den som inte efterkommer en beg</w:t>
      </w:r>
      <w:r w:rsidRPr="00F517E2">
        <w:t>ä</w:t>
      </w:r>
      <w:r w:rsidRPr="00F517E2">
        <w:t xml:space="preserve">ran från nämnden om att lämna uppgifter. Det som då ligger närmast till hands är att garantitagaren föreläggs att vid påföljd av vite lämna begärda upplysningar. Intresset av att de uppgifter som lämnas är riktiga skulle kunna tillgodoses genom ett krav på att uppgifterna ska lämnas under straffansvar. Det sistnämnda skulle kunna åstadkommas genom en bestämmelse om att uppgifter lämnas på heder och samvete. En sådan ordning skulle innebära att en oriktig uppgift skulle </w:t>
      </w:r>
      <w:r w:rsidR="00F83E62" w:rsidRPr="00F517E2">
        <w:t>me</w:t>
      </w:r>
      <w:r w:rsidR="00F83E62" w:rsidRPr="00F517E2">
        <w:t>d</w:t>
      </w:r>
      <w:r w:rsidRPr="00F517E2">
        <w:t>föra ansvar för osann försäkran (se 15 kap.</w:t>
      </w:r>
      <w:r w:rsidR="00D7794C" w:rsidRPr="00F517E2">
        <w:t xml:space="preserve"> </w:t>
      </w:r>
      <w:r w:rsidRPr="00F517E2">
        <w:t xml:space="preserve">10 § brottsbalken). </w:t>
      </w:r>
    </w:p>
    <w:p w:rsidR="004D4953" w:rsidRPr="00F517E2" w:rsidRDefault="007A056D" w:rsidP="004D4953">
      <w:pPr>
        <w:pStyle w:val="Normaltindrag"/>
      </w:pPr>
      <w:r w:rsidRPr="00F517E2">
        <w:t>En grundförutsättning för att införa en sanktion för att tillgodose de intre</w:t>
      </w:r>
      <w:r w:rsidRPr="00F517E2">
        <w:t>s</w:t>
      </w:r>
      <w:r w:rsidRPr="00F517E2">
        <w:t>sen som nyss sagts är att det finns ett reellt behov av en sådan sanktion. I förhållande till Statens pensionsverk gäller ett krav på att uppgifter ska lä</w:t>
      </w:r>
      <w:r w:rsidRPr="00F517E2">
        <w:t>m</w:t>
      </w:r>
      <w:r w:rsidRPr="00F517E2">
        <w:t>nas på heder och samvete</w:t>
      </w:r>
      <w:r w:rsidR="00D7794C" w:rsidRPr="00F517E2">
        <w:t>,</w:t>
      </w:r>
      <w:r w:rsidRPr="00F517E2">
        <w:t xml:space="preserve"> och sådana krav förekommer också i andra sa</w:t>
      </w:r>
      <w:r w:rsidRPr="00F517E2">
        <w:t>m</w:t>
      </w:r>
      <w:r w:rsidRPr="00F517E2">
        <w:t>manhang. Hos St</w:t>
      </w:r>
      <w:r w:rsidRPr="00F517E2">
        <w:t>a</w:t>
      </w:r>
      <w:r w:rsidRPr="00F517E2">
        <w:t>tens pensionsverk är emellertid intresset av en effektiv och rationell han</w:t>
      </w:r>
      <w:r w:rsidRPr="00F517E2">
        <w:t>d</w:t>
      </w:r>
      <w:r w:rsidRPr="00F517E2">
        <w:t>läggning beroende av att garantitagarna från början lämnar korrekta uppgifter eftersom det är svårt att kontrollera samtliga uppgifter från de s</w:t>
      </w:r>
      <w:r w:rsidRPr="00F517E2">
        <w:t>ö</w:t>
      </w:r>
      <w:r w:rsidRPr="00F517E2">
        <w:t>kande. Straffansvaret fyller därför en funktion i det sammanhanget. Situati</w:t>
      </w:r>
      <w:r w:rsidRPr="00F517E2">
        <w:t>o</w:t>
      </w:r>
      <w:r w:rsidRPr="00F517E2">
        <w:t>nen hos nämnden är dock en annan. Hos nämnden handläggs relativt sett få ärenden</w:t>
      </w:r>
      <w:r w:rsidR="00DD785D" w:rsidRPr="00F517E2">
        <w:t>,</w:t>
      </w:r>
      <w:r w:rsidRPr="00F517E2">
        <w:t xml:space="preserve"> och de uppgifter som lämnas i varje ärende granskas noga. Hittills har det inte heller förekommit några svårigheter för nämnden att få de up</w:t>
      </w:r>
      <w:r w:rsidRPr="00F517E2">
        <w:t>p</w:t>
      </w:r>
      <w:r w:rsidRPr="00F517E2">
        <w:t>lysningar som behövts för handläggningen. Det kan alltså konstateras att nämndens erfare</w:t>
      </w:r>
      <w:r w:rsidRPr="00F517E2">
        <w:t>n</w:t>
      </w:r>
      <w:r w:rsidRPr="00F517E2">
        <w:t>heter hittills inte tyder på att det skulle finnas ett behov av sanktion</w:t>
      </w:r>
      <w:r w:rsidR="00DD785D" w:rsidRPr="00F517E2">
        <w:t>er</w:t>
      </w:r>
      <w:r w:rsidRPr="00F517E2">
        <w:t xml:space="preserve"> för att säkerställa vare sig att garantitagarna lämnar uppgifter eller att de uppgifter som lämnas är korrekta. Vid bedömningen av sanktionsbeh</w:t>
      </w:r>
      <w:r w:rsidRPr="00F517E2">
        <w:t>o</w:t>
      </w:r>
      <w:r w:rsidRPr="00F517E2">
        <w:t>vet bör det också beaktas att den uppgiftsskyldighet som föreslås gälla för Skatteverket bidrar till att säkerställa att beslutsunderlaget blir korrekt. Slutl</w:t>
      </w:r>
      <w:r w:rsidRPr="00F517E2">
        <w:t>i</w:t>
      </w:r>
      <w:r w:rsidRPr="00F517E2">
        <w:t>gen kan det konstat</w:t>
      </w:r>
      <w:r w:rsidRPr="00F517E2">
        <w:t>e</w:t>
      </w:r>
      <w:r w:rsidRPr="00F517E2">
        <w:t>ras att det förhållandet att en garantitagare inte lämnar uppgifter till nämnden inte hindrar att ärendet prövas. Frågan om jämkning får i sådana fall prövas på befintligt material, vilket kan vara till nackdel för garantitagaren. Slutsatsen av detta blir att någon sanktion inte behöver kop</w:t>
      </w:r>
      <w:r w:rsidRPr="00F517E2">
        <w:t>p</w:t>
      </w:r>
      <w:r w:rsidRPr="00F517E2">
        <w:t>las till uppgiftsskyldi</w:t>
      </w:r>
      <w:r w:rsidRPr="00F517E2">
        <w:t>g</w:t>
      </w:r>
      <w:r w:rsidRPr="00F517E2">
        <w:t xml:space="preserve">heten. </w:t>
      </w:r>
    </w:p>
    <w:p w:rsidR="007A056D" w:rsidRPr="00F517E2" w:rsidRDefault="007A056D" w:rsidP="004D4953">
      <w:pPr>
        <w:pStyle w:val="Normaltindrag"/>
      </w:pPr>
      <w:r w:rsidRPr="00F517E2">
        <w:t xml:space="preserve">Sammantaget innebär det nu anförda att </w:t>
      </w:r>
      <w:r w:rsidR="00BC12CB" w:rsidRPr="00F517E2">
        <w:t xml:space="preserve">riksdagsstyrelsen </w:t>
      </w:r>
      <w:r w:rsidRPr="00F517E2">
        <w:t>föreslå</w:t>
      </w:r>
      <w:r w:rsidR="00BC12CB" w:rsidRPr="00F517E2">
        <w:t>r</w:t>
      </w:r>
      <w:r w:rsidRPr="00F517E2">
        <w:t xml:space="preserve"> att det i</w:t>
      </w:r>
      <w:r w:rsidRPr="00F517E2">
        <w:t>n</w:t>
      </w:r>
      <w:r w:rsidRPr="00F517E2">
        <w:t>förs en uppgiftsskyldighet för garantitagare även i förhållande till nämnden i äre</w:t>
      </w:r>
      <w:r w:rsidRPr="00F517E2">
        <w:t>n</w:t>
      </w:r>
      <w:r w:rsidRPr="00F517E2">
        <w:t>den om jämkning av inkomstgaranti. En regel om detta kan införas som en ny par</w:t>
      </w:r>
      <w:r w:rsidRPr="00F517E2">
        <w:t>a</w:t>
      </w:r>
      <w:r w:rsidRPr="00F517E2">
        <w:t>graf, 13 kap. 24 b §, i ersättningslagen</w:t>
      </w:r>
      <w:r w:rsidR="00A11F69" w:rsidRPr="00F517E2">
        <w:t xml:space="preserve">. </w:t>
      </w:r>
    </w:p>
    <w:p w:rsidR="007A056D" w:rsidRPr="00F517E2" w:rsidRDefault="00A50E30" w:rsidP="003A03E0">
      <w:pPr>
        <w:pStyle w:val="Rubrik3"/>
        <w:rPr>
          <w:noProof w:val="0"/>
        </w:rPr>
      </w:pPr>
      <w:bookmarkStart w:id="35" w:name="_Toc277831128"/>
      <w:r w:rsidRPr="00F517E2">
        <w:rPr>
          <w:noProof w:val="0"/>
        </w:rPr>
        <w:t>U</w:t>
      </w:r>
      <w:r w:rsidR="007A056D" w:rsidRPr="00F517E2">
        <w:rPr>
          <w:noProof w:val="0"/>
        </w:rPr>
        <w:t>ppgiftsskyldighet för Skatteverket</w:t>
      </w:r>
      <w:bookmarkEnd w:id="35"/>
    </w:p>
    <w:p w:rsidR="003A03E0" w:rsidRPr="00F517E2" w:rsidRDefault="003A03E0" w:rsidP="003A03E0">
      <w:pPr>
        <w:pStyle w:val="Utskottsfrslagikorthet-Rubrik"/>
        <w:numPr>
          <w:ilvl w:val="0"/>
          <w:numId w:val="0"/>
        </w:numPr>
        <w:ind w:left="113"/>
        <w:rPr>
          <w:noProof w:val="0"/>
          <w:sz w:val="19"/>
          <w:szCs w:val="19"/>
        </w:rPr>
      </w:pPr>
      <w:r w:rsidRPr="00F517E2">
        <w:rPr>
          <w:noProof w:val="0"/>
          <w:sz w:val="19"/>
          <w:szCs w:val="19"/>
        </w:rPr>
        <w:t xml:space="preserve">Riksdagsstyrelsens förslag: </w:t>
      </w:r>
      <w:r w:rsidRPr="00F517E2">
        <w:rPr>
          <w:b w:val="0"/>
          <w:noProof w:val="0"/>
          <w:sz w:val="19"/>
          <w:szCs w:val="19"/>
        </w:rPr>
        <w:t xml:space="preserve">Skatteverket ska på begäran lämna uppgifter till </w:t>
      </w:r>
      <w:r w:rsidR="00A41D4A" w:rsidRPr="00F517E2">
        <w:rPr>
          <w:b w:val="0"/>
          <w:noProof w:val="0"/>
          <w:sz w:val="19"/>
          <w:szCs w:val="19"/>
        </w:rPr>
        <w:t>ar</w:t>
      </w:r>
      <w:r w:rsidR="007532DD" w:rsidRPr="00F517E2">
        <w:rPr>
          <w:b w:val="0"/>
          <w:noProof w:val="0"/>
          <w:sz w:val="19"/>
          <w:szCs w:val="19"/>
        </w:rPr>
        <w:t>vodes</w:t>
      </w:r>
      <w:r w:rsidRPr="00F517E2">
        <w:rPr>
          <w:b w:val="0"/>
          <w:noProof w:val="0"/>
          <w:sz w:val="19"/>
          <w:szCs w:val="19"/>
        </w:rPr>
        <w:t xml:space="preserve">nämnden om </w:t>
      </w:r>
      <w:r w:rsidR="0094396C" w:rsidRPr="00F517E2">
        <w:rPr>
          <w:b w:val="0"/>
          <w:noProof w:val="0"/>
          <w:sz w:val="19"/>
          <w:szCs w:val="19"/>
        </w:rPr>
        <w:t xml:space="preserve">en </w:t>
      </w:r>
      <w:r w:rsidRPr="00F517E2">
        <w:rPr>
          <w:b w:val="0"/>
          <w:noProof w:val="0"/>
          <w:sz w:val="19"/>
          <w:szCs w:val="19"/>
        </w:rPr>
        <w:t>namngiven person, om uppgifterna har betydelse i ett ärende om inkomstgaranti.</w:t>
      </w:r>
      <w:r w:rsidRPr="00F517E2">
        <w:rPr>
          <w:noProof w:val="0"/>
          <w:sz w:val="19"/>
          <w:szCs w:val="19"/>
        </w:rPr>
        <w:t xml:space="preserve"> </w:t>
      </w:r>
    </w:p>
    <w:p w:rsidR="00C30F99" w:rsidRPr="00F517E2" w:rsidRDefault="003969ED" w:rsidP="00C30F99">
      <w:r w:rsidRPr="00F517E2">
        <w:rPr>
          <w:b/>
        </w:rPr>
        <w:t>Arbetsgruppens</w:t>
      </w:r>
      <w:r w:rsidR="00C30F99" w:rsidRPr="00F517E2">
        <w:rPr>
          <w:b/>
        </w:rPr>
        <w:t xml:space="preserve"> förslag </w:t>
      </w:r>
      <w:r w:rsidR="00C30F99" w:rsidRPr="00F517E2">
        <w:t>överensstämmer med riksdagsstyrelsens fö</w:t>
      </w:r>
      <w:r w:rsidR="00C30F99" w:rsidRPr="00F517E2">
        <w:t>r</w:t>
      </w:r>
      <w:r w:rsidR="00C30F99" w:rsidRPr="00F517E2">
        <w:t xml:space="preserve">slag. </w:t>
      </w:r>
    </w:p>
    <w:p w:rsidR="00C30F99" w:rsidRPr="00F517E2" w:rsidRDefault="00C30F99" w:rsidP="00C30F99">
      <w:pPr>
        <w:rPr>
          <w:b/>
        </w:rPr>
      </w:pPr>
      <w:r w:rsidRPr="00F517E2">
        <w:rPr>
          <w:b/>
        </w:rPr>
        <w:t xml:space="preserve">Remissinstanserna: </w:t>
      </w:r>
    </w:p>
    <w:p w:rsidR="00717E71" w:rsidRPr="00F517E2" w:rsidRDefault="00717E71" w:rsidP="00717E71">
      <w:r w:rsidRPr="00F517E2">
        <w:t>Skatteverket har tillstyrkt förslaget.</w:t>
      </w:r>
    </w:p>
    <w:p w:rsidR="00D1503A" w:rsidRPr="00F517E2" w:rsidRDefault="00D1503A" w:rsidP="00D1503A">
      <w:pPr>
        <w:pStyle w:val="Normaltindrag"/>
      </w:pPr>
      <w:r w:rsidRPr="00F517E2">
        <w:t>Statens pensionsverk har inga invändningar mot förslaget. Kammarrätten i Stockholm har utifrån de aspekter domstolen har att beakta inte några sy</w:t>
      </w:r>
      <w:r w:rsidRPr="00F517E2">
        <w:t>n</w:t>
      </w:r>
      <w:r w:rsidRPr="00F517E2">
        <w:t>punkter på förslaget. Riksdagens ombudsmän (JO) har från de synpunkter som JO har att beakta inga in</w:t>
      </w:r>
      <w:r w:rsidR="0094396C" w:rsidRPr="00F517E2">
        <w:t>vändningar</w:t>
      </w:r>
      <w:r w:rsidRPr="00F517E2">
        <w:t xml:space="preserve"> mot förslaget. Sveriges Komm</w:t>
      </w:r>
      <w:r w:rsidRPr="00F517E2">
        <w:t>u</w:t>
      </w:r>
      <w:r w:rsidRPr="00F517E2">
        <w:t xml:space="preserve">ner och Landsting har avstått från att lämna synpunkter. </w:t>
      </w:r>
    </w:p>
    <w:p w:rsidR="003A03E0" w:rsidRPr="00F517E2" w:rsidRDefault="00130401" w:rsidP="003A03E0">
      <w:pPr>
        <w:pStyle w:val="R4"/>
      </w:pPr>
      <w:r w:rsidRPr="00F517E2">
        <w:t>Gällande ordning</w:t>
      </w:r>
    </w:p>
    <w:p w:rsidR="003A03E0" w:rsidRPr="00F517E2" w:rsidRDefault="006D05AB" w:rsidP="003A03E0">
      <w:r w:rsidRPr="00F517E2">
        <w:t>Förslaget innebär en nyordning. Skatteverket har i</w:t>
      </w:r>
      <w:r w:rsidR="007532DD" w:rsidRPr="00F517E2">
        <w:t xml:space="preserve"> </w:t>
      </w:r>
      <w:r w:rsidRPr="00F517E2">
        <w:t>dag ingen uppgiftsskyldi</w:t>
      </w:r>
      <w:r w:rsidRPr="00F517E2">
        <w:t>g</w:t>
      </w:r>
      <w:r w:rsidRPr="00F517E2">
        <w:t xml:space="preserve">het gentemot </w:t>
      </w:r>
      <w:r w:rsidR="00B446A1" w:rsidRPr="00F517E2">
        <w:t>a</w:t>
      </w:r>
      <w:r w:rsidRPr="00F517E2">
        <w:t>rvodesnämnden. Normalt råder absolut sekretess för de uppgi</w:t>
      </w:r>
      <w:r w:rsidRPr="00F517E2">
        <w:t>f</w:t>
      </w:r>
      <w:r w:rsidRPr="00F517E2">
        <w:t>ter som är av intresse för nämnden.</w:t>
      </w:r>
    </w:p>
    <w:p w:rsidR="003A03E0" w:rsidRPr="00F517E2" w:rsidRDefault="001450B5" w:rsidP="003A03E0">
      <w:pPr>
        <w:pStyle w:val="R4"/>
      </w:pPr>
      <w:r w:rsidRPr="00F517E2">
        <w:t>Riksdagss</w:t>
      </w:r>
      <w:r w:rsidR="003A03E0" w:rsidRPr="00F517E2">
        <w:t>tyrelsens ställningstagande</w:t>
      </w:r>
    </w:p>
    <w:p w:rsidR="00516C26" w:rsidRPr="00F517E2" w:rsidRDefault="007A056D" w:rsidP="00BA2B26">
      <w:pPr>
        <w:spacing w:before="0"/>
      </w:pPr>
      <w:r w:rsidRPr="00F517E2">
        <w:t xml:space="preserve">Som framgått </w:t>
      </w:r>
      <w:r w:rsidR="00445468" w:rsidRPr="00F517E2">
        <w:t>av</w:t>
      </w:r>
      <w:r w:rsidRPr="00F517E2">
        <w:t xml:space="preserve"> föregående avsnitt</w:t>
      </w:r>
      <w:r w:rsidR="003A03E0" w:rsidRPr="00F517E2">
        <w:t xml:space="preserve"> (5.2.1</w:t>
      </w:r>
      <w:r w:rsidR="00E1775F" w:rsidRPr="00F517E2">
        <w:t>0</w:t>
      </w:r>
      <w:r w:rsidR="003A03E0" w:rsidRPr="00F517E2">
        <w:t>)</w:t>
      </w:r>
      <w:r w:rsidRPr="00F517E2">
        <w:t xml:space="preserve"> finns det behov av att granska garantitagarnas förhållanden i skattemässigt hänseende, bl.a. i fråga om a</w:t>
      </w:r>
      <w:r w:rsidRPr="00F517E2">
        <w:t>v</w:t>
      </w:r>
      <w:r w:rsidRPr="00F517E2">
        <w:t>sättnin</w:t>
      </w:r>
      <w:r w:rsidRPr="00F517E2">
        <w:t>g</w:t>
      </w:r>
      <w:r w:rsidRPr="00F517E2">
        <w:t>ar. Uppgifter av detta slag finns sällan tillgängliga i dokument som är offentliga. Hos Skatteverket finns däremot uppgifter om detta. För att säke</w:t>
      </w:r>
      <w:r w:rsidRPr="00F517E2">
        <w:t>r</w:t>
      </w:r>
      <w:r w:rsidRPr="00F517E2">
        <w:t>ställa att nämnden har tillgång till ett fullständigt underlag i tillsynsverksa</w:t>
      </w:r>
      <w:r w:rsidRPr="00F517E2">
        <w:t>m</w:t>
      </w:r>
      <w:r w:rsidRPr="00F517E2">
        <w:t>heten bör det därför införas en regel som uttryckligen ger nämnden möjlighet att inhä</w:t>
      </w:r>
      <w:r w:rsidRPr="00F517E2">
        <w:t>m</w:t>
      </w:r>
      <w:r w:rsidRPr="00F517E2">
        <w:t xml:space="preserve">ta uppgifter i tillsynsärendena från Skatteverket. Det blir i så fall fråga om ett uppgiftslämnande i särskilda fall </w:t>
      </w:r>
      <w:r w:rsidR="00445468" w:rsidRPr="00F517E2">
        <w:t>som rör en viss</w:t>
      </w:r>
      <w:r w:rsidRPr="00F517E2">
        <w:t xml:space="preserve"> pe</w:t>
      </w:r>
      <w:r w:rsidRPr="00F517E2">
        <w:t>r</w:t>
      </w:r>
      <w:r w:rsidRPr="00F517E2">
        <w:t>son och alltså inte något generellt uppgiftslämnande med direktanslutning till Skatt</w:t>
      </w:r>
      <w:r w:rsidRPr="00F517E2">
        <w:t>e</w:t>
      </w:r>
      <w:r w:rsidRPr="00F517E2">
        <w:t xml:space="preserve">verkets databas. </w:t>
      </w:r>
    </w:p>
    <w:p w:rsidR="00516C26" w:rsidRPr="00F517E2" w:rsidRDefault="007A056D" w:rsidP="00516C26">
      <w:pPr>
        <w:pStyle w:val="Normaltindrag"/>
      </w:pPr>
      <w:r w:rsidRPr="00F517E2">
        <w:t>För uppgifter av det slag som nu nämnts gäller sekretess hos Skatteverket. Sekretessen – som regleras i 27 kap. 1 § offentlighets- och sekretesslagen (2009:400) – är absolut. För att Skatteverket ska kunna lämna uppgifter till nämnden krävs en sekretessbrytande bestämmelse. Utan tillgång till dessa uppgifter skulle det i praktiken inte vara möjligt att bedriva en til</w:t>
      </w:r>
      <w:r w:rsidRPr="00F517E2">
        <w:t>l</w:t>
      </w:r>
      <w:r w:rsidRPr="00F517E2">
        <w:t>syn som omfattar de förhållanden som åsyftas med de ovan föreslagna än</w:t>
      </w:r>
      <w:r w:rsidRPr="00F517E2">
        <w:t>d</w:t>
      </w:r>
      <w:r w:rsidRPr="00F517E2">
        <w:t>ringarna beträffande jämkningsmöjligheterna. Det skulle också bli svårt att pröva frågan om inkomstgaranti när garantitagaren helt eller delvis återfört exe</w:t>
      </w:r>
      <w:r w:rsidRPr="00F517E2">
        <w:t>m</w:t>
      </w:r>
      <w:r w:rsidRPr="00F517E2">
        <w:t>pelvis en avsättning till periodiseringsfond till beskattning. Som framgår av nästa avsnitt skyddas uppgifterna också av en sekretessregel som gäller hos nämnden, låt vara att den inte innebär en lika stark sekretess som hos Skatt</w:t>
      </w:r>
      <w:r w:rsidRPr="00F517E2">
        <w:t>e</w:t>
      </w:r>
      <w:r w:rsidRPr="00F517E2">
        <w:t>verket. En regel om uppgiftsskyldighet bör alltså införas som en ny paragraf, 13 kap. 24 c §, i ersättningslagen</w:t>
      </w:r>
      <w:r w:rsidR="00C2449E" w:rsidRPr="00F517E2">
        <w:t>.</w:t>
      </w:r>
      <w:r w:rsidR="00516C26" w:rsidRPr="00F517E2">
        <w:t xml:space="preserve"> </w:t>
      </w:r>
      <w:r w:rsidR="00C2449E" w:rsidRPr="00F517E2">
        <w:t>Förslaget</w:t>
      </w:r>
      <w:r w:rsidRPr="00F517E2">
        <w:t xml:space="preserve"> har en förebild i 20 kap. 9 § lagen (1962:381) om allmän försäkring.</w:t>
      </w:r>
      <w:r w:rsidR="00516C26" w:rsidRPr="00F517E2">
        <w:t xml:space="preserve"> </w:t>
      </w:r>
    </w:p>
    <w:p w:rsidR="00516C26" w:rsidRPr="00F517E2" w:rsidRDefault="007A056D" w:rsidP="00516C26">
      <w:pPr>
        <w:pStyle w:val="Normaltindrag"/>
      </w:pPr>
      <w:r w:rsidRPr="00F517E2">
        <w:t>Frågan blir då vilka författningsändringar som behövs i övrigt. Av den sä</w:t>
      </w:r>
      <w:r w:rsidRPr="00F517E2">
        <w:t>r</w:t>
      </w:r>
      <w:r w:rsidRPr="00F517E2">
        <w:t>skilda lagen (2001:181) om behandling av uppgifter i Skatteverkets beskat</w:t>
      </w:r>
      <w:r w:rsidRPr="00F517E2">
        <w:t>t</w:t>
      </w:r>
      <w:r w:rsidRPr="00F517E2">
        <w:t xml:space="preserve">ningsverksamhet framgår </w:t>
      </w:r>
      <w:r w:rsidR="00AA3EEE" w:rsidRPr="00F517E2">
        <w:t>av</w:t>
      </w:r>
      <w:r w:rsidRPr="00F517E2">
        <w:t xml:space="preserve"> 1 kap. 5 § 5 att uppgifter får behandlas för til</w:t>
      </w:r>
      <w:r w:rsidRPr="00F517E2">
        <w:t>l</w:t>
      </w:r>
      <w:r w:rsidRPr="00F517E2">
        <w:t>handahållande av information som behövs i författningsreglerad verksa</w:t>
      </w:r>
      <w:r w:rsidRPr="00F517E2">
        <w:t>m</w:t>
      </w:r>
      <w:r w:rsidRPr="00F517E2">
        <w:t>het hos någon annan än Skatteverket för bl.a. tillsyn och kontroll. Arvodesnäm</w:t>
      </w:r>
      <w:r w:rsidRPr="00F517E2">
        <w:t>n</w:t>
      </w:r>
      <w:r w:rsidRPr="00F517E2">
        <w:t>dens verksamhet är reglerad i lagen (1993:1426) med instruktion för Riksd</w:t>
      </w:r>
      <w:r w:rsidRPr="00F517E2">
        <w:t>a</w:t>
      </w:r>
      <w:r w:rsidRPr="00F517E2">
        <w:t>gens arvodesnämnd</w:t>
      </w:r>
      <w:r w:rsidR="00660EBC" w:rsidRPr="00F517E2">
        <w:t>,</w:t>
      </w:r>
      <w:r w:rsidRPr="00F517E2">
        <w:t xml:space="preserve"> och nämndens verksamhet avser tillsyn. </w:t>
      </w:r>
      <w:r w:rsidR="00AA3EEE" w:rsidRPr="00F517E2">
        <w:t>A</w:t>
      </w:r>
      <w:r w:rsidRPr="00F517E2">
        <w:t xml:space="preserve">v </w:t>
      </w:r>
      <w:r w:rsidR="00AA3EEE" w:rsidRPr="00F517E2">
        <w:t xml:space="preserve">detta </w:t>
      </w:r>
      <w:r w:rsidRPr="00F517E2">
        <w:t>följer att Skatteverket redan får behandla uppgifter som nämnden behöver i sin ver</w:t>
      </w:r>
      <w:r w:rsidRPr="00F517E2">
        <w:t>k</w:t>
      </w:r>
      <w:r w:rsidRPr="00F517E2">
        <w:t xml:space="preserve">samhet. Någon ändring av den nämnda lagen krävs alltså inte. </w:t>
      </w:r>
    </w:p>
    <w:p w:rsidR="007A056D" w:rsidRPr="00F517E2" w:rsidRDefault="007A056D" w:rsidP="00516C26">
      <w:pPr>
        <w:pStyle w:val="Normaltindrag"/>
      </w:pPr>
      <w:r w:rsidRPr="00F517E2">
        <w:t>En författningsändring bör däremot göras i förordningen (2001:588) om behandling av uppgifter i Skatteverkets beskattningsverksamhet. I den fö</w:t>
      </w:r>
      <w:r w:rsidRPr="00F517E2">
        <w:t>r</w:t>
      </w:r>
      <w:r w:rsidRPr="00F517E2">
        <w:t>ordningen finns ett avsnitt med bestämmelser under rubriken</w:t>
      </w:r>
      <w:r w:rsidR="00660EBC" w:rsidRPr="00F517E2">
        <w:t xml:space="preserve"> </w:t>
      </w:r>
      <w:r w:rsidRPr="00F517E2">
        <w:t>”U</w:t>
      </w:r>
      <w:r w:rsidRPr="00F517E2">
        <w:t>t</w:t>
      </w:r>
      <w:r w:rsidRPr="00F517E2">
        <w:t xml:space="preserve">lämnande av uppgifter till myndigheter” </w:t>
      </w:r>
      <w:r w:rsidR="00AA3EEE" w:rsidRPr="00F517E2">
        <w:t xml:space="preserve">(före 4 §) </w:t>
      </w:r>
      <w:r w:rsidRPr="00F517E2">
        <w:t xml:space="preserve">som i dag innehåller en bestämmelse i </w:t>
      </w:r>
      <w:smartTag w:uri="urn:schemas-microsoft-com:office:smarttags" w:element="metricconverter">
        <w:smartTagPr>
          <w:attr w:name="ProductID" w:val="8 a"/>
        </w:smartTagPr>
        <w:r w:rsidRPr="00F517E2">
          <w:t>8 a</w:t>
        </w:r>
      </w:smartTag>
      <w:r w:rsidRPr="00F517E2">
        <w:t xml:space="preserve"> § som reglerar uppgiftsutlämnande till socialnämnd och Statens pension</w:t>
      </w:r>
      <w:r w:rsidRPr="00F517E2">
        <w:t>s</w:t>
      </w:r>
      <w:r w:rsidRPr="00F517E2">
        <w:t>verk. Till denna par</w:t>
      </w:r>
      <w:r w:rsidRPr="00F517E2">
        <w:t>a</w:t>
      </w:r>
      <w:r w:rsidRPr="00F517E2">
        <w:t xml:space="preserve">graf bör – med beaktande även av det förslag som läggs fram i avsnitt </w:t>
      </w:r>
      <w:r w:rsidR="00C2449E" w:rsidRPr="00F517E2">
        <w:t>5.2.13</w:t>
      </w:r>
      <w:r w:rsidRPr="00F517E2">
        <w:t xml:space="preserve"> om följdändringar </w:t>
      </w:r>
      <w:r w:rsidR="00B10664" w:rsidRPr="00F517E2">
        <w:t xml:space="preserve">som rör </w:t>
      </w:r>
      <w:r w:rsidRPr="00F517E2">
        <w:t>ledamöter av Europaparl</w:t>
      </w:r>
      <w:r w:rsidRPr="00F517E2">
        <w:t>a</w:t>
      </w:r>
      <w:r w:rsidRPr="00F517E2">
        <w:t xml:space="preserve">mentet – </w:t>
      </w:r>
      <w:r w:rsidR="00DE686C" w:rsidRPr="00F517E2">
        <w:t xml:space="preserve">det </w:t>
      </w:r>
      <w:r w:rsidRPr="00F517E2">
        <w:t>föras ett nytt tredje stycke med följande lydelse:</w:t>
      </w:r>
      <w:r w:rsidR="00516C26" w:rsidRPr="00F517E2">
        <w:t xml:space="preserve"> </w:t>
      </w:r>
      <w:r w:rsidRPr="00F517E2">
        <w:t>”Av 13</w:t>
      </w:r>
      <w:r w:rsidR="00DE686C" w:rsidRPr="00F517E2">
        <w:t> </w:t>
      </w:r>
      <w:r w:rsidRPr="00F517E2">
        <w:t>kap.</w:t>
      </w:r>
      <w:r w:rsidR="00DE686C" w:rsidRPr="00F517E2">
        <w:t> </w:t>
      </w:r>
      <w:r w:rsidRPr="00F517E2">
        <w:t>24</w:t>
      </w:r>
      <w:r w:rsidR="00DE686C" w:rsidRPr="00F517E2">
        <w:t> c </w:t>
      </w:r>
      <w:r w:rsidRPr="00F517E2">
        <w:t>§ lagen (1994:1065) om ekonomiska villkor för riksdagens l</w:t>
      </w:r>
      <w:r w:rsidRPr="00F517E2">
        <w:t>e</w:t>
      </w:r>
      <w:r w:rsidRPr="00F517E2">
        <w:t>damöter framgår att vissa uppgifter ska lämnas till Riksdagens arvode</w:t>
      </w:r>
      <w:r w:rsidRPr="00F517E2">
        <w:t>s</w:t>
      </w:r>
      <w:r w:rsidRPr="00F517E2">
        <w:t>nämnd.</w:t>
      </w:r>
      <w:r w:rsidR="009757BC" w:rsidRPr="00F517E2">
        <w:t>”</w:t>
      </w:r>
    </w:p>
    <w:p w:rsidR="007A056D" w:rsidRPr="00F517E2" w:rsidRDefault="007A056D" w:rsidP="00C30F99">
      <w:pPr>
        <w:pStyle w:val="Rubrik3"/>
        <w:rPr>
          <w:noProof w:val="0"/>
        </w:rPr>
      </w:pPr>
      <w:bookmarkStart w:id="36" w:name="_Toc277831129"/>
      <w:r w:rsidRPr="00F517E2">
        <w:rPr>
          <w:noProof w:val="0"/>
        </w:rPr>
        <w:t>Sekretess hos Riksdagens arvodesnämnd</w:t>
      </w:r>
      <w:bookmarkEnd w:id="36"/>
    </w:p>
    <w:p w:rsidR="00C30F99" w:rsidRPr="00F517E2" w:rsidRDefault="00C30F99" w:rsidP="00C30F99">
      <w:pPr>
        <w:pStyle w:val="Utskottsfrslagikorthet-Rubrik"/>
        <w:numPr>
          <w:ilvl w:val="0"/>
          <w:numId w:val="0"/>
        </w:numPr>
        <w:ind w:left="113"/>
        <w:rPr>
          <w:noProof w:val="0"/>
          <w:sz w:val="19"/>
          <w:szCs w:val="19"/>
        </w:rPr>
      </w:pPr>
      <w:r w:rsidRPr="00F517E2">
        <w:rPr>
          <w:noProof w:val="0"/>
          <w:sz w:val="19"/>
          <w:szCs w:val="19"/>
        </w:rPr>
        <w:t xml:space="preserve">Riksdagsstyrelsens förslag: </w:t>
      </w:r>
      <w:r w:rsidRPr="00F517E2">
        <w:rPr>
          <w:b w:val="0"/>
          <w:noProof w:val="0"/>
          <w:sz w:val="19"/>
          <w:szCs w:val="19"/>
        </w:rPr>
        <w:t xml:space="preserve">Bestämmelsen om sekretess i ärenden om inkomstgaranti ska inte ändras. </w:t>
      </w:r>
    </w:p>
    <w:p w:rsidR="00C30F99" w:rsidRPr="00F517E2" w:rsidRDefault="003969ED" w:rsidP="00C30F99">
      <w:r w:rsidRPr="00F517E2">
        <w:rPr>
          <w:b/>
        </w:rPr>
        <w:t>Arbetsgruppens</w:t>
      </w:r>
      <w:r w:rsidR="00C30F99" w:rsidRPr="00F517E2">
        <w:rPr>
          <w:b/>
        </w:rPr>
        <w:t xml:space="preserve"> förslag </w:t>
      </w:r>
      <w:r w:rsidR="00C30F99" w:rsidRPr="00F517E2">
        <w:t>överensstämmer med riksdagsstyrelsens fö</w:t>
      </w:r>
      <w:r w:rsidR="00C30F99" w:rsidRPr="00F517E2">
        <w:t>r</w:t>
      </w:r>
      <w:r w:rsidR="00C30F99" w:rsidRPr="00F517E2">
        <w:t xml:space="preserve">slag. </w:t>
      </w:r>
    </w:p>
    <w:p w:rsidR="00C30F99" w:rsidRPr="00F517E2" w:rsidRDefault="00C30F99" w:rsidP="00C30F99">
      <w:pPr>
        <w:rPr>
          <w:b/>
        </w:rPr>
      </w:pPr>
      <w:r w:rsidRPr="00F517E2">
        <w:rPr>
          <w:b/>
        </w:rPr>
        <w:t xml:space="preserve">Remissinstanserna: </w:t>
      </w:r>
    </w:p>
    <w:p w:rsidR="00D13172" w:rsidRPr="00F517E2" w:rsidRDefault="00D13172" w:rsidP="00D13172">
      <w:r w:rsidRPr="00F517E2">
        <w:t>Skatteverket har tillstyrkt förslaget.</w:t>
      </w:r>
    </w:p>
    <w:p w:rsidR="00D1503A" w:rsidRPr="00F517E2" w:rsidRDefault="00D1503A" w:rsidP="00D1503A">
      <w:pPr>
        <w:pStyle w:val="Normaltindrag"/>
      </w:pPr>
      <w:r w:rsidRPr="00F517E2">
        <w:t>Statens pensionsverk har inga invändningar mot förslaget. Kammarrätten i Stockholm har utifrån de aspekter domstolen har att beakta inte några sy</w:t>
      </w:r>
      <w:r w:rsidRPr="00F517E2">
        <w:t>n</w:t>
      </w:r>
      <w:r w:rsidRPr="00F517E2">
        <w:t>punkter på förslaget. Riksdagens ombudsmän (JO) har från de synpunkter som JO har att beakta inga in</w:t>
      </w:r>
      <w:r w:rsidR="00CE6033" w:rsidRPr="00F517E2">
        <w:t>vändningar</w:t>
      </w:r>
      <w:r w:rsidRPr="00F517E2">
        <w:t xml:space="preserve"> mot förslaget. Sveriges Komm</w:t>
      </w:r>
      <w:r w:rsidRPr="00F517E2">
        <w:t>u</w:t>
      </w:r>
      <w:r w:rsidRPr="00F517E2">
        <w:t xml:space="preserve">ner och Landsting har avstått från att lämna synpunkter. </w:t>
      </w:r>
    </w:p>
    <w:p w:rsidR="00C30F99" w:rsidRPr="00F517E2" w:rsidRDefault="00C30F99" w:rsidP="00C30F99">
      <w:pPr>
        <w:pStyle w:val="R4"/>
      </w:pPr>
      <w:r w:rsidRPr="00F517E2">
        <w:t>Gällande ordning</w:t>
      </w:r>
    </w:p>
    <w:p w:rsidR="00516C26" w:rsidRPr="00F517E2" w:rsidRDefault="00C30F99" w:rsidP="00BA2B26">
      <w:pPr>
        <w:spacing w:before="0"/>
      </w:pPr>
      <w:r w:rsidRPr="00F517E2">
        <w:t xml:space="preserve">Enligt 28 kap. 8 § offentlighets- och sekretesslagen (2009:400) råder – såvitt nu är av intresse – sekretess i ärenden om inkomstgaranti </w:t>
      </w:r>
      <w:r w:rsidR="00F635CF" w:rsidRPr="00F517E2">
        <w:t>som rör</w:t>
      </w:r>
      <w:r w:rsidRPr="00F517E2">
        <w:t xml:space="preserve"> den som varit riksdagsledamot eller Sveriges företrädare i Europaparlamentet för up</w:t>
      </w:r>
      <w:r w:rsidRPr="00F517E2">
        <w:t>p</w:t>
      </w:r>
      <w:r w:rsidRPr="00F517E2">
        <w:t>gifter om enskilds personliga eller ekonomiska förhållanden, om det kan antas att den som uppgiften rör lider skada eller men om uppgiften röjs. B</w:t>
      </w:r>
      <w:r w:rsidRPr="00F517E2">
        <w:t>e</w:t>
      </w:r>
      <w:r w:rsidRPr="00F517E2">
        <w:t xml:space="preserve">slut i ett sådant ärende omfattas dock inte av sekretessen. </w:t>
      </w:r>
    </w:p>
    <w:p w:rsidR="00C30F99" w:rsidRPr="00F517E2" w:rsidRDefault="00C30F99" w:rsidP="00516C26">
      <w:pPr>
        <w:pStyle w:val="Normaltindrag"/>
      </w:pPr>
      <w:r w:rsidRPr="00F517E2">
        <w:t xml:space="preserve">En motsvarande sekretessbestämmelse </w:t>
      </w:r>
      <w:r w:rsidR="00153E0B" w:rsidRPr="00F517E2">
        <w:t xml:space="preserve">trädde i kraft </w:t>
      </w:r>
      <w:r w:rsidRPr="00F517E2">
        <w:t>2003 i samband med att nya administrativa rutiner infördes för handläggningen av äre</w:t>
      </w:r>
      <w:r w:rsidRPr="00F517E2">
        <w:t>n</w:t>
      </w:r>
      <w:r w:rsidRPr="00F517E2">
        <w:t>den om inkomstgarantier. De nya rutinerna innebar bl.a. att garantitag</w:t>
      </w:r>
      <w:r w:rsidRPr="00F517E2">
        <w:t>a</w:t>
      </w:r>
      <w:r w:rsidRPr="00F517E2">
        <w:t>rens skyldighet att lämna de uppgifter som behövs för handläggningen av ärendet om i</w:t>
      </w:r>
      <w:r w:rsidRPr="00F517E2">
        <w:t>n</w:t>
      </w:r>
      <w:r w:rsidRPr="00F517E2">
        <w:t>komstgaranti lagreglerades. Jämkningsreglerna fanns inte då</w:t>
      </w:r>
      <w:r w:rsidR="00153E0B" w:rsidRPr="00F517E2">
        <w:t>,</w:t>
      </w:r>
      <w:r w:rsidRPr="00F517E2">
        <w:t xml:space="preserve"> utan sekretes</w:t>
      </w:r>
      <w:r w:rsidRPr="00F517E2">
        <w:t>s</w:t>
      </w:r>
      <w:r w:rsidRPr="00F517E2">
        <w:t>bestämmelsen tog sikte på uppgifter som kunde finnas hos Statens pension</w:t>
      </w:r>
      <w:r w:rsidRPr="00F517E2">
        <w:t>s</w:t>
      </w:r>
      <w:r w:rsidRPr="00F517E2">
        <w:t>verk, riksdagsförvaltningen och dåvarande Riksdagens besvärsnämnd. I la</w:t>
      </w:r>
      <w:r w:rsidRPr="00F517E2">
        <w:t>g</w:t>
      </w:r>
      <w:r w:rsidRPr="00F517E2">
        <w:t>stiftningsärendet konstaterades att flera uppgifter hos de nämnda organen framstod som harmlösa, exempe</w:t>
      </w:r>
      <w:r w:rsidRPr="00F517E2">
        <w:t>l</w:t>
      </w:r>
      <w:r w:rsidRPr="00F517E2">
        <w:t>vis löneutbetalningar, och borde kunna lämnas ut. Uppgifter som inhämtats i kontrollsyfte borde dä</w:t>
      </w:r>
      <w:r w:rsidRPr="00F517E2">
        <w:t>r</w:t>
      </w:r>
      <w:r w:rsidRPr="00F517E2">
        <w:t>emot normalt sett inte lämnas ut.</w:t>
      </w:r>
    </w:p>
    <w:p w:rsidR="00C30F99" w:rsidRPr="00F517E2" w:rsidRDefault="00C30F99" w:rsidP="00C30F99">
      <w:pPr>
        <w:pStyle w:val="R4"/>
      </w:pPr>
      <w:r w:rsidRPr="00F517E2">
        <w:t>Rik</w:t>
      </w:r>
      <w:r w:rsidR="007A1EDB" w:rsidRPr="00F517E2">
        <w:t>s</w:t>
      </w:r>
      <w:r w:rsidRPr="00F517E2">
        <w:t>dagsstyrelsens ställningstagande</w:t>
      </w:r>
    </w:p>
    <w:p w:rsidR="00516C26" w:rsidRPr="00F517E2" w:rsidRDefault="007A056D" w:rsidP="00BA2B26">
      <w:pPr>
        <w:spacing w:before="0"/>
      </w:pPr>
      <w:r w:rsidRPr="00F517E2">
        <w:t xml:space="preserve">Till en början kan det här konstateras att det inte finns skäl att överväga en inskränkning av det skydd som den nuvarande sekretessregeln ger uttryck för. Frågan är i stället om det finns behov av ett starkare skydd. </w:t>
      </w:r>
    </w:p>
    <w:p w:rsidR="00516C26" w:rsidRPr="00F517E2" w:rsidRDefault="007A056D" w:rsidP="00516C26">
      <w:pPr>
        <w:pStyle w:val="Normaltindrag"/>
      </w:pPr>
      <w:r w:rsidRPr="00F517E2">
        <w:t>Sedan sekretes</w:t>
      </w:r>
      <w:r w:rsidRPr="00F517E2">
        <w:t>s</w:t>
      </w:r>
      <w:r w:rsidRPr="00F517E2">
        <w:t xml:space="preserve">bestämmelsen infördes har läget förändrats så till vida att det införts regler om jämkning av inkomstgaranti, vars </w:t>
      </w:r>
      <w:r w:rsidR="00885BDD" w:rsidRPr="00F517E2">
        <w:t>tillämpning alltså ankommer på a</w:t>
      </w:r>
      <w:r w:rsidRPr="00F517E2">
        <w:t>rvode</w:t>
      </w:r>
      <w:r w:rsidRPr="00F517E2">
        <w:t>s</w:t>
      </w:r>
      <w:r w:rsidRPr="00F517E2">
        <w:t>nämnden. De uppgifter som förekommer hos nämnden är genomgående ett resultat av nämndens tillsynsverksamhet. Här handlar det i första hand om uppgifter om inkomster m.m. som lämnats på de blanketter som skickas in till Statens pensionsverk i samband med årsavstämningen. Som framgått ovan begär nämnden in kopior av dessa handlingar som ett led i tillsynsverksamheten. Uppgifterna rör inkomsters storlek och vilket inkoms</w:t>
      </w:r>
      <w:r w:rsidRPr="00F517E2">
        <w:t>t</w:t>
      </w:r>
      <w:r w:rsidRPr="00F517E2">
        <w:t>slag de hänför sig till. Däremot framgår som regel inte vilken arbetsgivare som inkomsterna härrör från. Utöver dessa uppgifter tar nämnden in uppgifter från Bolagsve</w:t>
      </w:r>
      <w:r w:rsidRPr="00F517E2">
        <w:t>r</w:t>
      </w:r>
      <w:r w:rsidRPr="00F517E2">
        <w:t>ket om garantitagarnas eventuella uppdrag som funktionärer. Det innebär att det exempelvis finns uppgifter hos nämnden om en garantit</w:t>
      </w:r>
      <w:r w:rsidRPr="00F517E2">
        <w:t>a</w:t>
      </w:r>
      <w:r w:rsidRPr="00F517E2">
        <w:t>gare är styrels</w:t>
      </w:r>
      <w:r w:rsidRPr="00F517E2">
        <w:t>e</w:t>
      </w:r>
      <w:r w:rsidRPr="00F517E2">
        <w:t xml:space="preserve">ledamot i ett aktiebolag eller om han eller hon registrerat en enskild firma. Motsvarande uppgifter inhämtas om garantitagarens maka eller make. Om ett tillsynsärende inleds kan det inträffa att redovisningshandlingar rekvireras </w:t>
      </w:r>
      <w:r w:rsidR="00153E0B" w:rsidRPr="00F517E2">
        <w:t>om</w:t>
      </w:r>
      <w:r w:rsidRPr="00F517E2">
        <w:t xml:space="preserve"> ett bolag där en garantitagare är verksam. </w:t>
      </w:r>
    </w:p>
    <w:p w:rsidR="00516C26" w:rsidRPr="00F517E2" w:rsidRDefault="007A056D" w:rsidP="00516C26">
      <w:pPr>
        <w:pStyle w:val="Normaltindrag"/>
      </w:pPr>
      <w:r w:rsidRPr="00F517E2">
        <w:t>De uppgifter som nu nämnts är offentliga i de organ från vilka de inhä</w:t>
      </w:r>
      <w:r w:rsidRPr="00F517E2">
        <w:t>m</w:t>
      </w:r>
      <w:r w:rsidRPr="00F517E2">
        <w:t>tats. Det kan dock inträffa att ytterligare uppgifter om verksamheten i ett bolag kan behöva inhämtas. Här handlar det exempelvis om detaljuppgifter som inte framgår av bolagets årsredovisning. Sådana upplysningar inhämtas från g</w:t>
      </w:r>
      <w:r w:rsidRPr="00F517E2">
        <w:t>a</w:t>
      </w:r>
      <w:r w:rsidRPr="00F517E2">
        <w:t>rantitagarna.</w:t>
      </w:r>
      <w:r w:rsidR="00516C26" w:rsidRPr="00F517E2">
        <w:t xml:space="preserve"> </w:t>
      </w:r>
    </w:p>
    <w:p w:rsidR="00516C26" w:rsidRPr="00F517E2" w:rsidRDefault="007A056D" w:rsidP="00516C26">
      <w:pPr>
        <w:pStyle w:val="Normaltindrag"/>
      </w:pPr>
      <w:r w:rsidRPr="00F517E2">
        <w:t>Den nu gjorda genomgången tar sikte på sådana uppgifter som nämnden inhämtar inom ramen för den tillsyn som bedrivs i dag. Som framgått ovan föreslå</w:t>
      </w:r>
      <w:r w:rsidR="00A406A6" w:rsidRPr="00F517E2">
        <w:t>r</w:t>
      </w:r>
      <w:r w:rsidRPr="00F517E2">
        <w:t xml:space="preserve"> </w:t>
      </w:r>
      <w:r w:rsidR="00A406A6" w:rsidRPr="00F517E2">
        <w:t xml:space="preserve">riksdagsstyrelsen </w:t>
      </w:r>
      <w:r w:rsidRPr="00F517E2">
        <w:t>att jämkningsreglerna ändras så att jämkning kan bli aktuell i fler fall än med dagens regler. Det föreslås också att garantitaga</w:t>
      </w:r>
      <w:r w:rsidRPr="00F517E2">
        <w:t>r</w:t>
      </w:r>
      <w:r w:rsidRPr="00F517E2">
        <w:t>na ska vara skyldiga att lämna uppgifter till nämnden. Härtill föreslås att Skatteverket ska lämna vissa uppgifter till nämnden som behövs för tillsyn</w:t>
      </w:r>
      <w:r w:rsidRPr="00F517E2">
        <w:t>s</w:t>
      </w:r>
      <w:r w:rsidRPr="00F517E2">
        <w:t>verksamheten. Detta innebär att det kan antas att betydligt fler uppgifter om e</w:t>
      </w:r>
      <w:r w:rsidRPr="00F517E2">
        <w:t>n</w:t>
      </w:r>
      <w:r w:rsidRPr="00F517E2">
        <w:t>skildas ekonomiska förhållanden kommer att finnas hos nämnden om de nu redovis</w:t>
      </w:r>
      <w:r w:rsidRPr="00F517E2">
        <w:t>a</w:t>
      </w:r>
      <w:r w:rsidRPr="00F517E2">
        <w:t xml:space="preserve">de förslagen genomförs. De nya uppgifterna är inte offentliga hos den som de inhämtas från. </w:t>
      </w:r>
    </w:p>
    <w:p w:rsidR="00516C26" w:rsidRPr="00F517E2" w:rsidRDefault="007A056D" w:rsidP="00516C26">
      <w:pPr>
        <w:pStyle w:val="Normaltindrag"/>
      </w:pPr>
      <w:r w:rsidRPr="00F517E2">
        <w:t>De uppgifter som kommer att finnas i ett ärende om inkomstgaranti hos nämnden skiljer sig alltså i betydande utsträckning från dem som var aktuella när den nu gällande sekretessregeln infördes. Framför allt de uppgifter som inte är offentliga någon annanstans framstår som relativt sett skyddsvärda i detta sammanhang. Detta gäller särskilt de uppgifter som lämnats från Skatt</w:t>
      </w:r>
      <w:r w:rsidRPr="00F517E2">
        <w:t>e</w:t>
      </w:r>
      <w:r w:rsidRPr="00F517E2">
        <w:t>verket där ju sekretessen är absolut. I sammanhanget kan erinras om innebö</w:t>
      </w:r>
      <w:r w:rsidRPr="00F517E2">
        <w:t>r</w:t>
      </w:r>
      <w:r w:rsidRPr="00F517E2">
        <w:t>den av bestämmelserna i 11 kap. offentlighets- och sekretesslagen som regl</w:t>
      </w:r>
      <w:r w:rsidRPr="00F517E2">
        <w:t>e</w:t>
      </w:r>
      <w:r w:rsidRPr="00F517E2">
        <w:t>rar överföring av sekretess i vissa fall. Av bestämmelsen där i 8 § följer att det hos nämnden blir fråga om att tillämpa den primära sekretessregeln i 28 kap. 28 § och inte den sekundära i 27 kap. 1 § på uppgifter som lämnats från Ska</w:t>
      </w:r>
      <w:r w:rsidRPr="00F517E2">
        <w:t>t</w:t>
      </w:r>
      <w:r w:rsidRPr="00F517E2">
        <w:t>teverket till nämnden. Det blir därmed den svagare sekretessen som kommer att gälla för uppgifterna från Skatteverket. Härtill kommer att samtliga up</w:t>
      </w:r>
      <w:r w:rsidRPr="00F517E2">
        <w:t>p</w:t>
      </w:r>
      <w:r w:rsidRPr="00F517E2">
        <w:t xml:space="preserve">gifter som finns hos nämnden har inhämtats i kontrollsyfte. Det som sagts nu talar för att skyddet för uppgifter hos nämnden </w:t>
      </w:r>
      <w:r w:rsidR="00A75691" w:rsidRPr="00F517E2">
        <w:t xml:space="preserve">bör </w:t>
      </w:r>
      <w:r w:rsidRPr="00F517E2">
        <w:t>stärk</w:t>
      </w:r>
      <w:r w:rsidR="00A75691" w:rsidRPr="00F517E2">
        <w:t>a</w:t>
      </w:r>
      <w:r w:rsidRPr="00F517E2">
        <w:t xml:space="preserve">s. </w:t>
      </w:r>
    </w:p>
    <w:p w:rsidR="00516C26" w:rsidRPr="00F517E2" w:rsidRDefault="007A056D" w:rsidP="00516C26">
      <w:pPr>
        <w:pStyle w:val="Normaltindrag"/>
      </w:pPr>
      <w:r w:rsidRPr="00F517E2">
        <w:t xml:space="preserve">Mot en skärpning av sekretessregeln talar emellertid flera skäl. </w:t>
      </w:r>
    </w:p>
    <w:p w:rsidR="00516C26" w:rsidRPr="00F517E2" w:rsidRDefault="007A056D" w:rsidP="00516C26">
      <w:pPr>
        <w:pStyle w:val="Normaltindrag"/>
      </w:pPr>
      <w:r w:rsidRPr="00F517E2">
        <w:t>För det fö</w:t>
      </w:r>
      <w:r w:rsidRPr="00F517E2">
        <w:t>r</w:t>
      </w:r>
      <w:r w:rsidRPr="00F517E2">
        <w:t>sta handlar det här om uppgifter som rör personer som tidigare haft ett förtr</w:t>
      </w:r>
      <w:r w:rsidRPr="00F517E2">
        <w:t>o</w:t>
      </w:r>
      <w:r w:rsidRPr="00F517E2">
        <w:t>endeuppdrag. Frågor om ersättningar och förmåner för sådana personer är av mycket stor betydelse för allmänhetens tilltro till förtroend</w:t>
      </w:r>
      <w:r w:rsidRPr="00F517E2">
        <w:t>e</w:t>
      </w:r>
      <w:r w:rsidRPr="00F517E2">
        <w:t>valda, vilket i förlängningen också är av betydelse för tilltron till det dem</w:t>
      </w:r>
      <w:r w:rsidRPr="00F517E2">
        <w:t>o</w:t>
      </w:r>
      <w:r w:rsidRPr="00F517E2">
        <w:t>kratiska statsskicket. En förtroendevald måste alltså tåla en ingående grans</w:t>
      </w:r>
      <w:r w:rsidRPr="00F517E2">
        <w:t>k</w:t>
      </w:r>
      <w:r w:rsidRPr="00F517E2">
        <w:t>ning. Detta gäller även efter det att uppdraget avslutats, om han eller hon som i de nu aktuella fallen fortfarande tar emot en förmån som har samband med det tidigare förtroendeuppdraget. Detta behov av insyn var ett av skälen till att ett s.k. rakt skaderekvisit valdes när den ursprungliga sekretessregeln infö</w:t>
      </w:r>
      <w:r w:rsidRPr="00F517E2">
        <w:t>r</w:t>
      </w:r>
      <w:r w:rsidRPr="00F517E2">
        <w:t xml:space="preserve">des. </w:t>
      </w:r>
    </w:p>
    <w:p w:rsidR="00516C26" w:rsidRPr="00F517E2" w:rsidRDefault="007A056D" w:rsidP="00516C26">
      <w:pPr>
        <w:pStyle w:val="Normaltindrag"/>
      </w:pPr>
      <w:r w:rsidRPr="00F517E2">
        <w:t>För det andra skulle en skärpning av sekretessen till ett s.k. omvänt skad</w:t>
      </w:r>
      <w:r w:rsidRPr="00F517E2">
        <w:t>e</w:t>
      </w:r>
      <w:r w:rsidRPr="00F517E2">
        <w:t>re</w:t>
      </w:r>
      <w:r w:rsidRPr="00F517E2">
        <w:t>k</w:t>
      </w:r>
      <w:r w:rsidRPr="00F517E2">
        <w:t>visit innebära att bestämmelsen fick en mindre lyckad utformning från rent systematiska utgångspunkter. För uppgifter om enskildas ekonomiska förhå</w:t>
      </w:r>
      <w:r w:rsidRPr="00F517E2">
        <w:t>l</w:t>
      </w:r>
      <w:r w:rsidRPr="00F517E2">
        <w:t xml:space="preserve">landen </w:t>
      </w:r>
      <w:r w:rsidR="000922DB" w:rsidRPr="00F517E2">
        <w:t>–</w:t>
      </w:r>
      <w:r w:rsidR="00536734" w:rsidRPr="00F517E2">
        <w:t xml:space="preserve"> </w:t>
      </w:r>
      <w:r w:rsidRPr="00F517E2">
        <w:t>vilket det i regel är fråga om i dessa sammanhang – gäller vanligtvis ett rakt skaderekvisit. Detsamma gäller uppgifter hos tillsynsorgan.</w:t>
      </w:r>
      <w:r w:rsidR="00516C26" w:rsidRPr="00F517E2">
        <w:t xml:space="preserve"> </w:t>
      </w:r>
    </w:p>
    <w:p w:rsidR="00516C26" w:rsidRPr="00F517E2" w:rsidRDefault="007A056D" w:rsidP="00516C26">
      <w:pPr>
        <w:pStyle w:val="Normaltindrag"/>
      </w:pPr>
      <w:r w:rsidRPr="00F517E2">
        <w:t>För det tredje är många av de uppgifter som samlas in hos nämnden av ganska har</w:t>
      </w:r>
      <w:r w:rsidRPr="00F517E2">
        <w:t>m</w:t>
      </w:r>
      <w:r w:rsidRPr="00F517E2">
        <w:t xml:space="preserve">lös karaktär. Även om de mer skyddsvärda uppgifterna nu ökar i antal utgör det inte ett tillräckligt skäl för att ändra skaderekvisitet. </w:t>
      </w:r>
    </w:p>
    <w:p w:rsidR="007A056D" w:rsidRPr="00F517E2" w:rsidRDefault="007A056D" w:rsidP="00516C26">
      <w:pPr>
        <w:pStyle w:val="Normaltindrag"/>
      </w:pPr>
      <w:r w:rsidRPr="00F517E2">
        <w:t xml:space="preserve">En samlad bedömning ger vid handen att det inte finns tillräckliga skäl för att föreslå en ändring av den nuvarande sekretessbestämmelsen som tar sikte på ärenden om inkomstgaranti. </w:t>
      </w:r>
    </w:p>
    <w:p w:rsidR="007A056D" w:rsidRPr="00F517E2" w:rsidRDefault="007A056D" w:rsidP="00440806">
      <w:pPr>
        <w:pStyle w:val="Rubrik3"/>
        <w:rPr>
          <w:noProof w:val="0"/>
        </w:rPr>
      </w:pPr>
      <w:bookmarkStart w:id="37" w:name="_Toc277831130"/>
      <w:r w:rsidRPr="00F517E2">
        <w:rPr>
          <w:noProof w:val="0"/>
        </w:rPr>
        <w:t xml:space="preserve">Följdändringar </w:t>
      </w:r>
      <w:r w:rsidR="009136B8" w:rsidRPr="00F517E2">
        <w:rPr>
          <w:noProof w:val="0"/>
        </w:rPr>
        <w:t>som rör</w:t>
      </w:r>
      <w:r w:rsidRPr="00F517E2">
        <w:rPr>
          <w:noProof w:val="0"/>
        </w:rPr>
        <w:t xml:space="preserve"> ledamöter av Europaparlamentet</w:t>
      </w:r>
      <w:bookmarkEnd w:id="37"/>
      <w:r w:rsidRPr="00F517E2">
        <w:rPr>
          <w:noProof w:val="0"/>
        </w:rPr>
        <w:t xml:space="preserve"> </w:t>
      </w:r>
    </w:p>
    <w:p w:rsidR="00BE0929" w:rsidRPr="00F517E2" w:rsidRDefault="00BE0929" w:rsidP="00BE0929">
      <w:pPr>
        <w:pStyle w:val="Utskottsfrslagikorthet-Rubrik"/>
        <w:numPr>
          <w:ilvl w:val="0"/>
          <w:numId w:val="0"/>
        </w:numPr>
        <w:ind w:left="113"/>
        <w:rPr>
          <w:b w:val="0"/>
          <w:noProof w:val="0"/>
          <w:sz w:val="19"/>
          <w:szCs w:val="19"/>
        </w:rPr>
      </w:pPr>
      <w:r w:rsidRPr="00F517E2">
        <w:rPr>
          <w:noProof w:val="0"/>
          <w:sz w:val="19"/>
          <w:szCs w:val="19"/>
        </w:rPr>
        <w:t xml:space="preserve">Riksdagsstyrelsens förslag: </w:t>
      </w:r>
      <w:r w:rsidRPr="00F517E2">
        <w:rPr>
          <w:b w:val="0"/>
          <w:noProof w:val="0"/>
          <w:sz w:val="19"/>
          <w:szCs w:val="19"/>
        </w:rPr>
        <w:t xml:space="preserve">För den som varit svensk ledamot av Europaparlamentet ska samma regler som för riksdagsledamöter gälla i fråga om jämkning av inkomstgaranti och uppgiftsskyldighet. </w:t>
      </w:r>
    </w:p>
    <w:p w:rsidR="00BE0929" w:rsidRPr="00F517E2" w:rsidRDefault="00BE0929" w:rsidP="00BE0929">
      <w:r w:rsidRPr="00F517E2">
        <w:rPr>
          <w:b/>
        </w:rPr>
        <w:t xml:space="preserve">Arbetsgruppens förslag </w:t>
      </w:r>
      <w:r w:rsidRPr="00F517E2">
        <w:t>överensstämmer i sak och syfte med riksdagsstyre</w:t>
      </w:r>
      <w:r w:rsidRPr="00F517E2">
        <w:t>l</w:t>
      </w:r>
      <w:r w:rsidRPr="00F517E2">
        <w:t>sens fö</w:t>
      </w:r>
      <w:r w:rsidRPr="00F517E2">
        <w:t>r</w:t>
      </w:r>
      <w:r w:rsidRPr="00F517E2">
        <w:t xml:space="preserve">slag. </w:t>
      </w:r>
    </w:p>
    <w:p w:rsidR="00BE0929" w:rsidRPr="00F517E2" w:rsidRDefault="00BE0929" w:rsidP="00BE0929">
      <w:pPr>
        <w:rPr>
          <w:b/>
        </w:rPr>
      </w:pPr>
      <w:r w:rsidRPr="00F517E2">
        <w:rPr>
          <w:b/>
        </w:rPr>
        <w:t xml:space="preserve">Remissinstanserna: </w:t>
      </w:r>
    </w:p>
    <w:p w:rsidR="00D13172" w:rsidRPr="00F517E2" w:rsidRDefault="00D13172" w:rsidP="00D13172">
      <w:r w:rsidRPr="00F517E2">
        <w:t>Skatteverket har tillstyrkt förslaget.</w:t>
      </w:r>
    </w:p>
    <w:p w:rsidR="00BE0929" w:rsidRPr="00F517E2" w:rsidRDefault="00BE0929" w:rsidP="00D13172">
      <w:pPr>
        <w:pStyle w:val="Normaltindrag"/>
      </w:pPr>
      <w:r w:rsidRPr="00F517E2">
        <w:t>Statens pensionsverk och Regeringskansliet har påtalat att lagen (1996:304) om arvode m.m. till Sveriges ledamöter av Europaparlamentet, företrädarl</w:t>
      </w:r>
      <w:r w:rsidRPr="00F517E2">
        <w:t>a</w:t>
      </w:r>
      <w:r w:rsidRPr="00F517E2">
        <w:t xml:space="preserve">gen, har upphört att gälla.  </w:t>
      </w:r>
    </w:p>
    <w:p w:rsidR="00D1503A" w:rsidRPr="00F517E2" w:rsidRDefault="00D1503A" w:rsidP="00D1503A">
      <w:pPr>
        <w:pStyle w:val="Normaltindrag"/>
      </w:pPr>
      <w:r w:rsidRPr="00F517E2">
        <w:t>Kammarrätten i Stockholm har utifrån de aspekter domstolen har att bea</w:t>
      </w:r>
      <w:r w:rsidRPr="00F517E2">
        <w:t>k</w:t>
      </w:r>
      <w:r w:rsidRPr="00F517E2">
        <w:t>ta inte några sy</w:t>
      </w:r>
      <w:r w:rsidRPr="00F517E2">
        <w:t>n</w:t>
      </w:r>
      <w:r w:rsidRPr="00F517E2">
        <w:t>punkter på förslaget. Riksdagens ombudsmän (JO) har från de synpunkter som JO har att beakta inga in</w:t>
      </w:r>
      <w:r w:rsidR="009136B8" w:rsidRPr="00F517E2">
        <w:t>vändningar</w:t>
      </w:r>
      <w:r w:rsidRPr="00F517E2">
        <w:t xml:space="preserve"> mot förslaget. Sver</w:t>
      </w:r>
      <w:r w:rsidRPr="00F517E2">
        <w:t>i</w:t>
      </w:r>
      <w:r w:rsidRPr="00F517E2">
        <w:t>ges Komm</w:t>
      </w:r>
      <w:r w:rsidRPr="00F517E2">
        <w:t>u</w:t>
      </w:r>
      <w:r w:rsidRPr="00F517E2">
        <w:t xml:space="preserve">ner och Landsting har avstått från att lämna synpunkter. </w:t>
      </w:r>
    </w:p>
    <w:p w:rsidR="00BE0929" w:rsidRPr="00F517E2" w:rsidRDefault="00BE0929" w:rsidP="00BE0929">
      <w:pPr>
        <w:pStyle w:val="R4"/>
      </w:pPr>
      <w:r w:rsidRPr="00F517E2">
        <w:t>Gällande ordning</w:t>
      </w:r>
    </w:p>
    <w:p w:rsidR="00BE0929" w:rsidRPr="00F517E2" w:rsidRDefault="007A056D" w:rsidP="007A056D">
      <w:r w:rsidRPr="00F517E2">
        <w:t>Den som har varit ledamot av Europaparlamentet har rätt till inkomstgaranti när uppdraget upphört. Närmare bestämmelser om det f</w:t>
      </w:r>
      <w:r w:rsidR="00BE0929" w:rsidRPr="00F517E2">
        <w:t>a</w:t>
      </w:r>
      <w:r w:rsidRPr="00F517E2">
        <w:t xml:space="preserve">nns </w:t>
      </w:r>
      <w:r w:rsidR="00BE0929" w:rsidRPr="00F517E2">
        <w:t xml:space="preserve">tidigare </w:t>
      </w:r>
      <w:r w:rsidRPr="00F517E2">
        <w:t xml:space="preserve">i </w:t>
      </w:r>
      <w:r w:rsidR="00471F20" w:rsidRPr="00F517E2">
        <w:t>lagen (1996:304) om arvode m.m. till</w:t>
      </w:r>
      <w:r w:rsidR="00165FCC" w:rsidRPr="00F517E2">
        <w:t xml:space="preserve"> Sveriges ledamöter av E</w:t>
      </w:r>
      <w:r w:rsidR="00471F20" w:rsidRPr="00F517E2">
        <w:t xml:space="preserve">uropaparlamentet, förkortad </w:t>
      </w:r>
      <w:r w:rsidR="00BE0929" w:rsidRPr="00F517E2">
        <w:t xml:space="preserve">företrädarlagen, vilken upphörde att gälla vid utgången av 2009. </w:t>
      </w:r>
      <w:r w:rsidRPr="00F517E2">
        <w:t xml:space="preserve">Sedan bestämmelserna </w:t>
      </w:r>
      <w:r w:rsidR="00BE0929" w:rsidRPr="00F517E2">
        <w:t xml:space="preserve">i företrädarlagen hade </w:t>
      </w:r>
      <w:r w:rsidRPr="00F517E2">
        <w:t>anpassats till den ledamotssta</w:t>
      </w:r>
      <w:r w:rsidRPr="00F517E2">
        <w:t>d</w:t>
      </w:r>
      <w:r w:rsidRPr="00F517E2">
        <w:t>ga som Eur</w:t>
      </w:r>
      <w:r w:rsidRPr="00F517E2">
        <w:t>o</w:t>
      </w:r>
      <w:r w:rsidRPr="00F517E2">
        <w:t xml:space="preserve">paparlamentet antagit och som trädde i kraft den 14 juli 2009 </w:t>
      </w:r>
      <w:r w:rsidR="00BE0929" w:rsidRPr="00F517E2">
        <w:t>fick</w:t>
      </w:r>
      <w:r w:rsidRPr="00F517E2">
        <w:t xml:space="preserve"> den svenska lagstiftningen ett begränsat tillämpningsområde. </w:t>
      </w:r>
      <w:r w:rsidR="00BE0929" w:rsidRPr="00F517E2">
        <w:t>D</w:t>
      </w:r>
      <w:r w:rsidRPr="00F517E2">
        <w:t xml:space="preserve">en </w:t>
      </w:r>
      <w:r w:rsidR="00BE0929" w:rsidRPr="00F517E2">
        <w:t xml:space="preserve">numera upphävda </w:t>
      </w:r>
      <w:r w:rsidRPr="00F517E2">
        <w:t xml:space="preserve">lagen </w:t>
      </w:r>
      <w:r w:rsidR="00BE0929" w:rsidRPr="00F517E2">
        <w:t>kom sålunda att gälla</w:t>
      </w:r>
      <w:r w:rsidRPr="00F517E2">
        <w:t xml:space="preserve"> dels dem som redan tidigare lämnat uppdraget som ledamot </w:t>
      </w:r>
      <w:r w:rsidR="00EA1C7C" w:rsidRPr="00F517E2">
        <w:t>av</w:t>
      </w:r>
      <w:r w:rsidRPr="00F517E2">
        <w:t xml:space="preserve"> Europaparlamentet, dels de ledam</w:t>
      </w:r>
      <w:r w:rsidRPr="00F517E2">
        <w:t>ö</w:t>
      </w:r>
      <w:r w:rsidRPr="00F517E2">
        <w:t>ter som i det senaste valet inte valdes om, dels de ledamöter som valts om till uppdraget och som själva begärt att nati</w:t>
      </w:r>
      <w:r w:rsidRPr="00F517E2">
        <w:t>o</w:t>
      </w:r>
      <w:r w:rsidRPr="00F517E2">
        <w:t>nella bestämmelser ska gälla. I samband med att de nyss nämnda ändringarna b</w:t>
      </w:r>
      <w:r w:rsidRPr="00F517E2">
        <w:t>e</w:t>
      </w:r>
      <w:r w:rsidRPr="00F517E2">
        <w:t>slutades införde riksdagen också regler om jämkning av den inkomstgaranti som ledamöter av Europaparlamentet har rätt till (</w:t>
      </w:r>
      <w:r w:rsidR="00EA1C7C" w:rsidRPr="00F517E2">
        <w:t xml:space="preserve">prop. 2008/09:184, </w:t>
      </w:r>
      <w:r w:rsidRPr="00F517E2">
        <w:t>bet. 2008/09:KU25). Jäm</w:t>
      </w:r>
      <w:r w:rsidRPr="00F517E2">
        <w:t>k</w:t>
      </w:r>
      <w:r w:rsidRPr="00F517E2">
        <w:t>ningsreglerna – som f</w:t>
      </w:r>
      <w:r w:rsidR="00BE0929" w:rsidRPr="00F517E2">
        <w:t>a</w:t>
      </w:r>
      <w:r w:rsidRPr="00F517E2">
        <w:t xml:space="preserve">nns i 9 kap. </w:t>
      </w:r>
      <w:smartTag w:uri="urn:schemas-microsoft-com:office:smarttags" w:element="metricconverter">
        <w:smartTagPr>
          <w:attr w:name="ProductID" w:val="12 a"/>
        </w:smartTagPr>
        <w:r w:rsidRPr="00F517E2">
          <w:t>12 a</w:t>
        </w:r>
      </w:smartTag>
      <w:r w:rsidRPr="00F517E2">
        <w:t xml:space="preserve"> § och 23 § – har samma innebörd som de jämkningsregler som nu gäller enligt ersättningslagen för ledamöter av riksdagen. Av övergångsb</w:t>
      </w:r>
      <w:r w:rsidRPr="00F517E2">
        <w:t>e</w:t>
      </w:r>
      <w:r w:rsidRPr="00F517E2">
        <w:t>stämmelserna följer att de ska tillämpas endast med avseende på garantib</w:t>
      </w:r>
      <w:r w:rsidRPr="00F517E2">
        <w:t>e</w:t>
      </w:r>
      <w:r w:rsidRPr="00F517E2">
        <w:t xml:space="preserve">lopp som utfaller efter den 14 juli 2009. </w:t>
      </w:r>
      <w:r w:rsidR="00BE0929" w:rsidRPr="00F517E2">
        <w:t xml:space="preserve"> </w:t>
      </w:r>
    </w:p>
    <w:p w:rsidR="00BE0929" w:rsidRPr="00F517E2" w:rsidRDefault="00BE0929" w:rsidP="00BE0929">
      <w:pPr>
        <w:pStyle w:val="R4"/>
      </w:pPr>
      <w:r w:rsidRPr="00F517E2">
        <w:t>Rik</w:t>
      </w:r>
      <w:r w:rsidR="00A803BB" w:rsidRPr="00F517E2">
        <w:t>s</w:t>
      </w:r>
      <w:r w:rsidRPr="00F517E2">
        <w:t>dagsstyrelsens ställningstagande</w:t>
      </w:r>
    </w:p>
    <w:p w:rsidR="00BE0929" w:rsidRPr="00F517E2" w:rsidRDefault="00BE0929" w:rsidP="00A803BB">
      <w:r w:rsidRPr="00F517E2">
        <w:t xml:space="preserve">Frågan är </w:t>
      </w:r>
      <w:r w:rsidR="00BF1B58" w:rsidRPr="00F517E2">
        <w:t>om det förhållandet att företrädarlagen numera är upphävd me</w:t>
      </w:r>
      <w:r w:rsidR="00BF1B58" w:rsidRPr="00F517E2">
        <w:t>d</w:t>
      </w:r>
      <w:r w:rsidR="00BF1B58" w:rsidRPr="00F517E2">
        <w:t>för att d</w:t>
      </w:r>
      <w:r w:rsidRPr="00F517E2">
        <w:t>et alltjämt finns skäl att genomföra de föreslagna ändringa</w:t>
      </w:r>
      <w:r w:rsidRPr="00F517E2">
        <w:t>r</w:t>
      </w:r>
      <w:r w:rsidRPr="00F517E2">
        <w:t>na och hur reglerna i så fall bör utformas. När det gäller den första frågan kan det konst</w:t>
      </w:r>
      <w:r w:rsidRPr="00F517E2">
        <w:t>a</w:t>
      </w:r>
      <w:r w:rsidRPr="00F517E2">
        <w:t xml:space="preserve">teras att de jämkningsregler </w:t>
      </w:r>
      <w:r w:rsidR="002313EA" w:rsidRPr="00F517E2">
        <w:t>som infördes sommaren 2009 innebär att jäm</w:t>
      </w:r>
      <w:r w:rsidR="002313EA" w:rsidRPr="00F517E2">
        <w:t>k</w:t>
      </w:r>
      <w:r w:rsidR="002313EA" w:rsidRPr="00F517E2">
        <w:t>ning endast kan bli aktuellt för de belopp som utfa</w:t>
      </w:r>
      <w:r w:rsidR="002313EA" w:rsidRPr="00F517E2">
        <w:t>l</w:t>
      </w:r>
      <w:r w:rsidR="002313EA" w:rsidRPr="00F517E2">
        <w:t>ler efter den 14 juli 2009 (punkt 2 i övergångsbestämmelse</w:t>
      </w:r>
      <w:r w:rsidR="002313EA" w:rsidRPr="00F517E2">
        <w:t>r</w:t>
      </w:r>
      <w:r w:rsidR="002313EA" w:rsidRPr="00F517E2">
        <w:t xml:space="preserve">na till lagen </w:t>
      </w:r>
      <w:r w:rsidR="0058273F" w:rsidRPr="00F517E2">
        <w:t>[</w:t>
      </w:r>
      <w:r w:rsidR="002313EA" w:rsidRPr="00F517E2">
        <w:t>2009:680</w:t>
      </w:r>
      <w:r w:rsidR="0058273F" w:rsidRPr="00F517E2">
        <w:t>]</w:t>
      </w:r>
      <w:r w:rsidR="002313EA" w:rsidRPr="00F517E2">
        <w:t xml:space="preserve">). </w:t>
      </w:r>
      <w:r w:rsidR="00BF1B58" w:rsidRPr="00F517E2">
        <w:t xml:space="preserve">Det är i dagsläget förhållandevis få tidigare ledamöter av Europaparlamentet som </w:t>
      </w:r>
      <w:r w:rsidR="0058273F" w:rsidRPr="00F517E2">
        <w:t>har</w:t>
      </w:r>
      <w:r w:rsidR="00BF1B58" w:rsidRPr="00F517E2">
        <w:t xml:space="preserve"> inkoms</w:t>
      </w:r>
      <w:r w:rsidR="00BF1B58" w:rsidRPr="00F517E2">
        <w:t>t</w:t>
      </w:r>
      <w:r w:rsidR="00BF1B58" w:rsidRPr="00F517E2">
        <w:t xml:space="preserve">garanti. </w:t>
      </w:r>
      <w:r w:rsidR="002313EA" w:rsidRPr="00F517E2">
        <w:t>Under 2009 var det nio stycken</w:t>
      </w:r>
      <w:r w:rsidR="0058273F" w:rsidRPr="00F517E2">
        <w:t>,</w:t>
      </w:r>
      <w:r w:rsidR="002313EA" w:rsidRPr="00F517E2">
        <w:t xml:space="preserve"> vartill kommer tre som har vilande inkomstgaranti. Här har då bortsetts från dem vars inkoms</w:t>
      </w:r>
      <w:r w:rsidR="002313EA" w:rsidRPr="00F517E2">
        <w:t>t</w:t>
      </w:r>
      <w:r w:rsidR="002313EA" w:rsidRPr="00F517E2">
        <w:t>garanti löp</w:t>
      </w:r>
      <w:r w:rsidR="0058273F" w:rsidRPr="00F517E2">
        <w:t>t</w:t>
      </w:r>
      <w:r w:rsidR="002313EA" w:rsidRPr="00F517E2">
        <w:t xml:space="preserve">e ut under sommaren 2010. </w:t>
      </w:r>
      <w:r w:rsidR="00BF1B58" w:rsidRPr="00F517E2">
        <w:t>Riksdagsstyrelsen anser att konsekven</w:t>
      </w:r>
      <w:r w:rsidR="00BF1B58" w:rsidRPr="00F517E2">
        <w:t>s</w:t>
      </w:r>
      <w:r w:rsidR="00BF1B58" w:rsidRPr="00F517E2">
        <w:t>skäl trots allt talar för att jämkningsreglerna för tidigare ledamöter av Europapa</w:t>
      </w:r>
      <w:r w:rsidR="00BF1B58" w:rsidRPr="00F517E2">
        <w:t>r</w:t>
      </w:r>
      <w:r w:rsidR="00BF1B58" w:rsidRPr="00F517E2">
        <w:t>lamentet bör ha samma innebörd som motsvarande regler för ledamöter av riksd</w:t>
      </w:r>
      <w:r w:rsidR="00BF1B58" w:rsidRPr="00F517E2">
        <w:t>a</w:t>
      </w:r>
      <w:r w:rsidR="00BF1B58" w:rsidRPr="00F517E2">
        <w:t>gen.</w:t>
      </w:r>
    </w:p>
    <w:p w:rsidR="00BF1B58" w:rsidRPr="00F517E2" w:rsidRDefault="00BF1B58" w:rsidP="002313EA">
      <w:pPr>
        <w:pStyle w:val="Normaltindrag"/>
      </w:pPr>
      <w:r w:rsidRPr="00F517E2">
        <w:t xml:space="preserve">Den åsyftade ändringen bör ske i övergångsbestämmelserna till den lag varigenom företrädarlagen har upphävts. Eftersom de </w:t>
      </w:r>
      <w:r w:rsidR="0037111A" w:rsidRPr="00F517E2">
        <w:t>ändringar som</w:t>
      </w:r>
      <w:r w:rsidRPr="00F517E2">
        <w:t xml:space="preserve"> arbet</w:t>
      </w:r>
      <w:r w:rsidRPr="00F517E2">
        <w:t>s</w:t>
      </w:r>
      <w:r w:rsidRPr="00F517E2">
        <w:t>gruppen föresl</w:t>
      </w:r>
      <w:r w:rsidR="0037111A" w:rsidRPr="00F517E2">
        <w:t>o</w:t>
      </w:r>
      <w:r w:rsidRPr="00F517E2">
        <w:t>g var omfattande föreslå</w:t>
      </w:r>
      <w:r w:rsidR="0037111A" w:rsidRPr="00F517E2">
        <w:t>r</w:t>
      </w:r>
      <w:r w:rsidRPr="00F517E2">
        <w:t xml:space="preserve"> </w:t>
      </w:r>
      <w:r w:rsidR="0037111A" w:rsidRPr="00F517E2">
        <w:t xml:space="preserve">riksdagsstyrelsen </w:t>
      </w:r>
      <w:r w:rsidRPr="00F517E2">
        <w:t>dock i stället att det i övergångsbestämmelserna görs en hänvisning till motsvarande regler i ersättning</w:t>
      </w:r>
      <w:r w:rsidRPr="00F517E2">
        <w:t>s</w:t>
      </w:r>
      <w:r w:rsidRPr="00F517E2">
        <w:t>lagen.</w:t>
      </w:r>
    </w:p>
    <w:p w:rsidR="007A056D" w:rsidRPr="00F517E2" w:rsidRDefault="007A056D" w:rsidP="00440806">
      <w:pPr>
        <w:pStyle w:val="Rubrik3"/>
        <w:rPr>
          <w:noProof w:val="0"/>
        </w:rPr>
      </w:pPr>
      <w:bookmarkStart w:id="38" w:name="_Toc277831131"/>
      <w:r w:rsidRPr="00F517E2">
        <w:rPr>
          <w:noProof w:val="0"/>
        </w:rPr>
        <w:t>Ikraftträdande</w:t>
      </w:r>
      <w:bookmarkEnd w:id="38"/>
    </w:p>
    <w:p w:rsidR="003B22D5" w:rsidRPr="00F517E2" w:rsidRDefault="003B22D5" w:rsidP="003B22D5">
      <w:pPr>
        <w:pStyle w:val="Utskottsfrslagikorthet-Rubrik"/>
        <w:numPr>
          <w:ilvl w:val="0"/>
          <w:numId w:val="0"/>
        </w:numPr>
        <w:ind w:left="113"/>
        <w:rPr>
          <w:b w:val="0"/>
          <w:noProof w:val="0"/>
          <w:sz w:val="19"/>
          <w:szCs w:val="19"/>
        </w:rPr>
      </w:pPr>
      <w:r w:rsidRPr="00F517E2">
        <w:rPr>
          <w:noProof w:val="0"/>
          <w:sz w:val="19"/>
          <w:szCs w:val="19"/>
        </w:rPr>
        <w:t xml:space="preserve">Riksdagsstyrelsens förslag: </w:t>
      </w:r>
      <w:r w:rsidRPr="00F517E2">
        <w:rPr>
          <w:b w:val="0"/>
          <w:noProof w:val="0"/>
          <w:sz w:val="19"/>
          <w:szCs w:val="19"/>
        </w:rPr>
        <w:t>Lagändringarna ska träda i kraft den 1</w:t>
      </w:r>
      <w:r w:rsidR="009A7B3E" w:rsidRPr="00F517E2">
        <w:rPr>
          <w:b w:val="0"/>
          <w:noProof w:val="0"/>
          <w:sz w:val="19"/>
          <w:szCs w:val="19"/>
        </w:rPr>
        <w:t> </w:t>
      </w:r>
      <w:r w:rsidRPr="00F517E2">
        <w:rPr>
          <w:b w:val="0"/>
          <w:noProof w:val="0"/>
          <w:sz w:val="19"/>
          <w:szCs w:val="19"/>
        </w:rPr>
        <w:t>januari</w:t>
      </w:r>
      <w:r w:rsidR="009A7B3E" w:rsidRPr="00F517E2">
        <w:rPr>
          <w:b w:val="0"/>
          <w:noProof w:val="0"/>
          <w:sz w:val="19"/>
          <w:szCs w:val="19"/>
        </w:rPr>
        <w:t> </w:t>
      </w:r>
      <w:r w:rsidRPr="00F517E2">
        <w:rPr>
          <w:b w:val="0"/>
          <w:noProof w:val="0"/>
          <w:sz w:val="19"/>
          <w:szCs w:val="19"/>
        </w:rPr>
        <w:t>2011. De nya jämkningsreglerna ska dock tillämpas första gången för det räkenskapsår som inleds närmast efter den 31 december 2010</w:t>
      </w:r>
      <w:r w:rsidR="009A7B3E" w:rsidRPr="00F517E2">
        <w:rPr>
          <w:b w:val="0"/>
          <w:noProof w:val="0"/>
          <w:sz w:val="19"/>
          <w:szCs w:val="19"/>
        </w:rPr>
        <w:t>.</w:t>
      </w:r>
    </w:p>
    <w:p w:rsidR="00D867E9" w:rsidRPr="00F517E2" w:rsidRDefault="00D867E9" w:rsidP="00D867E9">
      <w:r w:rsidRPr="00F517E2">
        <w:rPr>
          <w:b/>
        </w:rPr>
        <w:t xml:space="preserve">Arbetsgruppens förslag </w:t>
      </w:r>
      <w:r w:rsidRPr="00F517E2">
        <w:t>överensstämmer med riksdagsstyrelsens fö</w:t>
      </w:r>
      <w:r w:rsidRPr="00F517E2">
        <w:t>r</w:t>
      </w:r>
      <w:r w:rsidRPr="00F517E2">
        <w:t xml:space="preserve">slag. </w:t>
      </w:r>
    </w:p>
    <w:p w:rsidR="00D867E9" w:rsidRPr="00F517E2" w:rsidRDefault="00D867E9" w:rsidP="00D867E9">
      <w:pPr>
        <w:rPr>
          <w:b/>
        </w:rPr>
      </w:pPr>
      <w:r w:rsidRPr="00F517E2">
        <w:rPr>
          <w:b/>
        </w:rPr>
        <w:t xml:space="preserve">Remissinstanserna: </w:t>
      </w:r>
    </w:p>
    <w:p w:rsidR="00D13172" w:rsidRPr="00F517E2" w:rsidRDefault="00D13172" w:rsidP="00D13172">
      <w:r w:rsidRPr="00F517E2">
        <w:t>Skatteverket har tillstyrkt förslaget.</w:t>
      </w:r>
    </w:p>
    <w:p w:rsidR="00AA38EE" w:rsidRPr="00F517E2" w:rsidRDefault="00AA38EE" w:rsidP="00AA38EE">
      <w:pPr>
        <w:pStyle w:val="Normaltindrag"/>
      </w:pPr>
      <w:r w:rsidRPr="00F517E2">
        <w:t>Statens pensionsverk har inga invändningar mot förslaget. Kammarrätten i Stockholm har utifrån de aspekter domstolen har att beakta inte några sy</w:t>
      </w:r>
      <w:r w:rsidRPr="00F517E2">
        <w:t>n</w:t>
      </w:r>
      <w:r w:rsidRPr="00F517E2">
        <w:t>punkter på förslaget. Riksdagens ombudsmän (JO) har från de synpunkter som JO har att beakta inga in</w:t>
      </w:r>
      <w:r w:rsidR="00341B16" w:rsidRPr="00F517E2">
        <w:t>vändningar</w:t>
      </w:r>
      <w:r w:rsidRPr="00F517E2">
        <w:t xml:space="preserve"> mot förslaget. Sveriges Komm</w:t>
      </w:r>
      <w:r w:rsidRPr="00F517E2">
        <w:t>u</w:t>
      </w:r>
      <w:r w:rsidRPr="00F517E2">
        <w:t xml:space="preserve">ner och Landsting har avstått från att lämna synpunkter. </w:t>
      </w:r>
    </w:p>
    <w:p w:rsidR="003B22D5" w:rsidRPr="00F517E2" w:rsidRDefault="003B22D5" w:rsidP="003B22D5">
      <w:pPr>
        <w:pStyle w:val="R4"/>
      </w:pPr>
      <w:r w:rsidRPr="00F517E2">
        <w:t>Riksdagsstyrelsens ställningstagande</w:t>
      </w:r>
    </w:p>
    <w:p w:rsidR="00516C26" w:rsidRPr="00F517E2" w:rsidRDefault="007A056D" w:rsidP="001C29F7">
      <w:pPr>
        <w:spacing w:before="0"/>
      </w:pPr>
      <w:r w:rsidRPr="00F517E2">
        <w:t xml:space="preserve">De föreslagna reglerna om jämkning anknyter nära till bestämmelserna i inkomstskattelagen om avdrag för avsättningar m.m. Det framstår därför som lämpligt att de nya reglerna om jämkning träder i kraft vid ett årsskifte. Det föreslås därför att de nya reglerna träder i kraft den 1 januari 2011. </w:t>
      </w:r>
    </w:p>
    <w:p w:rsidR="00516C26" w:rsidRPr="00F517E2" w:rsidRDefault="007A056D" w:rsidP="00516C26">
      <w:pPr>
        <w:pStyle w:val="Normaltindrag"/>
      </w:pPr>
      <w:r w:rsidRPr="00F517E2">
        <w:t>I fråga om behovet av övergångsbestämmelser görs följande överväga</w:t>
      </w:r>
      <w:r w:rsidRPr="00F517E2">
        <w:t>n</w:t>
      </w:r>
      <w:r w:rsidRPr="00F517E2">
        <w:t>den. Ett jäm</w:t>
      </w:r>
      <w:r w:rsidRPr="00F517E2">
        <w:t>k</w:t>
      </w:r>
      <w:r w:rsidRPr="00F517E2">
        <w:t>ningsbeslut innebär att det i efterhand görs en bedömning av hur mycket inkomstgaranti som rätteligen borde ha utbetalats. Beslut i fråga om jämkning fattas med utgångspunkt i den tillsyn som nämnden bedriver. Til</w:t>
      </w:r>
      <w:r w:rsidRPr="00F517E2">
        <w:t>l</w:t>
      </w:r>
      <w:r w:rsidRPr="00F517E2">
        <w:t>synen har hittills byggt på samma tidsmässiga avgränsning som Statens pe</w:t>
      </w:r>
      <w:r w:rsidRPr="00F517E2">
        <w:t>n</w:t>
      </w:r>
      <w:r w:rsidRPr="00F517E2">
        <w:t>sionsverks årsavstämningar, dvs. på kalenderår. Frågan om jämkning av inkoms</w:t>
      </w:r>
      <w:r w:rsidRPr="00F517E2">
        <w:t>t</w:t>
      </w:r>
      <w:r w:rsidRPr="00F517E2">
        <w:t xml:space="preserve">garantier utbetalda under 2007 har alltså prövats under 2008. </w:t>
      </w:r>
    </w:p>
    <w:p w:rsidR="00516C26" w:rsidRPr="00F517E2" w:rsidRDefault="007A056D" w:rsidP="00516C26">
      <w:pPr>
        <w:pStyle w:val="Normaltindrag"/>
      </w:pPr>
      <w:r w:rsidRPr="00F517E2">
        <w:t>De utvidgade möjligheter till jämkning som nu föreslås kommer att ankn</w:t>
      </w:r>
      <w:r w:rsidRPr="00F517E2">
        <w:t>y</w:t>
      </w:r>
      <w:r w:rsidRPr="00F517E2">
        <w:t>ta till det räkenskapsår som näringsidkaren använder. Frågan blir därför om fondavsättningar, kvittning m.m. ska kunna läggas till grund för jämkningsb</w:t>
      </w:r>
      <w:r w:rsidRPr="00F517E2">
        <w:t>e</w:t>
      </w:r>
      <w:r w:rsidRPr="00F517E2">
        <w:t>slut efter ikraftträdandet trots att sådana förfaranden avser räkenskapsår som helt eller delvis ligger före ikraftträdandet. En sådan tillämpning skulle inn</w:t>
      </w:r>
      <w:r w:rsidRPr="00F517E2">
        <w:t>e</w:t>
      </w:r>
      <w:r w:rsidRPr="00F517E2">
        <w:t>bära att reglerna gavs en retroaktiv verkan. Redan av det skälet bör en sådan ordning inte komma i fråga. Endast avsättningar m.m. som gjorts efter ikraf</w:t>
      </w:r>
      <w:r w:rsidRPr="00F517E2">
        <w:t>t</w:t>
      </w:r>
      <w:r w:rsidRPr="00F517E2">
        <w:t xml:space="preserve">trädandet bör kunna </w:t>
      </w:r>
      <w:r w:rsidR="006A3F5E" w:rsidRPr="00F517E2">
        <w:t>med</w:t>
      </w:r>
      <w:r w:rsidRPr="00F517E2">
        <w:t>föra jämkning. För att åstadkomma det föreslå</w:t>
      </w:r>
      <w:r w:rsidR="00C74B1E" w:rsidRPr="00F517E2">
        <w:t>r</w:t>
      </w:r>
      <w:r w:rsidRPr="00F517E2">
        <w:t xml:space="preserve"> </w:t>
      </w:r>
      <w:r w:rsidR="00C74B1E" w:rsidRPr="00F517E2">
        <w:t>rik</w:t>
      </w:r>
      <w:r w:rsidR="00C74B1E" w:rsidRPr="00F517E2">
        <w:t>s</w:t>
      </w:r>
      <w:r w:rsidR="00C74B1E" w:rsidRPr="00F517E2">
        <w:t>dagsstyrelsen a</w:t>
      </w:r>
      <w:r w:rsidRPr="00F517E2">
        <w:t>tt en övergångsbestämmelse införs med innebörd</w:t>
      </w:r>
      <w:r w:rsidR="00C74B1E" w:rsidRPr="00F517E2">
        <w:t>en</w:t>
      </w:r>
      <w:r w:rsidRPr="00F517E2">
        <w:t xml:space="preserve"> att de nya jäm</w:t>
      </w:r>
      <w:r w:rsidRPr="00F517E2">
        <w:t>k</w:t>
      </w:r>
      <w:r w:rsidRPr="00F517E2">
        <w:t xml:space="preserve">ningsreglerna tillämpas första gången i fråga om avsättningar m.m. som gjorts under ett räkenskapsår som inleds efter den 31 december 2010. </w:t>
      </w:r>
    </w:p>
    <w:p w:rsidR="007A056D" w:rsidRPr="00F517E2" w:rsidRDefault="007A056D" w:rsidP="00516C26">
      <w:pPr>
        <w:pStyle w:val="Normaltindrag"/>
      </w:pPr>
      <w:r w:rsidRPr="00F517E2">
        <w:t>I fråga om övriga la</w:t>
      </w:r>
      <w:r w:rsidRPr="00F517E2">
        <w:t>g</w:t>
      </w:r>
      <w:r w:rsidRPr="00F517E2">
        <w:t>ändringar behövs inga särskilda övergångsregler. Det innebär att bestämme</w:t>
      </w:r>
      <w:r w:rsidRPr="00F517E2">
        <w:t>l</w:t>
      </w:r>
      <w:r w:rsidRPr="00F517E2">
        <w:t xml:space="preserve">serna om uppgiftsskyldighet kan tillämpas direkt vid ikraftträdandet och att skyldigheten att lämna uppgifter också kommer att avse uppgifter som hänför sig till tiden före ikraftträdandet. Det finns inget bärande skäl emot en sådan ordning. </w:t>
      </w:r>
    </w:p>
    <w:p w:rsidR="00BC45CB" w:rsidRPr="00F517E2" w:rsidRDefault="00BC45CB" w:rsidP="00BC45CB"/>
    <w:p w:rsidR="00BC45CB" w:rsidRPr="00F517E2" w:rsidRDefault="00BC45CB" w:rsidP="00BC45CB">
      <w:pPr>
        <w:sectPr w:rsidR="00BC45CB" w:rsidRPr="00F517E2" w:rsidSect="00BC45CB">
          <w:headerReference w:type="default" r:id="rId45"/>
          <w:footerReference w:type="even" r:id="rId46"/>
          <w:footerReference w:type="default" r:id="rId47"/>
          <w:headerReference w:type="first" r:id="rId48"/>
          <w:footerReference w:type="first" r:id="rId49"/>
          <w:pgSz w:w="11906" w:h="16838" w:code="9"/>
          <w:pgMar w:top="907" w:right="4649" w:bottom="4507" w:left="1304" w:header="340" w:footer="227" w:gutter="0"/>
          <w:cols w:space="720"/>
          <w:titlePg/>
          <w:docGrid w:linePitch="258"/>
        </w:sectPr>
      </w:pPr>
    </w:p>
    <w:p w:rsidR="0091078B" w:rsidRPr="00F517E2" w:rsidRDefault="0091078B" w:rsidP="0091078B">
      <w:pPr>
        <w:pStyle w:val="Rubrik1"/>
        <w:rPr>
          <w:noProof w:val="0"/>
        </w:rPr>
      </w:pPr>
      <w:bookmarkStart w:id="39" w:name="_Toc277831132"/>
      <w:r w:rsidRPr="00F517E2">
        <w:rPr>
          <w:noProof w:val="0"/>
        </w:rPr>
        <w:t>Kostnadskonsekvenser</w:t>
      </w:r>
      <w:bookmarkEnd w:id="39"/>
    </w:p>
    <w:p w:rsidR="0091078B" w:rsidRPr="00F517E2" w:rsidRDefault="0091078B" w:rsidP="0091078B">
      <w:r w:rsidRPr="00F517E2">
        <w:t>Den tillsynsverksamhet som nämnden bedriver i</w:t>
      </w:r>
      <w:r w:rsidR="00A25351" w:rsidRPr="00F517E2">
        <w:t xml:space="preserve"> </w:t>
      </w:r>
      <w:r w:rsidRPr="00F517E2">
        <w:t xml:space="preserve">dag bygger på att det görs ett urval bland dem som uppbär inkomstgaranti. Efter det att vissa uppgifter kontrollerats fattas beslut om att inleda tillsynsärenden. </w:t>
      </w:r>
      <w:r w:rsidR="00337FD7" w:rsidRPr="00F517E2">
        <w:t xml:space="preserve">Under de år som jämkningsreglerna har gällt har det inletts mellan fem och tio sådana ärenden per år. </w:t>
      </w:r>
    </w:p>
    <w:p w:rsidR="00337FD7" w:rsidRPr="00F517E2" w:rsidRDefault="00337FD7" w:rsidP="00337FD7">
      <w:pPr>
        <w:pStyle w:val="Normaltindrag"/>
      </w:pPr>
      <w:r w:rsidRPr="00F517E2">
        <w:t>Om förslagen genomförs kommer bestämmelserna om jämkning av i</w:t>
      </w:r>
      <w:r w:rsidRPr="00F517E2">
        <w:t>n</w:t>
      </w:r>
      <w:r w:rsidRPr="00F517E2">
        <w:t>komstgaranti att bli tillämpliga även när en garantitagare bedriver enskild näringsverksamhet. Det som i de fallen kommer att kunna utlösa jämkning är om garantitagaren har gjort vissa avsättningar som påverkar inkomsten. Fr</w:t>
      </w:r>
      <w:r w:rsidRPr="00F517E2">
        <w:t>å</w:t>
      </w:r>
      <w:r w:rsidRPr="00F517E2">
        <w:t xml:space="preserve">gan är hur en sådan förändring kommer att påverka antalet tillsynsärenden. </w:t>
      </w:r>
    </w:p>
    <w:p w:rsidR="00337FD7" w:rsidRPr="00F517E2" w:rsidRDefault="00337FD7" w:rsidP="00337FD7">
      <w:pPr>
        <w:pStyle w:val="Normaltindrag"/>
      </w:pPr>
      <w:r w:rsidRPr="00F517E2">
        <w:t>Ovan (</w:t>
      </w:r>
      <w:r w:rsidR="0061752E" w:rsidRPr="00F517E2">
        <w:t>avsnitt 5.1) konstateras att Skatteverket redovisat uppgiften att 16 garantitagare bedrev näringsverksamhet</w:t>
      </w:r>
      <w:r w:rsidR="00C74B1E" w:rsidRPr="00F517E2">
        <w:t xml:space="preserve"> under inkomstår 2007</w:t>
      </w:r>
      <w:r w:rsidR="0061752E" w:rsidRPr="00F517E2">
        <w:t>. Mot bakgrund av att avsättningsreglerna är förmånliga finns det anle</w:t>
      </w:r>
      <w:r w:rsidR="0061752E" w:rsidRPr="00F517E2">
        <w:t>d</w:t>
      </w:r>
      <w:r w:rsidR="0061752E" w:rsidRPr="00F517E2">
        <w:t>ning att räkna med att en betydande andel av de garantitagare som bedriver näringsverksamhet också gör sådana avsät</w:t>
      </w:r>
      <w:r w:rsidR="0061752E" w:rsidRPr="00F517E2">
        <w:t>t</w:t>
      </w:r>
      <w:r w:rsidR="0061752E" w:rsidRPr="00F517E2">
        <w:t xml:space="preserve">ningar som är aktuella här. </w:t>
      </w:r>
      <w:r w:rsidR="00EA2DA6" w:rsidRPr="00F517E2">
        <w:t xml:space="preserve">Man måste därför räkna med att samtliga </w:t>
      </w:r>
      <w:r w:rsidR="00C74B1E" w:rsidRPr="00F517E2">
        <w:t xml:space="preserve">fall där </w:t>
      </w:r>
      <w:r w:rsidR="00EA2DA6" w:rsidRPr="00F517E2">
        <w:t xml:space="preserve">garantitagare </w:t>
      </w:r>
      <w:r w:rsidR="00ED10CF" w:rsidRPr="00F517E2">
        <w:t>b</w:t>
      </w:r>
      <w:r w:rsidR="00EA2DA6" w:rsidRPr="00F517E2">
        <w:t>edriver näringsverksamhet kan ko</w:t>
      </w:r>
      <w:r w:rsidR="00EA2DA6" w:rsidRPr="00F517E2">
        <w:t>m</w:t>
      </w:r>
      <w:r w:rsidR="00EA2DA6" w:rsidRPr="00F517E2">
        <w:t xml:space="preserve">ma att leda </w:t>
      </w:r>
      <w:r w:rsidR="005E7781" w:rsidRPr="00F517E2">
        <w:t xml:space="preserve">till </w:t>
      </w:r>
      <w:r w:rsidR="00EA2DA6" w:rsidRPr="00F517E2">
        <w:t>tillsynsäre</w:t>
      </w:r>
      <w:r w:rsidR="00EA2DA6" w:rsidRPr="00F517E2">
        <w:t>n</w:t>
      </w:r>
      <w:r w:rsidR="00EA2DA6" w:rsidRPr="00F517E2">
        <w:t>den. Hur många ärenden det blir fråga om per år är svårt att bedöma. Det hänger samman med att garantitaga</w:t>
      </w:r>
      <w:r w:rsidR="00EA2DA6" w:rsidRPr="00F517E2">
        <w:t>r</w:t>
      </w:r>
      <w:r w:rsidR="00EA2DA6" w:rsidRPr="00F517E2">
        <w:t>na är fler i början av en valperiod än vad de är i slutet på perioden efte</w:t>
      </w:r>
      <w:r w:rsidR="00EA2DA6" w:rsidRPr="00F517E2">
        <w:t>r</w:t>
      </w:r>
      <w:r w:rsidR="00EA2DA6" w:rsidRPr="00F517E2">
        <w:t xml:space="preserve">som många bara har inkomstgaranti i ett år. </w:t>
      </w:r>
      <w:r w:rsidR="002E66A8" w:rsidRPr="00F517E2">
        <w:t>Det bör därför kunna antas att det i början av en valp</w:t>
      </w:r>
      <w:r w:rsidR="002E66A8" w:rsidRPr="00F517E2">
        <w:t>e</w:t>
      </w:r>
      <w:r w:rsidR="002E66A8" w:rsidRPr="00F517E2">
        <w:t xml:space="preserve">riod blir fråga om något fler tillsynsärenden. </w:t>
      </w:r>
      <w:r w:rsidR="00C06178" w:rsidRPr="00F517E2">
        <w:t>Mot bakgrund av att 16 garant</w:t>
      </w:r>
      <w:r w:rsidR="00C06178" w:rsidRPr="00F517E2">
        <w:t>i</w:t>
      </w:r>
      <w:r w:rsidR="00C06178" w:rsidRPr="00F517E2">
        <w:t>tagare bedrev näringsverksamhet under 2009 kan det i början av innevara</w:t>
      </w:r>
      <w:r w:rsidR="00C06178" w:rsidRPr="00F517E2">
        <w:t>n</w:t>
      </w:r>
      <w:r w:rsidR="00C06178" w:rsidRPr="00F517E2">
        <w:t>de valperiod uppskattningsvis komma att röra sig om runt 20 ärenden. Det bet</w:t>
      </w:r>
      <w:r w:rsidR="00C06178" w:rsidRPr="00F517E2">
        <w:t>y</w:t>
      </w:r>
      <w:r w:rsidR="00C06178" w:rsidRPr="00F517E2">
        <w:t>der i sin tur att antalet tillsynsärenden kommer att öka v</w:t>
      </w:r>
      <w:r w:rsidR="00C06178" w:rsidRPr="00F517E2">
        <w:t>ä</w:t>
      </w:r>
      <w:r w:rsidR="00C06178" w:rsidRPr="00F517E2">
        <w:t>sentligt om förslaget genomförs jämfört med vad som är fallet i</w:t>
      </w:r>
      <w:r w:rsidR="00A461D9" w:rsidRPr="00F517E2">
        <w:t xml:space="preserve"> </w:t>
      </w:r>
      <w:r w:rsidR="00C06178" w:rsidRPr="00F517E2">
        <w:t xml:space="preserve">dag. </w:t>
      </w:r>
    </w:p>
    <w:p w:rsidR="00C06178" w:rsidRPr="00F517E2" w:rsidRDefault="00C06178" w:rsidP="00337FD7">
      <w:pPr>
        <w:pStyle w:val="Normaltindrag"/>
      </w:pPr>
      <w:r w:rsidRPr="00F517E2">
        <w:t>De tillsynsärenden som blir följden om förslaget genomförs kan också a</w:t>
      </w:r>
      <w:r w:rsidRPr="00F517E2">
        <w:t>n</w:t>
      </w:r>
      <w:r w:rsidRPr="00F517E2">
        <w:t>tas bli mer arbetskrävande än de ärende</w:t>
      </w:r>
      <w:r w:rsidR="00AF2FAE" w:rsidRPr="00F517E2">
        <w:t>n</w:t>
      </w:r>
      <w:r w:rsidRPr="00F517E2">
        <w:t xml:space="preserve"> som nämnden handlägger i</w:t>
      </w:r>
      <w:r w:rsidR="00A461D9" w:rsidRPr="00F517E2">
        <w:t xml:space="preserve"> </w:t>
      </w:r>
      <w:r w:rsidRPr="00F517E2">
        <w:t xml:space="preserve">dag. Det antagandet bygger på att det är förhållandevis enkelt att utreda om de nu gällande förutsättningarna för jämkning är uppfyllda. </w:t>
      </w:r>
      <w:r w:rsidR="008A51CD" w:rsidRPr="00F517E2">
        <w:t>Vanligen avskrivs äre</w:t>
      </w:r>
      <w:r w:rsidR="008A51CD" w:rsidRPr="00F517E2">
        <w:t>n</w:t>
      </w:r>
      <w:r w:rsidR="008A51CD" w:rsidRPr="00F517E2">
        <w:t>dena sedan det har kunnat konstateras att garantitagaren inte har utfört fö</w:t>
      </w:r>
      <w:r w:rsidR="008A51CD" w:rsidRPr="00F517E2">
        <w:t>r</w:t>
      </w:r>
      <w:r w:rsidR="008A51CD" w:rsidRPr="00F517E2">
        <w:t xml:space="preserve">värvsarbete i väsentlig omfattning åt någon annan. </w:t>
      </w:r>
      <w:r w:rsidR="00DC0EB1" w:rsidRPr="00F517E2">
        <w:t xml:space="preserve">Om förslaget i </w:t>
      </w:r>
      <w:r w:rsidR="004411DE" w:rsidRPr="00F517E2">
        <w:t>framstäl</w:t>
      </w:r>
      <w:r w:rsidR="004411DE" w:rsidRPr="00F517E2">
        <w:t>l</w:t>
      </w:r>
      <w:r w:rsidR="004411DE" w:rsidRPr="00F517E2">
        <w:t>ningen</w:t>
      </w:r>
      <w:r w:rsidR="00DC0EB1" w:rsidRPr="00F517E2">
        <w:t xml:space="preserve"> genomförs kommer nämnden att behöva kräva in underlag från gara</w:t>
      </w:r>
      <w:r w:rsidR="00DC0EB1" w:rsidRPr="00F517E2">
        <w:t>n</w:t>
      </w:r>
      <w:r w:rsidR="00DC0EB1" w:rsidRPr="00F517E2">
        <w:t>tit</w:t>
      </w:r>
      <w:r w:rsidR="00DC0EB1" w:rsidRPr="00F517E2">
        <w:t>a</w:t>
      </w:r>
      <w:r w:rsidR="00DC0EB1" w:rsidRPr="00F517E2">
        <w:t xml:space="preserve">garna </w:t>
      </w:r>
      <w:r w:rsidR="00C34212" w:rsidRPr="00F517E2">
        <w:t>i betydligt fler fall än i</w:t>
      </w:r>
      <w:r w:rsidR="00A461D9" w:rsidRPr="00F517E2">
        <w:t xml:space="preserve"> </w:t>
      </w:r>
      <w:r w:rsidR="00C34212" w:rsidRPr="00F517E2">
        <w:t xml:space="preserve">dag. Om det visar sig att en garantitagare har gjort en sådan avsättning som kan </w:t>
      </w:r>
      <w:r w:rsidR="00792794" w:rsidRPr="00F517E2">
        <w:t>med</w:t>
      </w:r>
      <w:r w:rsidR="00C34212" w:rsidRPr="00F517E2">
        <w:t xml:space="preserve">föra jämkning </w:t>
      </w:r>
      <w:r w:rsidR="008411EE" w:rsidRPr="00F517E2">
        <w:t>kommer en bedö</w:t>
      </w:r>
      <w:r w:rsidR="008411EE" w:rsidRPr="00F517E2">
        <w:t>m</w:t>
      </w:r>
      <w:r w:rsidR="008411EE" w:rsidRPr="00F517E2">
        <w:t xml:space="preserve">ning att behöva göras av hur stor jämkningen ska vara. </w:t>
      </w:r>
      <w:r w:rsidR="006B1E79" w:rsidRPr="00F517E2">
        <w:t>Denna hantering kan fö</w:t>
      </w:r>
      <w:r w:rsidR="006B1E79" w:rsidRPr="00F517E2">
        <w:t>r</w:t>
      </w:r>
      <w:r w:rsidR="006B1E79" w:rsidRPr="00F517E2">
        <w:t xml:space="preserve">väntas bli mer komplicerad än </w:t>
      </w:r>
      <w:r w:rsidR="0059661D" w:rsidRPr="00F517E2">
        <w:t>de bedömningar som nämnden gör i</w:t>
      </w:r>
      <w:r w:rsidR="00A461D9" w:rsidRPr="00F517E2">
        <w:t xml:space="preserve"> </w:t>
      </w:r>
      <w:r w:rsidR="0059661D" w:rsidRPr="00F517E2">
        <w:t>dag.</w:t>
      </w:r>
      <w:r w:rsidR="007B32C6" w:rsidRPr="00F517E2">
        <w:t xml:space="preserve"> Se</w:t>
      </w:r>
      <w:r w:rsidR="007B32C6" w:rsidRPr="00F517E2">
        <w:t>k</w:t>
      </w:r>
      <w:r w:rsidR="007B32C6" w:rsidRPr="00F517E2">
        <w:t>reterarens beredningsuppgifter kan förväntas bli mer arbetskrävande än vad som är fallet i</w:t>
      </w:r>
      <w:r w:rsidR="00A461D9" w:rsidRPr="00F517E2">
        <w:t xml:space="preserve"> </w:t>
      </w:r>
      <w:r w:rsidR="007B32C6" w:rsidRPr="00F517E2">
        <w:t>dag</w:t>
      </w:r>
      <w:r w:rsidR="006C71BB" w:rsidRPr="00F517E2">
        <w:t>,</w:t>
      </w:r>
      <w:r w:rsidR="007B32C6" w:rsidRPr="00F517E2">
        <w:t xml:space="preserve"> och nämnden kan förväntas behöva sammanträda något oftare.</w:t>
      </w:r>
    </w:p>
    <w:p w:rsidR="00C81779" w:rsidRPr="00F517E2" w:rsidRDefault="00C81779" w:rsidP="00C81779"/>
    <w:p w:rsidR="00C81779" w:rsidRPr="00F517E2" w:rsidRDefault="00C81779" w:rsidP="00C81779">
      <w:pPr>
        <w:sectPr w:rsidR="00C81779" w:rsidRPr="00F517E2" w:rsidSect="00C8177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7" w:left="1304" w:header="340" w:footer="227" w:gutter="0"/>
          <w:cols w:space="720"/>
          <w:titlePg/>
          <w:docGrid w:linePitch="258"/>
        </w:sectPr>
      </w:pPr>
    </w:p>
    <w:p w:rsidR="007A056D" w:rsidRPr="00F517E2" w:rsidRDefault="007A056D" w:rsidP="000A1EC6">
      <w:pPr>
        <w:pStyle w:val="Rubrik1"/>
        <w:rPr>
          <w:noProof w:val="0"/>
        </w:rPr>
      </w:pPr>
      <w:bookmarkStart w:id="40" w:name="_Toc277831133"/>
      <w:r w:rsidRPr="00F517E2">
        <w:rPr>
          <w:noProof w:val="0"/>
        </w:rPr>
        <w:t>Författningskommentar</w:t>
      </w:r>
      <w:bookmarkEnd w:id="40"/>
    </w:p>
    <w:p w:rsidR="007A056D" w:rsidRPr="00F517E2" w:rsidRDefault="007A056D" w:rsidP="00C81779">
      <w:pPr>
        <w:pStyle w:val="Rubrik2"/>
        <w:spacing w:before="0"/>
      </w:pPr>
      <w:bookmarkStart w:id="41" w:name="_Toc277831134"/>
      <w:r w:rsidRPr="00F517E2">
        <w:t>Förslaget till lag om ändring i lagen (1994:1065) om ekonomiska villkor för riksdagens ledamöter</w:t>
      </w:r>
      <w:bookmarkEnd w:id="41"/>
    </w:p>
    <w:p w:rsidR="007A056D" w:rsidRPr="00F517E2" w:rsidRDefault="007A056D" w:rsidP="00C81779">
      <w:pPr>
        <w:spacing w:before="125"/>
        <w:rPr>
          <w:b/>
        </w:rPr>
      </w:pPr>
      <w:r w:rsidRPr="00F517E2">
        <w:rPr>
          <w:b/>
        </w:rPr>
        <w:t>13 kap. 13 §</w:t>
      </w:r>
    </w:p>
    <w:p w:rsidR="007A056D" w:rsidRPr="00F517E2" w:rsidRDefault="007A056D" w:rsidP="00C147DF">
      <w:pPr>
        <w:spacing w:before="0"/>
      </w:pPr>
      <w:r w:rsidRPr="00F517E2">
        <w:t xml:space="preserve">I paragrafen anges vilka inkomster som ska minska inkomstgarantin. </w:t>
      </w:r>
    </w:p>
    <w:p w:rsidR="007A056D" w:rsidRPr="00F517E2" w:rsidRDefault="00AB68BC" w:rsidP="00C147DF">
      <w:pPr>
        <w:pStyle w:val="Normaltindrag"/>
      </w:pPr>
      <w:r w:rsidRPr="00F517E2">
        <w:t>Genom den föreslagna ändringen får bestämmelsen det avsedda innehå</w:t>
      </w:r>
      <w:r w:rsidRPr="00F517E2">
        <w:t>l</w:t>
      </w:r>
      <w:r w:rsidRPr="00F517E2">
        <w:t>let, nämligen att inkomster som är pensionsgrundande medför reduktion av i</w:t>
      </w:r>
      <w:r w:rsidRPr="00F517E2">
        <w:t>n</w:t>
      </w:r>
      <w:r w:rsidRPr="00F517E2">
        <w:t xml:space="preserve">komstgarantin vare sig de ligger under eller över det s.k. taket om 7,5 </w:t>
      </w:r>
      <w:r w:rsidR="00397BF1" w:rsidRPr="00F517E2">
        <w:t>i</w:t>
      </w:r>
      <w:r w:rsidR="00397BF1" w:rsidRPr="00F517E2">
        <w:t>n</w:t>
      </w:r>
      <w:r w:rsidR="00397BF1" w:rsidRPr="00F517E2">
        <w:t>komstbasbelopp</w:t>
      </w:r>
      <w:r w:rsidRPr="00F517E2">
        <w:t>.</w:t>
      </w:r>
      <w:r w:rsidR="007A056D" w:rsidRPr="00F517E2">
        <w:t xml:space="preserve"> Innebörden är att också inkomster som överstiger sju och ett halvt </w:t>
      </w:r>
      <w:r w:rsidR="00397BF1" w:rsidRPr="00F517E2">
        <w:t>inkomst</w:t>
      </w:r>
      <w:r w:rsidR="007A056D" w:rsidRPr="00F517E2">
        <w:t>basbelopp ska inverka på inkomstgarantin, trots att de inte är pension</w:t>
      </w:r>
      <w:r w:rsidR="007A056D" w:rsidRPr="00F517E2">
        <w:t>s</w:t>
      </w:r>
      <w:r w:rsidR="007A056D" w:rsidRPr="00F517E2">
        <w:t xml:space="preserve">grundande. </w:t>
      </w:r>
      <w:r w:rsidR="00A01173" w:rsidRPr="00F517E2">
        <w:t>Ändringen behandlas i avsnitt 5.1 och 5.2.9.</w:t>
      </w:r>
    </w:p>
    <w:p w:rsidR="007A056D" w:rsidRPr="00F517E2" w:rsidRDefault="00155290" w:rsidP="00C81779">
      <w:pPr>
        <w:spacing w:before="125"/>
      </w:pPr>
      <w:r w:rsidRPr="00F517E2">
        <w:rPr>
          <w:b/>
        </w:rPr>
        <w:t xml:space="preserve">13 kap. </w:t>
      </w:r>
      <w:r w:rsidR="007A056D" w:rsidRPr="00F517E2">
        <w:rPr>
          <w:b/>
        </w:rPr>
        <w:t>16 §</w:t>
      </w:r>
    </w:p>
    <w:p w:rsidR="007A056D" w:rsidRPr="00F517E2" w:rsidRDefault="007A056D" w:rsidP="00C147DF">
      <w:pPr>
        <w:spacing w:before="0"/>
      </w:pPr>
      <w:r w:rsidRPr="00F517E2">
        <w:t>I paragrafen finns bestämmelser om i vilka fall inkomstgaranti</w:t>
      </w:r>
      <w:r w:rsidR="00FC14BA" w:rsidRPr="00F517E2">
        <w:t>n</w:t>
      </w:r>
      <w:r w:rsidRPr="00F517E2">
        <w:t xml:space="preserve"> kan jämkas. </w:t>
      </w:r>
    </w:p>
    <w:p w:rsidR="007A056D" w:rsidRPr="00F517E2" w:rsidRDefault="007A056D" w:rsidP="00C147DF">
      <w:pPr>
        <w:spacing w:before="0"/>
      </w:pPr>
      <w:r w:rsidRPr="00F517E2">
        <w:t xml:space="preserve">Den första punkten är oförändrad. Den fjärde punkten motsvarar den tidigare andra punkten. Andra och tredje punkterna är nya. </w:t>
      </w:r>
    </w:p>
    <w:p w:rsidR="007A056D" w:rsidRPr="00F517E2" w:rsidRDefault="007A056D" w:rsidP="00777B5F">
      <w:pPr>
        <w:pStyle w:val="Normaltindrag"/>
      </w:pPr>
      <w:r w:rsidRPr="00F517E2">
        <w:t xml:space="preserve">I den andra punkten anges i vilka fall jämkning får ske när garantitagaren har inkomst av aktiv näringsverksamhet. Denna punkt omfattar också den som bedriver verksamhet i handelsbolagsform. Jämkning kan ske om den pensionsgrundande inkomsten minskats genom olika åtgärder. Ändringarna behandlas i avsnitt </w:t>
      </w:r>
      <w:r w:rsidR="00777B5F" w:rsidRPr="00F517E2">
        <w:t>5</w:t>
      </w:r>
      <w:r w:rsidRPr="00F517E2">
        <w:t>. Varje minskning av den pensionsgrundande inkom</w:t>
      </w:r>
      <w:r w:rsidRPr="00F517E2">
        <w:t>s</w:t>
      </w:r>
      <w:r w:rsidRPr="00F517E2">
        <w:t xml:space="preserve">ten som skett genom någon av de i paragrafen nämnda åtgärderna måste inte </w:t>
      </w:r>
      <w:r w:rsidR="00FC14BA" w:rsidRPr="00F517E2">
        <w:t>med</w:t>
      </w:r>
      <w:r w:rsidRPr="00F517E2">
        <w:t>föra jämkning. Omvänt gäller att det i ett ärende kan bli aktuellt att ti</w:t>
      </w:r>
      <w:r w:rsidRPr="00F517E2">
        <w:t>l</w:t>
      </w:r>
      <w:r w:rsidRPr="00F517E2">
        <w:t xml:space="preserve">lämpa två eller flera av de jämkningsmöjligheter som paragrafen ger. Här måste det göras en samlad bedömning i varje enskilt fall. Vid bedömningen bör i första hand avseende fästas vid hur stor minskning som gjorts av den pensionsgrundande inkomsten samt </w:t>
      </w:r>
      <w:r w:rsidR="00F66501" w:rsidRPr="00F517E2">
        <w:t xml:space="preserve">vid hur lång tid som återstår </w:t>
      </w:r>
      <w:r w:rsidRPr="00F517E2">
        <w:t>under vilken g</w:t>
      </w:r>
      <w:r w:rsidRPr="00F517E2">
        <w:t>a</w:t>
      </w:r>
      <w:r w:rsidRPr="00F517E2">
        <w:t xml:space="preserve">rantitagaren har rätt till inkomstgaranti. </w:t>
      </w:r>
    </w:p>
    <w:p w:rsidR="007A056D" w:rsidRPr="00F517E2" w:rsidRDefault="007A056D" w:rsidP="00777B5F">
      <w:pPr>
        <w:pStyle w:val="Normaltindrag"/>
      </w:pPr>
      <w:r w:rsidRPr="00F517E2">
        <w:t>I den tredje punkten finns en bestämmelse som tar sikte på fall där garant</w:t>
      </w:r>
      <w:r w:rsidRPr="00F517E2">
        <w:t>i</w:t>
      </w:r>
      <w:r w:rsidRPr="00F517E2">
        <w:t>tagaren har inkomst av passiv näringsverksamhet. Ändringen behandlas i a</w:t>
      </w:r>
      <w:r w:rsidRPr="00F517E2">
        <w:t>v</w:t>
      </w:r>
      <w:r w:rsidRPr="00F517E2">
        <w:t xml:space="preserve">snitt </w:t>
      </w:r>
      <w:r w:rsidR="00777B5F" w:rsidRPr="00F517E2">
        <w:t>5.2</w:t>
      </w:r>
      <w:r w:rsidRPr="00F517E2">
        <w:t>.7. Också denna punkt är tillämplig i fall då näringsverksamheten bedrivs i ett handelsbolag. Jämkning kan bara bli aktuell om det ingår arbet</w:t>
      </w:r>
      <w:r w:rsidRPr="00F517E2">
        <w:t>s</w:t>
      </w:r>
      <w:r w:rsidRPr="00F517E2">
        <w:t>inkomster i inkomsten. En situation där jämkning kan bli aktuell med tilläm</w:t>
      </w:r>
      <w:r w:rsidRPr="00F517E2">
        <w:t>p</w:t>
      </w:r>
      <w:r w:rsidRPr="00F517E2">
        <w:t>ning av denna bestämmelse är om en garantitagare har konsultarvoden samt</w:t>
      </w:r>
      <w:r w:rsidRPr="00F517E2">
        <w:t>i</w:t>
      </w:r>
      <w:r w:rsidRPr="00F517E2">
        <w:t>digt som han eller hon bedriver fastighetsförvaltning som visar underskott.</w:t>
      </w:r>
    </w:p>
    <w:p w:rsidR="007A056D" w:rsidRPr="00F517E2" w:rsidRDefault="007A056D" w:rsidP="00777B5F">
      <w:pPr>
        <w:pStyle w:val="Normaltindrag"/>
      </w:pPr>
      <w:r w:rsidRPr="00F517E2">
        <w:t xml:space="preserve">Jämkning får bara ske när det är skäligt. Detta framgår nu uttryckligen av paragrafen. Inom ramen för den bedömningen kan det – som framgått av avsnitt </w:t>
      </w:r>
      <w:r w:rsidR="001874BA" w:rsidRPr="00F517E2">
        <w:t>5.2</w:t>
      </w:r>
      <w:r w:rsidRPr="00F517E2">
        <w:t xml:space="preserve">.5 – finnas skäl att anlägga ett mer generöst synsätt beträffande pensionssparavdrag. Vid skälighetsbedömningen bör det också kunna tas hänsyn till vilka möjligheter garantitagaren haft att överblicka vilka följder ett visst handlade i fråga om exempelvis fondavsättningar kan ha i fråga om inkomstgarantin. </w:t>
      </w:r>
    </w:p>
    <w:p w:rsidR="007A056D" w:rsidRPr="00F517E2" w:rsidRDefault="00155290" w:rsidP="00C81779">
      <w:pPr>
        <w:spacing w:before="125"/>
      </w:pPr>
      <w:r w:rsidRPr="00F517E2">
        <w:rPr>
          <w:b/>
        </w:rPr>
        <w:t xml:space="preserve">13 kap. </w:t>
      </w:r>
      <w:r w:rsidR="007A056D" w:rsidRPr="00F517E2">
        <w:rPr>
          <w:b/>
        </w:rPr>
        <w:t>24 b §</w:t>
      </w:r>
    </w:p>
    <w:p w:rsidR="007A056D" w:rsidRPr="00F517E2" w:rsidRDefault="007A056D" w:rsidP="00C147DF">
      <w:pPr>
        <w:spacing w:before="0"/>
      </w:pPr>
      <w:r w:rsidRPr="00F517E2">
        <w:t xml:space="preserve">I paragrafen anges i vilken utsträckning en garantitagare är skyldig att lämna uppgifter till Riksdagens arvodesnämnd. Bestämmelsen är ny och behandlas i avsnitt </w:t>
      </w:r>
      <w:r w:rsidR="001874BA" w:rsidRPr="00F517E2">
        <w:t>5.2.</w:t>
      </w:r>
      <w:r w:rsidRPr="00F517E2">
        <w:t>1</w:t>
      </w:r>
      <w:r w:rsidR="001874BA" w:rsidRPr="00F517E2">
        <w:t>0</w:t>
      </w:r>
      <w:r w:rsidRPr="00F517E2">
        <w:t xml:space="preserve">. </w:t>
      </w:r>
    </w:p>
    <w:p w:rsidR="007A056D" w:rsidRPr="00F517E2" w:rsidRDefault="007A056D" w:rsidP="00F0467D">
      <w:pPr>
        <w:pStyle w:val="Normaltindrag"/>
      </w:pPr>
      <w:r w:rsidRPr="00F517E2">
        <w:t xml:space="preserve">Uppgiftsskyldigheten gäller i de fall jämkning är aktuell på grund av att arbete utförts åt </w:t>
      </w:r>
      <w:r w:rsidR="002D06BD" w:rsidRPr="00F517E2">
        <w:t xml:space="preserve">någon </w:t>
      </w:r>
      <w:r w:rsidRPr="00F517E2">
        <w:t>annan samt i de fall garantitagaren minskat sin pe</w:t>
      </w:r>
      <w:r w:rsidRPr="00F517E2">
        <w:t>n</w:t>
      </w:r>
      <w:r w:rsidRPr="00F517E2">
        <w:t xml:space="preserve">sionsgrundande inkomst på visst sätt. Den gäller också i de fall garantitagaren bedriver en passiv näringsverksamhet och i den har arbetsinkomster. </w:t>
      </w:r>
    </w:p>
    <w:p w:rsidR="007A056D" w:rsidRPr="00F517E2" w:rsidRDefault="007A056D" w:rsidP="00F0467D">
      <w:pPr>
        <w:pStyle w:val="Normaltindrag"/>
      </w:pPr>
      <w:r w:rsidRPr="00F517E2">
        <w:t xml:space="preserve">Någon sanktion för den som inte </w:t>
      </w:r>
      <w:r w:rsidR="00536734" w:rsidRPr="00F517E2">
        <w:t>följer</w:t>
      </w:r>
      <w:r w:rsidRPr="00F517E2">
        <w:t xml:space="preserve"> en begäran från nämnden att lä</w:t>
      </w:r>
      <w:r w:rsidRPr="00F517E2">
        <w:t>m</w:t>
      </w:r>
      <w:r w:rsidRPr="00F517E2">
        <w:t>na uppgifter har inte bedömts behövlig. I ett sådant fall får nämnden pröva äre</w:t>
      </w:r>
      <w:r w:rsidRPr="00F517E2">
        <w:t>n</w:t>
      </w:r>
      <w:r w:rsidRPr="00F517E2">
        <w:t xml:space="preserve">det i föreliggande skick. </w:t>
      </w:r>
    </w:p>
    <w:p w:rsidR="007A056D" w:rsidRPr="00F517E2" w:rsidRDefault="007A056D" w:rsidP="00F0467D">
      <w:pPr>
        <w:pStyle w:val="Normaltindrag"/>
      </w:pPr>
      <w:r w:rsidRPr="00F517E2">
        <w:t xml:space="preserve">För de uppgifter som lämnas till nämnden kan sekretess komma att gälla, se närmare avsnitt </w:t>
      </w:r>
      <w:r w:rsidR="00F0467D" w:rsidRPr="00F517E2">
        <w:t>5.2.12</w:t>
      </w:r>
      <w:r w:rsidRPr="00F517E2">
        <w:t xml:space="preserve">. </w:t>
      </w:r>
    </w:p>
    <w:p w:rsidR="007A056D" w:rsidRPr="00F517E2" w:rsidRDefault="007A056D" w:rsidP="00F0467D">
      <w:pPr>
        <w:pStyle w:val="Normaltindrag"/>
      </w:pPr>
      <w:r w:rsidRPr="00F517E2">
        <w:t>Att garantitagare är uppgiftsskyldiga i förhållande till Statens pensionsverk framgår av 13 kap. 23 § ersättningslagen.</w:t>
      </w:r>
    </w:p>
    <w:p w:rsidR="007A056D" w:rsidRPr="00F517E2" w:rsidRDefault="00155290" w:rsidP="00C81779">
      <w:pPr>
        <w:spacing w:before="125"/>
        <w:rPr>
          <w:b/>
        </w:rPr>
      </w:pPr>
      <w:r w:rsidRPr="00F517E2">
        <w:rPr>
          <w:b/>
        </w:rPr>
        <w:t xml:space="preserve">13 kap. </w:t>
      </w:r>
      <w:r w:rsidR="007A056D" w:rsidRPr="00F517E2">
        <w:rPr>
          <w:b/>
        </w:rPr>
        <w:t>24 c §</w:t>
      </w:r>
    </w:p>
    <w:p w:rsidR="007A056D" w:rsidRPr="00F517E2" w:rsidRDefault="007A056D" w:rsidP="00C147DF">
      <w:pPr>
        <w:spacing w:before="0"/>
      </w:pPr>
      <w:r w:rsidRPr="00F517E2">
        <w:t xml:space="preserve">I paragrafen anges vilka uppgifter som Skatteverket ska lämna till Riksdagens arvodesnämnd. Bestämmelsen är ny och behandlas i avsnitt </w:t>
      </w:r>
      <w:r w:rsidR="00F0467D" w:rsidRPr="00F517E2">
        <w:t>5.2.11</w:t>
      </w:r>
      <w:r w:rsidRPr="00F517E2">
        <w:t xml:space="preserve">. </w:t>
      </w:r>
    </w:p>
    <w:p w:rsidR="007A056D" w:rsidRPr="00F517E2" w:rsidRDefault="007A056D" w:rsidP="00F0467D">
      <w:pPr>
        <w:pStyle w:val="Normaltindrag"/>
      </w:pPr>
      <w:r w:rsidRPr="00F517E2">
        <w:t>Uppgiftsskyldigheten tar sikte på samma jämkningsgrunder som gäller i fråga om garantitagarnas uppgiftsskyldighet i förhållande till Riksdagens arvode</w:t>
      </w:r>
      <w:r w:rsidRPr="00F517E2">
        <w:t>s</w:t>
      </w:r>
      <w:r w:rsidRPr="00F517E2">
        <w:t>nämnd. Uppgiftsskyldighet gäller också för sådana uppgifter som behövs för att nämnden ska kunna ta ställning till frågan om inkomstgaranti när avsät</w:t>
      </w:r>
      <w:r w:rsidRPr="00F517E2">
        <w:t>t</w:t>
      </w:r>
      <w:r w:rsidRPr="00F517E2">
        <w:t xml:space="preserve">ningar återförts till beskattning enligt 13 kap. 27 § andra stycket. </w:t>
      </w:r>
    </w:p>
    <w:p w:rsidR="007A056D" w:rsidRPr="00F517E2" w:rsidRDefault="007A056D" w:rsidP="00F0467D">
      <w:pPr>
        <w:pStyle w:val="Normaltindrag"/>
      </w:pPr>
      <w:r w:rsidRPr="00F517E2">
        <w:t xml:space="preserve">Av 10 kap. 28 § offentlighets- och sekretesslagen följer att den nu aktuella bestämmelsen bryter den sekretess som gäller hos Skatteverket. </w:t>
      </w:r>
    </w:p>
    <w:p w:rsidR="007A056D" w:rsidRPr="00F517E2" w:rsidRDefault="00155290" w:rsidP="00C81779">
      <w:pPr>
        <w:spacing w:before="125"/>
        <w:rPr>
          <w:b/>
        </w:rPr>
      </w:pPr>
      <w:r w:rsidRPr="00F517E2">
        <w:rPr>
          <w:b/>
        </w:rPr>
        <w:t xml:space="preserve">13 kap. </w:t>
      </w:r>
      <w:r w:rsidR="007A056D" w:rsidRPr="00F517E2">
        <w:rPr>
          <w:b/>
        </w:rPr>
        <w:t>27 §</w:t>
      </w:r>
    </w:p>
    <w:p w:rsidR="007A056D" w:rsidRPr="00F517E2" w:rsidRDefault="007A056D" w:rsidP="00C147DF">
      <w:pPr>
        <w:spacing w:before="0"/>
      </w:pPr>
      <w:r w:rsidRPr="00F517E2">
        <w:t>Paragrafen reglerar möjligheterna att få en ny prövning av inkomstgarantin i de fall där Riksdagens arvodesnämnd beslutat om jämkning av inkomstgara</w:t>
      </w:r>
      <w:r w:rsidRPr="00F517E2">
        <w:t>n</w:t>
      </w:r>
      <w:r w:rsidRPr="00F517E2">
        <w:t xml:space="preserve">tin.  </w:t>
      </w:r>
    </w:p>
    <w:p w:rsidR="007A056D" w:rsidRPr="00F517E2" w:rsidRDefault="007A056D" w:rsidP="00C16FAE">
      <w:pPr>
        <w:pStyle w:val="Normaltindrag"/>
      </w:pPr>
      <w:r w:rsidRPr="00F517E2">
        <w:t xml:space="preserve">Första stycket är oförändrat. I andra stycket – som är nytt – har </w:t>
      </w:r>
      <w:r w:rsidR="00F01B07" w:rsidRPr="00F517E2">
        <w:t xml:space="preserve">det </w:t>
      </w:r>
      <w:r w:rsidRPr="00F517E2">
        <w:t xml:space="preserve">intagits en möjlighet att få frågan om inkomstgarantin för ett visst år prövad på nytt. Bestämmelsen behandlas i avsnitt </w:t>
      </w:r>
      <w:r w:rsidR="00C16FAE" w:rsidRPr="00F517E2">
        <w:t>5.2.8</w:t>
      </w:r>
      <w:r w:rsidRPr="00F517E2">
        <w:t xml:space="preserve">. </w:t>
      </w:r>
    </w:p>
    <w:p w:rsidR="007A056D" w:rsidRPr="00F517E2" w:rsidRDefault="007A056D" w:rsidP="00C16FAE">
      <w:pPr>
        <w:pStyle w:val="Normaltindrag"/>
      </w:pPr>
      <w:r w:rsidRPr="00F517E2">
        <w:t>En förutsättning för att få frågan om inkomstgaranti</w:t>
      </w:r>
      <w:r w:rsidR="008A1541" w:rsidRPr="00F517E2">
        <w:t>n</w:t>
      </w:r>
      <w:r w:rsidRPr="00F517E2">
        <w:t xml:space="preserve"> prövad igen är att g</w:t>
      </w:r>
      <w:r w:rsidRPr="00F517E2">
        <w:t>a</w:t>
      </w:r>
      <w:r w:rsidRPr="00F517E2">
        <w:t>rantitagaren återfört hela eller delar av ett tidigare avsatt belopp till beskat</w:t>
      </w:r>
      <w:r w:rsidRPr="00F517E2">
        <w:t>t</w:t>
      </w:r>
      <w:r w:rsidRPr="00F517E2">
        <w:t>ning. Vid denna prövning måste givetvis det tidigare beslutet om jämkning beaktas liksom storleken på det belopp som återförs till beskattning. Tanken är alltså inte att det tidigare beslut</w:t>
      </w:r>
      <w:r w:rsidR="006030D7" w:rsidRPr="00F517E2">
        <w:t>e</w:t>
      </w:r>
      <w:r w:rsidRPr="00F517E2">
        <w:t>t ska rivas upp genom denna nya prö</w:t>
      </w:r>
      <w:r w:rsidRPr="00F517E2">
        <w:t>v</w:t>
      </w:r>
      <w:r w:rsidRPr="00F517E2">
        <w:t>ning. I stället ska ett nytt beslut om inkomstgarantin fattas för det aktuella året. Resultatet av den nya prövningen torde ofta bli att inkomstgarantin höjs för det år som återförandet gjordes.</w:t>
      </w:r>
    </w:p>
    <w:p w:rsidR="00D6036C" w:rsidRPr="00F517E2" w:rsidRDefault="007A056D" w:rsidP="00D6036C">
      <w:pPr>
        <w:pStyle w:val="Rubrik2"/>
      </w:pPr>
      <w:bookmarkStart w:id="42" w:name="_Toc277831135"/>
      <w:r w:rsidRPr="00F517E2">
        <w:t xml:space="preserve">Förslaget till lag </w:t>
      </w:r>
      <w:r w:rsidR="00D6036C" w:rsidRPr="00F517E2">
        <w:t>om ändring i övergångsbestämmelserna till den upphävda lagen (1996:304) om arvode m.m. till Sveriges ledamöter av Europaparlamentet</w:t>
      </w:r>
      <w:bookmarkEnd w:id="42"/>
    </w:p>
    <w:p w:rsidR="007A056D" w:rsidRPr="00F517E2" w:rsidRDefault="007A056D" w:rsidP="00C81779">
      <w:pPr>
        <w:spacing w:before="125"/>
      </w:pPr>
      <w:r w:rsidRPr="00F517E2">
        <w:t>Förslagen till ändringar är rena konsekvensändringar. Ändringarna syftar alltså till att åstadkomma ett likadant regelverk för ledamöterna av Europapa</w:t>
      </w:r>
      <w:r w:rsidRPr="00F517E2">
        <w:t>r</w:t>
      </w:r>
      <w:r w:rsidRPr="00F517E2">
        <w:t>lamentet som det som gäller för ledamöter av riksdagen. Ändringarna behan</w:t>
      </w:r>
      <w:r w:rsidRPr="00F517E2">
        <w:t>d</w:t>
      </w:r>
      <w:r w:rsidRPr="00F517E2">
        <w:t xml:space="preserve">las i avsnitt </w:t>
      </w:r>
      <w:r w:rsidR="00D6036C" w:rsidRPr="00F517E2">
        <w:t>5.2.</w:t>
      </w:r>
      <w:r w:rsidRPr="00F517E2">
        <w:t>1</w:t>
      </w:r>
      <w:r w:rsidR="00D6036C" w:rsidRPr="00F517E2">
        <w:t>3</w:t>
      </w:r>
      <w:r w:rsidRPr="00F517E2">
        <w:t xml:space="preserve">. Ändringarna motsvarar </w:t>
      </w:r>
      <w:r w:rsidR="00D6036C" w:rsidRPr="00F517E2">
        <w:t xml:space="preserve">alltså </w:t>
      </w:r>
      <w:r w:rsidRPr="00F517E2">
        <w:t>dem som föreslås i ersät</w:t>
      </w:r>
      <w:r w:rsidRPr="00F517E2">
        <w:t>t</w:t>
      </w:r>
      <w:r w:rsidRPr="00F517E2">
        <w:t>ningslagen, se förfat</w:t>
      </w:r>
      <w:r w:rsidRPr="00F517E2">
        <w:t>t</w:t>
      </w:r>
      <w:r w:rsidRPr="00F517E2">
        <w:t xml:space="preserve">ningskommentaren till de ändringarna </w:t>
      </w:r>
      <w:r w:rsidR="00DB41C7" w:rsidRPr="00F517E2">
        <w:t>samt</w:t>
      </w:r>
      <w:r w:rsidRPr="00F517E2">
        <w:t xml:space="preserve"> avsnitt </w:t>
      </w:r>
      <w:r w:rsidR="00D6036C" w:rsidRPr="00F517E2">
        <w:t>5</w:t>
      </w:r>
      <w:r w:rsidRPr="00F517E2">
        <w:t xml:space="preserve">.1. </w:t>
      </w:r>
      <w:r w:rsidR="00D6036C" w:rsidRPr="00F517E2">
        <w:t>och 5.2.1</w:t>
      </w:r>
      <w:r w:rsidR="00421AB6" w:rsidRPr="00F517E2">
        <w:t>–</w:t>
      </w:r>
      <w:r w:rsidR="00D6036C" w:rsidRPr="00F517E2">
        <w:t>12.</w:t>
      </w:r>
    </w:p>
    <w:p w:rsidR="001A2589" w:rsidRPr="00F517E2" w:rsidRDefault="001A2589" w:rsidP="007A056D"/>
    <w:p w:rsidR="001A2589" w:rsidRPr="00F517E2" w:rsidRDefault="001A2589" w:rsidP="001A2589">
      <w:pPr>
        <w:pStyle w:val="Tryckort"/>
        <w:framePr w:wrap="around"/>
      </w:pPr>
      <w:r w:rsidRPr="00F517E2">
        <w:t>Elanders, Vällingby  2010</w:t>
      </w:r>
    </w:p>
    <w:p w:rsidR="004069F0" w:rsidRPr="00F517E2" w:rsidRDefault="004069F0" w:rsidP="001A2589">
      <w:pPr>
        <w:pStyle w:val="Normaltindrag"/>
      </w:pPr>
    </w:p>
    <w:sectPr w:rsidR="004069F0" w:rsidRPr="00F517E2">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A16" w:rsidRPr="00F517E2" w:rsidRDefault="00D01A16">
      <w:r w:rsidRPr="00F517E2">
        <w:separator/>
      </w:r>
    </w:p>
  </w:endnote>
  <w:endnote w:type="continuationSeparator" w:id="0">
    <w:p w:rsidR="00D01A16" w:rsidRPr="00F517E2" w:rsidRDefault="00D01A16">
      <w:r w:rsidRPr="00F517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V"/>
      <w:framePr w:w="8732" w:h="284" w:hRule="exact" w:hSpace="0" w:vSpace="0" w:wrap="around" w:xAlign="inside" w:y="13042"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t>2</w:t>
    </w:r>
    <w:r w:rsidRPr="00F517E2">
      <w:fldChar w:fldCharType="end"/>
    </w:r>
  </w:p>
  <w:p w:rsidR="006E264D" w:rsidRPr="00F517E2" w:rsidRDefault="006E264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V"/>
      <w:framePr w:w="8732" w:h="284" w:hRule="exact" w:hSpace="0" w:vSpace="0" w:wrap="around" w:xAlign="inside" w:y="13042"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t>8</w:t>
    </w:r>
    <w:r w:rsidRPr="00F517E2">
      <w:fldChar w:fldCharType="end"/>
    </w:r>
  </w:p>
  <w:p w:rsidR="006E264D" w:rsidRPr="00F517E2" w:rsidRDefault="006E264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H"/>
      <w:framePr w:w="8732" w:h="284" w:hRule="exact" w:hSpace="0" w:vSpace="0" w:wrap="around" w:xAlign="inside" w:y="13042"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t>7</w:t>
    </w:r>
    <w:r w:rsidRPr="00F517E2">
      <w:fldChar w:fldCharType="end"/>
    </w:r>
  </w:p>
  <w:p w:rsidR="006E264D" w:rsidRPr="00F517E2" w:rsidRDefault="006E264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V"/>
      <w:framePr w:w="8732" w:h="284" w:hRule="exact" w:hSpace="0" w:vSpace="0" w:wrap="around" w:xAlign="inside" w:y="13042" w:anchorLock="0"/>
    </w:pP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5</w:instrText>
    </w:r>
    <w:r w:rsidRPr="00F517E2">
      <w:fldChar w:fldCharType="end"/>
    </w:r>
    <w:r w:rsidRPr="00F517E2">
      <w:instrText xml:space="preserve">/2 </w:instrText>
    </w:r>
    <w:r w:rsidRPr="00F517E2">
      <w:fldChar w:fldCharType="separate"/>
    </w:r>
    <w:r w:rsidR="00C42A74" w:rsidRPr="00F517E2">
      <w:instrText>2,5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5</w:instrText>
    </w:r>
    <w:r w:rsidRPr="00F517E2">
      <w:fldChar w:fldCharType="end"/>
    </w:r>
    <w:r w:rsidRPr="00F517E2">
      <w:instrText xml:space="preserve">/2) </w:instrText>
    </w:r>
    <w:r w:rsidRPr="00F517E2">
      <w:fldChar w:fldCharType="separate"/>
    </w:r>
    <w:r w:rsidR="00C42A74" w:rsidRPr="00F517E2">
      <w:instrText>2</w:instrText>
    </w:r>
    <w:r w:rsidRPr="00F517E2">
      <w:fldChar w:fldCharType="end"/>
    </w:r>
    <w:r w:rsidRPr="00F517E2">
      <w:fldChar w:fldCharType="separate"/>
    </w:r>
    <w:r w:rsidR="00C42A74" w:rsidRPr="00F517E2">
      <w:instrText>0,5</w:instrText>
    </w:r>
    <w:r w:rsidRPr="00F517E2">
      <w:fldChar w:fldCharType="end"/>
    </w:r>
    <w:r w:rsidRPr="00F517E2">
      <w:instrText xml:space="preserve"> = 0 "</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instrText>4</w:instrText>
    </w:r>
    <w:r w:rsidRPr="00F517E2">
      <w:fldChar w:fldCharType="end"/>
    </w:r>
  </w:p>
  <w:p w:rsidR="006E264D" w:rsidRPr="00F517E2" w:rsidRDefault="006E264D">
    <w:pPr>
      <w:pStyle w:val="SidfotH"/>
      <w:framePr w:w="8732" w:h="284" w:hRule="exact" w:hSpace="0" w:vSpace="0" w:wrap="around" w:xAlign="inside" w:y="13042" w:anchorLock="0"/>
    </w:pPr>
    <w:r w:rsidRPr="00F517E2">
      <w:instrText>""</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instrText>5</w:instrText>
    </w:r>
    <w:r w:rsidRPr="00F517E2">
      <w:fldChar w:fldCharType="end"/>
    </w:r>
    <w:r w:rsidRPr="00F517E2">
      <w:instrText>"</w:instrText>
    </w:r>
    <w:r w:rsidRPr="00F517E2">
      <w:fldChar w:fldCharType="separate"/>
    </w:r>
    <w:r w:rsidR="00C42A74" w:rsidRPr="00F517E2">
      <w:t>5</w:t>
    </w:r>
    <w:r w:rsidRPr="00F517E2">
      <w:fldChar w:fldCharType="end"/>
    </w:r>
  </w:p>
  <w:p w:rsidR="006E264D" w:rsidRPr="00F517E2" w:rsidRDefault="006E264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V"/>
      <w:framePr w:w="8732" w:h="284" w:hRule="exact" w:hSpace="0" w:vSpace="0" w:wrap="around" w:xAlign="inside" w:y="13042"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t>10</w:t>
    </w:r>
    <w:r w:rsidRPr="00F517E2">
      <w:fldChar w:fldCharType="end"/>
    </w:r>
  </w:p>
  <w:p w:rsidR="006E264D" w:rsidRPr="00F517E2" w:rsidRDefault="006E264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H"/>
      <w:framePr w:w="8732" w:h="284" w:hRule="exact" w:hSpace="0" w:vSpace="0" w:wrap="around" w:xAlign="inside" w:y="13042"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t>11</w:t>
    </w:r>
    <w:r w:rsidRPr="00F517E2">
      <w:fldChar w:fldCharType="end"/>
    </w:r>
  </w:p>
  <w:p w:rsidR="006E264D" w:rsidRPr="00F517E2" w:rsidRDefault="006E264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V"/>
      <w:framePr w:w="8732" w:h="284" w:hRule="exact" w:hSpace="0" w:vSpace="0" w:wrap="around" w:xAlign="inside" w:y="13042" w:anchorLock="0"/>
    </w:pP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9</w:instrText>
    </w:r>
    <w:r w:rsidRPr="00F517E2">
      <w:fldChar w:fldCharType="end"/>
    </w:r>
    <w:r w:rsidRPr="00F517E2">
      <w:instrText xml:space="preserve">/2 </w:instrText>
    </w:r>
    <w:r w:rsidRPr="00F517E2">
      <w:fldChar w:fldCharType="separate"/>
    </w:r>
    <w:r w:rsidR="00C42A74" w:rsidRPr="00F517E2">
      <w:instrText>4,5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9</w:instrText>
    </w:r>
    <w:r w:rsidRPr="00F517E2">
      <w:fldChar w:fldCharType="end"/>
    </w:r>
    <w:r w:rsidRPr="00F517E2">
      <w:instrText xml:space="preserve">/2) </w:instrText>
    </w:r>
    <w:r w:rsidRPr="00F517E2">
      <w:fldChar w:fldCharType="separate"/>
    </w:r>
    <w:r w:rsidR="00C42A74" w:rsidRPr="00F517E2">
      <w:instrText>4</w:instrText>
    </w:r>
    <w:r w:rsidRPr="00F517E2">
      <w:fldChar w:fldCharType="end"/>
    </w:r>
    <w:r w:rsidRPr="00F517E2">
      <w:fldChar w:fldCharType="separate"/>
    </w:r>
    <w:r w:rsidR="00C42A74" w:rsidRPr="00F517E2">
      <w:instrText>0,5</w:instrText>
    </w:r>
    <w:r w:rsidRPr="00F517E2">
      <w:fldChar w:fldCharType="end"/>
    </w:r>
    <w:r w:rsidRPr="00F517E2">
      <w:instrText xml:space="preserve"> = 0 "</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instrText>10</w:instrText>
    </w:r>
    <w:r w:rsidRPr="00F517E2">
      <w:fldChar w:fldCharType="end"/>
    </w:r>
  </w:p>
  <w:p w:rsidR="006E264D" w:rsidRPr="00F517E2" w:rsidRDefault="006E264D">
    <w:pPr>
      <w:pStyle w:val="SidfotH"/>
      <w:framePr w:w="8732" w:h="284" w:hRule="exact" w:hSpace="0" w:vSpace="0" w:wrap="around" w:xAlign="inside" w:y="13042" w:anchorLock="0"/>
    </w:pPr>
    <w:r w:rsidRPr="00F517E2">
      <w:instrText>""</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instrText>9</w:instrText>
    </w:r>
    <w:r w:rsidRPr="00F517E2">
      <w:fldChar w:fldCharType="end"/>
    </w:r>
    <w:r w:rsidRPr="00F517E2">
      <w:instrText>"</w:instrText>
    </w:r>
    <w:r w:rsidRPr="00F517E2">
      <w:fldChar w:fldCharType="separate"/>
    </w:r>
    <w:r w:rsidR="00C42A74" w:rsidRPr="00F517E2">
      <w:t>9</w:t>
    </w:r>
    <w:r w:rsidRPr="00F517E2">
      <w:fldChar w:fldCharType="end"/>
    </w:r>
  </w:p>
  <w:p w:rsidR="006E264D" w:rsidRPr="00F517E2" w:rsidRDefault="006E264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V"/>
      <w:framePr w:w="8732" w:h="284" w:hRule="exact" w:hSpace="0" w:vSpace="0" w:wrap="around" w:xAlign="inside" w:y="13042"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t>12</w:t>
    </w:r>
    <w:r w:rsidRPr="00F517E2">
      <w:fldChar w:fldCharType="end"/>
    </w:r>
  </w:p>
  <w:p w:rsidR="006E264D" w:rsidRPr="00F517E2" w:rsidRDefault="006E264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H"/>
      <w:framePr w:w="8732" w:h="284" w:hRule="exact" w:hSpace="0" w:vSpace="0" w:wrap="around" w:xAlign="inside" w:y="13042"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t>11</w:t>
    </w:r>
    <w:r w:rsidRPr="00F517E2">
      <w:fldChar w:fldCharType="end"/>
    </w:r>
  </w:p>
  <w:p w:rsidR="006E264D" w:rsidRPr="00F517E2" w:rsidRDefault="006E264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V"/>
      <w:framePr w:w="8732" w:h="284" w:hRule="exact" w:hSpace="0" w:vSpace="0" w:wrap="around" w:xAlign="inside" w:y="13042" w:anchorLock="0"/>
    </w:pP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10</w:instrText>
    </w:r>
    <w:r w:rsidRPr="00F517E2">
      <w:fldChar w:fldCharType="end"/>
    </w:r>
    <w:r w:rsidRPr="00F517E2">
      <w:instrText xml:space="preserve">/2 </w:instrText>
    </w:r>
    <w:r w:rsidRPr="00F517E2">
      <w:fldChar w:fldCharType="separate"/>
    </w:r>
    <w:r w:rsidR="00C42A74" w:rsidRPr="00F517E2">
      <w:instrText>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10</w:instrText>
    </w:r>
    <w:r w:rsidRPr="00F517E2">
      <w:fldChar w:fldCharType="end"/>
    </w:r>
    <w:r w:rsidRPr="00F517E2">
      <w:instrText xml:space="preserve">/2) </w:instrText>
    </w:r>
    <w:r w:rsidRPr="00F517E2">
      <w:fldChar w:fldCharType="separate"/>
    </w:r>
    <w:r w:rsidR="00C42A74" w:rsidRPr="00F517E2">
      <w:instrText>5</w:instrText>
    </w:r>
    <w:r w:rsidRPr="00F517E2">
      <w:fldChar w:fldCharType="end"/>
    </w:r>
    <w:r w:rsidRPr="00F517E2">
      <w:fldChar w:fldCharType="separate"/>
    </w:r>
    <w:r w:rsidR="00C42A74" w:rsidRPr="00F517E2">
      <w:instrText>0</w:instrText>
    </w:r>
    <w:r w:rsidRPr="00F517E2">
      <w:fldChar w:fldCharType="end"/>
    </w:r>
    <w:r w:rsidRPr="00F517E2">
      <w:instrText xml:space="preserve"> = 0 "</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instrText>10</w:instrText>
    </w:r>
    <w:r w:rsidRPr="00F517E2">
      <w:fldChar w:fldCharType="end"/>
    </w:r>
  </w:p>
  <w:p w:rsidR="00C42A74" w:rsidRPr="00F517E2" w:rsidRDefault="006E264D">
    <w:pPr>
      <w:pStyle w:val="SidfotV"/>
      <w:framePr w:w="8732" w:h="284" w:hRule="exact" w:hSpace="0" w:vSpace="0" w:wrap="around" w:xAlign="inside" w:y="13042" w:anchorLock="0"/>
    </w:pPr>
    <w:r w:rsidRPr="00F517E2">
      <w:instrText>""</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instrText>11</w:instrText>
    </w:r>
    <w:r w:rsidRPr="00F517E2">
      <w:fldChar w:fldCharType="end"/>
    </w:r>
    <w:r w:rsidRPr="00F517E2">
      <w:instrText>"</w:instrText>
    </w:r>
    <w:r w:rsidRPr="00F517E2">
      <w:fldChar w:fldCharType="separate"/>
    </w:r>
    <w:r w:rsidR="00C42A74" w:rsidRPr="00F517E2">
      <w:t>10</w:t>
    </w:r>
  </w:p>
  <w:p w:rsidR="006E264D" w:rsidRPr="00F517E2" w:rsidRDefault="006E264D">
    <w:pPr>
      <w:pStyle w:val="SidfotH"/>
      <w:framePr w:w="8732" w:h="284" w:hRule="exact" w:hSpace="0" w:vSpace="0" w:wrap="around" w:xAlign="inside" w:y="13042" w:anchorLock="0"/>
    </w:pPr>
    <w:r w:rsidRPr="00F517E2">
      <w:fldChar w:fldCharType="end"/>
    </w:r>
  </w:p>
  <w:p w:rsidR="006E264D" w:rsidRPr="00F517E2" w:rsidRDefault="006E264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BC45CB">
    <w:pPr>
      <w:pStyle w:val="SidfotV"/>
      <w:framePr w:w="8957" w:h="283" w:hRule="exact" w:hSpace="0" w:vSpace="0" w:wrap="around" w:xAlign="inside" w:y="13040"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t>42</w:t>
    </w:r>
    <w:r w:rsidRPr="00F517E2">
      <w:fldChar w:fldCharType="end"/>
    </w:r>
  </w:p>
  <w:p w:rsidR="006E264D" w:rsidRPr="00F517E2" w:rsidRDefault="006E26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H"/>
      <w:framePr w:w="8732" w:h="284" w:hRule="exact" w:hSpace="0" w:vSpace="0" w:wrap="around" w:xAlign="inside" w:y="13042"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t>3</w:t>
    </w:r>
    <w:r w:rsidRPr="00F517E2">
      <w:fldChar w:fldCharType="end"/>
    </w:r>
  </w:p>
  <w:p w:rsidR="006E264D" w:rsidRPr="00F517E2" w:rsidRDefault="006E264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BC45CB">
    <w:pPr>
      <w:pStyle w:val="SidfotH"/>
      <w:framePr w:w="8957" w:h="283" w:hRule="exact" w:hSpace="0" w:vSpace="0" w:wrap="around" w:xAlign="inside" w:y="13040"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t>43</w:t>
    </w:r>
    <w:r w:rsidRPr="00F517E2">
      <w:fldChar w:fldCharType="end"/>
    </w:r>
  </w:p>
  <w:p w:rsidR="006E264D" w:rsidRPr="00F517E2" w:rsidRDefault="006E264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BC45CB">
    <w:pPr>
      <w:pStyle w:val="SidfotV"/>
      <w:framePr w:w="8957" w:h="283" w:hRule="exact" w:hSpace="0" w:vSpace="0" w:wrap="around" w:xAlign="inside" w:y="13040" w:anchorLock="0"/>
    </w:pP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13</w:instrText>
    </w:r>
    <w:r w:rsidRPr="00F517E2">
      <w:fldChar w:fldCharType="end"/>
    </w:r>
    <w:r w:rsidRPr="00F517E2">
      <w:instrText xml:space="preserve">/2 </w:instrText>
    </w:r>
    <w:r w:rsidRPr="00F517E2">
      <w:fldChar w:fldCharType="separate"/>
    </w:r>
    <w:r w:rsidR="00C42A74" w:rsidRPr="00F517E2">
      <w:instrText>6,5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13</w:instrText>
    </w:r>
    <w:r w:rsidRPr="00F517E2">
      <w:fldChar w:fldCharType="end"/>
    </w:r>
    <w:r w:rsidRPr="00F517E2">
      <w:instrText xml:space="preserve">/2) </w:instrText>
    </w:r>
    <w:r w:rsidRPr="00F517E2">
      <w:fldChar w:fldCharType="separate"/>
    </w:r>
    <w:r w:rsidR="00C42A74" w:rsidRPr="00F517E2">
      <w:instrText>6</w:instrText>
    </w:r>
    <w:r w:rsidRPr="00F517E2">
      <w:fldChar w:fldCharType="end"/>
    </w:r>
    <w:r w:rsidRPr="00F517E2">
      <w:fldChar w:fldCharType="separate"/>
    </w:r>
    <w:r w:rsidR="00C42A74" w:rsidRPr="00F517E2">
      <w:instrText>0,5</w:instrText>
    </w:r>
    <w:r w:rsidRPr="00F517E2">
      <w:fldChar w:fldCharType="end"/>
    </w:r>
    <w:r w:rsidRPr="00F517E2">
      <w:instrText xml:space="preserve"> = 0 "</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instrText>14</w:instrText>
    </w:r>
    <w:r w:rsidRPr="00F517E2">
      <w:fldChar w:fldCharType="end"/>
    </w:r>
  </w:p>
  <w:p w:rsidR="006E264D" w:rsidRPr="00F517E2" w:rsidRDefault="006E264D" w:rsidP="00BC45CB">
    <w:pPr>
      <w:pStyle w:val="SidfotH"/>
      <w:framePr w:w="8957" w:h="283" w:hRule="exact" w:hSpace="0" w:vSpace="0" w:wrap="around" w:xAlign="inside" w:y="13040" w:anchorLock="0"/>
    </w:pPr>
    <w:r w:rsidRPr="00F517E2">
      <w:instrText>""</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instrText>13</w:instrText>
    </w:r>
    <w:r w:rsidRPr="00F517E2">
      <w:fldChar w:fldCharType="end"/>
    </w:r>
    <w:r w:rsidRPr="00F517E2">
      <w:instrText>"</w:instrText>
    </w:r>
    <w:r w:rsidRPr="00F517E2">
      <w:fldChar w:fldCharType="separate"/>
    </w:r>
    <w:r w:rsidR="00C42A74" w:rsidRPr="00F517E2">
      <w:t>13</w:t>
    </w:r>
    <w:r w:rsidRPr="00F517E2">
      <w:fldChar w:fldCharType="end"/>
    </w:r>
  </w:p>
  <w:p w:rsidR="006E264D" w:rsidRPr="00F517E2" w:rsidRDefault="006E264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C81779">
    <w:pPr>
      <w:pStyle w:val="SidfotV"/>
      <w:framePr w:w="8957" w:h="283" w:hRule="exact" w:hSpace="0" w:vSpace="0" w:wrap="around" w:xAlign="inside" w:y="13040"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t>46</w:t>
    </w:r>
    <w:r w:rsidRPr="00F517E2">
      <w:fldChar w:fldCharType="end"/>
    </w:r>
  </w:p>
  <w:p w:rsidR="006E264D" w:rsidRPr="00F517E2" w:rsidRDefault="006E264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C81779">
    <w:pPr>
      <w:pStyle w:val="SidfotH"/>
      <w:framePr w:w="8957" w:h="283" w:hRule="exact" w:hSpace="0" w:vSpace="0" w:wrap="around" w:xAlign="inside" w:y="13040"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t>45</w:t>
    </w:r>
    <w:r w:rsidRPr="00F517E2">
      <w:fldChar w:fldCharType="end"/>
    </w:r>
  </w:p>
  <w:p w:rsidR="006E264D" w:rsidRPr="00F517E2" w:rsidRDefault="006E264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C81779">
    <w:pPr>
      <w:pStyle w:val="SidfotV"/>
      <w:framePr w:w="8957" w:h="283" w:hRule="exact" w:hSpace="0" w:vSpace="0" w:wrap="around" w:xAlign="inside" w:y="13040" w:anchorLock="0"/>
    </w:pP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44</w:instrText>
    </w:r>
    <w:r w:rsidRPr="00F517E2">
      <w:fldChar w:fldCharType="end"/>
    </w:r>
    <w:r w:rsidRPr="00F517E2">
      <w:instrText xml:space="preserve">/2 </w:instrText>
    </w:r>
    <w:r w:rsidRPr="00F517E2">
      <w:fldChar w:fldCharType="separate"/>
    </w:r>
    <w:r w:rsidR="00C42A74" w:rsidRPr="00F517E2">
      <w:instrText>22</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44</w:instrText>
    </w:r>
    <w:r w:rsidRPr="00F517E2">
      <w:fldChar w:fldCharType="end"/>
    </w:r>
    <w:r w:rsidRPr="00F517E2">
      <w:instrText xml:space="preserve">/2) </w:instrText>
    </w:r>
    <w:r w:rsidRPr="00F517E2">
      <w:fldChar w:fldCharType="separate"/>
    </w:r>
    <w:r w:rsidR="00C42A74" w:rsidRPr="00F517E2">
      <w:instrText>22</w:instrText>
    </w:r>
    <w:r w:rsidRPr="00F517E2">
      <w:fldChar w:fldCharType="end"/>
    </w:r>
    <w:r w:rsidRPr="00F517E2">
      <w:fldChar w:fldCharType="separate"/>
    </w:r>
    <w:r w:rsidR="00C42A74" w:rsidRPr="00F517E2">
      <w:instrText>0</w:instrText>
    </w:r>
    <w:r w:rsidRPr="00F517E2">
      <w:fldChar w:fldCharType="end"/>
    </w:r>
    <w:r w:rsidRPr="00F517E2">
      <w:instrText xml:space="preserve"> = 0 "</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instrText>44</w:instrText>
    </w:r>
    <w:r w:rsidRPr="00F517E2">
      <w:fldChar w:fldCharType="end"/>
    </w:r>
  </w:p>
  <w:p w:rsidR="00C42A74" w:rsidRPr="00F517E2" w:rsidRDefault="006E264D" w:rsidP="00C81779">
    <w:pPr>
      <w:pStyle w:val="SidfotV"/>
      <w:framePr w:w="8957" w:h="283" w:hRule="exact" w:hSpace="0" w:vSpace="0" w:wrap="around" w:xAlign="inside" w:y="13040" w:anchorLock="0"/>
    </w:pPr>
    <w:r w:rsidRPr="00F517E2">
      <w:instrText>""</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instrText>43</w:instrText>
    </w:r>
    <w:r w:rsidRPr="00F517E2">
      <w:fldChar w:fldCharType="end"/>
    </w:r>
    <w:r w:rsidRPr="00F517E2">
      <w:instrText>"</w:instrText>
    </w:r>
    <w:r w:rsidRPr="00F517E2">
      <w:fldChar w:fldCharType="separate"/>
    </w:r>
    <w:r w:rsidR="00C42A74" w:rsidRPr="00F517E2">
      <w:t>44</w:t>
    </w:r>
  </w:p>
  <w:p w:rsidR="006E264D" w:rsidRPr="00F517E2" w:rsidRDefault="006E264D" w:rsidP="00C81779">
    <w:pPr>
      <w:pStyle w:val="SidfotH"/>
      <w:framePr w:w="8957" w:h="283" w:hRule="exact" w:hSpace="0" w:vSpace="0" w:wrap="around" w:xAlign="inside" w:y="13040" w:anchorLock="0"/>
    </w:pPr>
    <w:r w:rsidRPr="00F517E2">
      <w:fldChar w:fldCharType="end"/>
    </w:r>
  </w:p>
  <w:p w:rsidR="006E264D" w:rsidRPr="00F517E2" w:rsidRDefault="006E264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V"/>
      <w:framePr w:w="8732" w:h="284" w:hRule="exact" w:hSpace="0" w:vSpace="0" w:wrap="around" w:xAlign="inside" w:y="13042"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t>46</w:t>
    </w:r>
    <w:r w:rsidRPr="00F517E2">
      <w:fldChar w:fldCharType="end"/>
    </w:r>
  </w:p>
  <w:p w:rsidR="006E264D" w:rsidRPr="00F517E2" w:rsidRDefault="006E264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H"/>
      <w:framePr w:w="8732" w:h="284" w:hRule="exact" w:hSpace="0" w:vSpace="0" w:wrap="around" w:xAlign="inside" w:y="13042"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t>47</w:t>
    </w:r>
    <w:r w:rsidRPr="00F517E2">
      <w:fldChar w:fldCharType="end"/>
    </w:r>
  </w:p>
  <w:p w:rsidR="006E264D" w:rsidRPr="00F517E2" w:rsidRDefault="006E264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V"/>
      <w:framePr w:w="8732" w:h="284" w:hRule="exact" w:hSpace="0" w:vSpace="0" w:wrap="around" w:xAlign="inside" w:y="13042" w:anchorLock="0"/>
    </w:pP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45</w:instrText>
    </w:r>
    <w:r w:rsidRPr="00F517E2">
      <w:fldChar w:fldCharType="end"/>
    </w:r>
    <w:r w:rsidRPr="00F517E2">
      <w:instrText xml:space="preserve">/2 </w:instrText>
    </w:r>
    <w:r w:rsidRPr="00F517E2">
      <w:fldChar w:fldCharType="separate"/>
    </w:r>
    <w:r w:rsidR="00C42A74" w:rsidRPr="00F517E2">
      <w:instrText>22,5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45</w:instrText>
    </w:r>
    <w:r w:rsidRPr="00F517E2">
      <w:fldChar w:fldCharType="end"/>
    </w:r>
    <w:r w:rsidRPr="00F517E2">
      <w:instrText xml:space="preserve">/2) </w:instrText>
    </w:r>
    <w:r w:rsidRPr="00F517E2">
      <w:fldChar w:fldCharType="separate"/>
    </w:r>
    <w:r w:rsidR="00C42A74" w:rsidRPr="00F517E2">
      <w:instrText>22</w:instrText>
    </w:r>
    <w:r w:rsidRPr="00F517E2">
      <w:fldChar w:fldCharType="end"/>
    </w:r>
    <w:r w:rsidRPr="00F517E2">
      <w:fldChar w:fldCharType="separate"/>
    </w:r>
    <w:r w:rsidR="00C42A74" w:rsidRPr="00F517E2">
      <w:instrText>0,5</w:instrText>
    </w:r>
    <w:r w:rsidRPr="00F517E2">
      <w:fldChar w:fldCharType="end"/>
    </w:r>
    <w:r w:rsidRPr="00F517E2">
      <w:instrText xml:space="preserve"> = 0 "</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instrText>44</w:instrText>
    </w:r>
    <w:r w:rsidRPr="00F517E2">
      <w:fldChar w:fldCharType="end"/>
    </w:r>
  </w:p>
  <w:p w:rsidR="006E264D" w:rsidRPr="00F517E2" w:rsidRDefault="006E264D">
    <w:pPr>
      <w:pStyle w:val="SidfotH"/>
      <w:framePr w:w="8732" w:h="284" w:hRule="exact" w:hSpace="0" w:vSpace="0" w:wrap="around" w:xAlign="inside" w:y="13042" w:anchorLock="0"/>
    </w:pPr>
    <w:r w:rsidRPr="00F517E2">
      <w:instrText>""</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instrText>45</w:instrText>
    </w:r>
    <w:r w:rsidRPr="00F517E2">
      <w:fldChar w:fldCharType="end"/>
    </w:r>
    <w:r w:rsidRPr="00F517E2">
      <w:instrText>"</w:instrText>
    </w:r>
    <w:r w:rsidRPr="00F517E2">
      <w:fldChar w:fldCharType="separate"/>
    </w:r>
    <w:r w:rsidR="00C42A74" w:rsidRPr="00F517E2">
      <w:t>45</w:t>
    </w:r>
    <w:r w:rsidRPr="00F517E2">
      <w:fldChar w:fldCharType="end"/>
    </w:r>
  </w:p>
  <w:p w:rsidR="006E264D" w:rsidRPr="00F517E2" w:rsidRDefault="006E264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V"/>
      <w:framePr w:w="8732" w:h="284" w:hRule="exact" w:hSpace="0" w:vSpace="0" w:wrap="around" w:xAlign="inside" w:y="13042" w:anchorLock="0"/>
    </w:pP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F517E2">
      <w:rPr>
        <w:noProof/>
      </w:rPr>
      <w:instrText>1</w:instrText>
    </w:r>
    <w:r w:rsidRPr="00F517E2">
      <w:fldChar w:fldCharType="end"/>
    </w:r>
    <w:r w:rsidRPr="00F517E2">
      <w:instrText xml:space="preserve">/2 </w:instrText>
    </w:r>
    <w:r w:rsidRPr="00F517E2">
      <w:fldChar w:fldCharType="separate"/>
    </w:r>
    <w:r w:rsidR="00F517E2">
      <w:rPr>
        <w:noProof/>
      </w:rPr>
      <w:instrText>0,5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F517E2">
      <w:rPr>
        <w:noProof/>
      </w:rPr>
      <w:instrText>1</w:instrText>
    </w:r>
    <w:r w:rsidRPr="00F517E2">
      <w:fldChar w:fldCharType="end"/>
    </w:r>
    <w:r w:rsidRPr="00F517E2">
      <w:instrText xml:space="preserve">/2) </w:instrText>
    </w:r>
    <w:r w:rsidRPr="00F517E2">
      <w:fldChar w:fldCharType="separate"/>
    </w:r>
    <w:r w:rsidR="00F517E2">
      <w:rPr>
        <w:noProof/>
      </w:rPr>
      <w:instrText>0</w:instrText>
    </w:r>
    <w:r w:rsidRPr="00F517E2">
      <w:fldChar w:fldCharType="end"/>
    </w:r>
    <w:r w:rsidRPr="00F517E2">
      <w:fldChar w:fldCharType="separate"/>
    </w:r>
    <w:r w:rsidR="00F517E2">
      <w:rPr>
        <w:noProof/>
      </w:rPr>
      <w:instrText>0,5</w:instrText>
    </w:r>
    <w:r w:rsidRPr="00F517E2">
      <w:fldChar w:fldCharType="end"/>
    </w:r>
    <w:r w:rsidRPr="00F517E2">
      <w:instrText xml:space="preserve"> = 0 "</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instrText>14</w:instrText>
    </w:r>
    <w:r w:rsidRPr="00F517E2">
      <w:fldChar w:fldCharType="end"/>
    </w:r>
  </w:p>
  <w:p w:rsidR="006E264D" w:rsidRPr="00F517E2" w:rsidRDefault="006E264D">
    <w:pPr>
      <w:pStyle w:val="SidfotH"/>
      <w:framePr w:w="8732" w:h="284" w:hRule="exact" w:hSpace="0" w:vSpace="0" w:wrap="around" w:xAlign="inside" w:y="13042" w:anchorLock="0"/>
    </w:pPr>
    <w:r w:rsidRPr="00F517E2">
      <w:instrText>""</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F517E2">
      <w:rPr>
        <w:noProof/>
      </w:rPr>
      <w:instrText>1</w:instrText>
    </w:r>
    <w:r w:rsidRPr="00F517E2">
      <w:fldChar w:fldCharType="end"/>
    </w:r>
    <w:r w:rsidRPr="00F517E2">
      <w:instrText>"</w:instrText>
    </w:r>
    <w:r w:rsidRPr="00F517E2">
      <w:fldChar w:fldCharType="separate"/>
    </w:r>
    <w:r w:rsidR="00F517E2">
      <w:rPr>
        <w:noProof/>
      </w:rPr>
      <w:t>1</w:t>
    </w:r>
    <w:r w:rsidRPr="00F517E2">
      <w:fldChar w:fldCharType="end"/>
    </w:r>
  </w:p>
  <w:p w:rsidR="006E264D" w:rsidRPr="00F517E2" w:rsidRDefault="006E264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V"/>
      <w:framePr w:w="8732" w:h="284" w:hRule="exact" w:hSpace="0" w:vSpace="0" w:wrap="around" w:xAlign="inside" w:y="13042"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t>4</w:t>
    </w:r>
    <w:r w:rsidRPr="00F517E2">
      <w:fldChar w:fldCharType="end"/>
    </w:r>
  </w:p>
  <w:p w:rsidR="006E264D" w:rsidRPr="00F517E2" w:rsidRDefault="006E264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H"/>
      <w:framePr w:w="8732" w:h="284" w:hRule="exact" w:hSpace="0" w:vSpace="0" w:wrap="around" w:xAlign="inside" w:y="13042"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t>3</w:t>
    </w:r>
    <w:r w:rsidRPr="00F517E2">
      <w:fldChar w:fldCharType="end"/>
    </w:r>
  </w:p>
  <w:p w:rsidR="006E264D" w:rsidRPr="00F517E2" w:rsidRDefault="006E264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fotV"/>
      <w:framePr w:w="8732" w:h="284" w:hRule="exact" w:hSpace="0" w:vSpace="0" w:wrap="around" w:xAlign="inside" w:y="13042" w:anchorLock="0"/>
    </w:pP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3</w:instrText>
    </w:r>
    <w:r w:rsidRPr="00F517E2">
      <w:fldChar w:fldCharType="end"/>
    </w:r>
    <w:r w:rsidRPr="00F517E2">
      <w:instrText xml:space="preserve">/2 </w:instrText>
    </w:r>
    <w:r w:rsidRPr="00F517E2">
      <w:fldChar w:fldCharType="separate"/>
    </w:r>
    <w:r w:rsidR="00C42A74" w:rsidRPr="00F517E2">
      <w:instrText>1,5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3</w:instrText>
    </w:r>
    <w:r w:rsidRPr="00F517E2">
      <w:fldChar w:fldCharType="end"/>
    </w:r>
    <w:r w:rsidRPr="00F517E2">
      <w:instrText xml:space="preserve">/2) </w:instrText>
    </w:r>
    <w:r w:rsidRPr="00F517E2">
      <w:fldChar w:fldCharType="separate"/>
    </w:r>
    <w:r w:rsidR="00C42A74" w:rsidRPr="00F517E2">
      <w:instrText>1</w:instrText>
    </w:r>
    <w:r w:rsidRPr="00F517E2">
      <w:fldChar w:fldCharType="end"/>
    </w:r>
    <w:r w:rsidRPr="00F517E2">
      <w:fldChar w:fldCharType="separate"/>
    </w:r>
    <w:r w:rsidR="00C42A74" w:rsidRPr="00F517E2">
      <w:instrText>0,5</w:instrText>
    </w:r>
    <w:r w:rsidRPr="00F517E2">
      <w:fldChar w:fldCharType="end"/>
    </w:r>
    <w:r w:rsidRPr="00F517E2">
      <w:instrText xml:space="preserve"> = 0 "</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instrText>4</w:instrText>
    </w:r>
    <w:r w:rsidRPr="00F517E2">
      <w:fldChar w:fldCharType="end"/>
    </w:r>
  </w:p>
  <w:p w:rsidR="006E264D" w:rsidRPr="00F517E2" w:rsidRDefault="006E264D">
    <w:pPr>
      <w:pStyle w:val="SidfotH"/>
      <w:framePr w:w="8732" w:h="284" w:hRule="exact" w:hSpace="0" w:vSpace="0" w:wrap="around" w:xAlign="inside" w:y="13042" w:anchorLock="0"/>
    </w:pPr>
    <w:r w:rsidRPr="00F517E2">
      <w:instrText>""</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instrText>3</w:instrText>
    </w:r>
    <w:r w:rsidRPr="00F517E2">
      <w:fldChar w:fldCharType="end"/>
    </w:r>
    <w:r w:rsidRPr="00F517E2">
      <w:instrText>"</w:instrText>
    </w:r>
    <w:r w:rsidRPr="00F517E2">
      <w:fldChar w:fldCharType="separate"/>
    </w:r>
    <w:r w:rsidR="00C42A74" w:rsidRPr="00F517E2">
      <w:t>3</w:t>
    </w:r>
    <w:r w:rsidRPr="00F517E2">
      <w:fldChar w:fldCharType="end"/>
    </w:r>
  </w:p>
  <w:p w:rsidR="006E264D" w:rsidRPr="00F517E2" w:rsidRDefault="006E264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3D372D">
    <w:pPr>
      <w:pStyle w:val="SidfotV"/>
      <w:framePr w:w="8957" w:h="283" w:hRule="exact" w:hSpace="0" w:vSpace="0" w:wrap="around" w:xAlign="inside" w:y="13040"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t>6</w:t>
    </w:r>
    <w:r w:rsidRPr="00F517E2">
      <w:fldChar w:fldCharType="end"/>
    </w:r>
  </w:p>
  <w:p w:rsidR="006E264D" w:rsidRPr="00F517E2" w:rsidRDefault="006E264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3D372D">
    <w:pPr>
      <w:pStyle w:val="SidfotH"/>
      <w:framePr w:w="8957" w:h="283" w:hRule="exact" w:hSpace="0" w:vSpace="0" w:wrap="around" w:xAlign="inside" w:y="13040" w:anchorLock="0"/>
    </w:pP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t>5</w:t>
    </w:r>
    <w:r w:rsidRPr="00F517E2">
      <w:fldChar w:fldCharType="end"/>
    </w:r>
  </w:p>
  <w:p w:rsidR="006E264D" w:rsidRPr="00F517E2" w:rsidRDefault="006E264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3D372D">
    <w:pPr>
      <w:pStyle w:val="SidfotV"/>
      <w:framePr w:w="8957" w:h="283" w:hRule="exact" w:hSpace="0" w:vSpace="0" w:wrap="around" w:xAlign="inside" w:y="13040" w:anchorLock="0"/>
    </w:pP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4</w:instrText>
    </w:r>
    <w:r w:rsidRPr="00F517E2">
      <w:fldChar w:fldCharType="end"/>
    </w:r>
    <w:r w:rsidRPr="00F517E2">
      <w:instrText xml:space="preserve">/2 </w:instrText>
    </w:r>
    <w:r w:rsidRPr="00F517E2">
      <w:fldChar w:fldCharType="separate"/>
    </w:r>
    <w:r w:rsidR="00C42A74" w:rsidRPr="00F517E2">
      <w:instrText>2</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4</w:instrText>
    </w:r>
    <w:r w:rsidRPr="00F517E2">
      <w:fldChar w:fldCharType="end"/>
    </w:r>
    <w:r w:rsidRPr="00F517E2">
      <w:instrText xml:space="preserve">/2) </w:instrText>
    </w:r>
    <w:r w:rsidRPr="00F517E2">
      <w:fldChar w:fldCharType="separate"/>
    </w:r>
    <w:r w:rsidR="00C42A74" w:rsidRPr="00F517E2">
      <w:instrText>2</w:instrText>
    </w:r>
    <w:r w:rsidRPr="00F517E2">
      <w:fldChar w:fldCharType="end"/>
    </w:r>
    <w:r w:rsidRPr="00F517E2">
      <w:fldChar w:fldCharType="separate"/>
    </w:r>
    <w:r w:rsidR="00C42A74" w:rsidRPr="00F517E2">
      <w:instrText>0</w:instrText>
    </w:r>
    <w:r w:rsidRPr="00F517E2">
      <w:fldChar w:fldCharType="end"/>
    </w:r>
    <w:r w:rsidRPr="00F517E2">
      <w:instrText xml:space="preserve"> = 0 "</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00C42A74" w:rsidRPr="00F517E2">
      <w:instrText>4</w:instrText>
    </w:r>
    <w:r w:rsidRPr="00F517E2">
      <w:fldChar w:fldCharType="end"/>
    </w:r>
  </w:p>
  <w:p w:rsidR="00C42A74" w:rsidRPr="00F517E2" w:rsidRDefault="006E264D" w:rsidP="003D372D">
    <w:pPr>
      <w:pStyle w:val="SidfotV"/>
      <w:framePr w:w="8957" w:h="283" w:hRule="exact" w:hSpace="0" w:vSpace="0" w:wrap="around" w:xAlign="inside" w:y="13040" w:anchorLock="0"/>
    </w:pPr>
    <w:r w:rsidRPr="00F517E2">
      <w:instrText>""</w:instrText>
    </w:r>
    <w:r w:rsidRPr="00F517E2">
      <w:fldChar w:fldCharType="begin" w:fldLock="1"/>
    </w:r>
    <w:r w:rsidRPr="00F517E2">
      <w:instrText xml:space="preserve"> P</w:instrText>
    </w:r>
    <w:r w:rsidRPr="00F517E2">
      <w:instrText>A</w:instrText>
    </w:r>
    <w:r w:rsidRPr="00F517E2">
      <w:instrText xml:space="preserve">GE </w:instrText>
    </w:r>
    <w:r w:rsidRPr="00F517E2">
      <w:fldChar w:fldCharType="separate"/>
    </w:r>
    <w:r w:rsidRPr="00F517E2">
      <w:instrText>5</w:instrText>
    </w:r>
    <w:r w:rsidRPr="00F517E2">
      <w:fldChar w:fldCharType="end"/>
    </w:r>
    <w:r w:rsidRPr="00F517E2">
      <w:instrText>"</w:instrText>
    </w:r>
    <w:r w:rsidRPr="00F517E2">
      <w:fldChar w:fldCharType="separate"/>
    </w:r>
    <w:r w:rsidR="00C42A74" w:rsidRPr="00F517E2">
      <w:t>4</w:t>
    </w:r>
  </w:p>
  <w:p w:rsidR="006E264D" w:rsidRPr="00F517E2" w:rsidRDefault="006E264D" w:rsidP="003D372D">
    <w:pPr>
      <w:pStyle w:val="SidfotH"/>
      <w:framePr w:w="8957" w:h="283" w:hRule="exact" w:hSpace="0" w:vSpace="0" w:wrap="around" w:xAlign="inside" w:y="13040" w:anchorLock="0"/>
    </w:pPr>
    <w:r w:rsidRPr="00F517E2">
      <w:fldChar w:fldCharType="end"/>
    </w:r>
  </w:p>
  <w:p w:rsidR="006E264D" w:rsidRPr="00F517E2" w:rsidRDefault="006E26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A16" w:rsidRPr="00F517E2" w:rsidRDefault="00D01A16">
      <w:pPr>
        <w:pStyle w:val="Sidfot"/>
      </w:pPr>
    </w:p>
  </w:footnote>
  <w:footnote w:type="continuationSeparator" w:id="0">
    <w:p w:rsidR="00D01A16" w:rsidRPr="00F517E2" w:rsidRDefault="00D01A16">
      <w:r w:rsidRPr="00F517E2">
        <w:continuationSeparator/>
      </w:r>
    </w:p>
  </w:footnote>
  <w:footnote w:id="1">
    <w:p w:rsidR="006E264D" w:rsidRPr="00F517E2" w:rsidRDefault="006E264D" w:rsidP="007C3F1E">
      <w:pPr>
        <w:pStyle w:val="Fotnotstext"/>
      </w:pPr>
      <w:r w:rsidRPr="00F517E2">
        <w:rPr>
          <w:rStyle w:val="Fotnotsreferens"/>
        </w:rPr>
        <w:footnoteRef/>
      </w:r>
      <w:r w:rsidRPr="00F517E2">
        <w:t xml:space="preserve"> Senaste lydelse 2006:998.</w:t>
      </w:r>
    </w:p>
  </w:footnote>
  <w:footnote w:id="2">
    <w:p w:rsidR="006E264D" w:rsidRPr="00F517E2" w:rsidRDefault="006E264D" w:rsidP="00387EC7">
      <w:pPr>
        <w:pStyle w:val="Fotnotstext"/>
      </w:pPr>
      <w:r w:rsidRPr="00F517E2">
        <w:rPr>
          <w:rStyle w:val="Fotnotsreferens"/>
        </w:rPr>
        <w:footnoteRef/>
      </w:r>
      <w:r w:rsidRPr="00F517E2">
        <w:t xml:space="preserve"> Senaste lydelse 2006:998.</w:t>
      </w:r>
    </w:p>
  </w:footnote>
  <w:footnote w:id="3">
    <w:p w:rsidR="006E264D" w:rsidRPr="00F517E2" w:rsidRDefault="006E264D" w:rsidP="00573A5C">
      <w:pPr>
        <w:pStyle w:val="Fotnotstext"/>
      </w:pPr>
      <w:r w:rsidRPr="00F517E2">
        <w:rPr>
          <w:rStyle w:val="Fotnotsreferens"/>
        </w:rPr>
        <w:footnoteRef/>
      </w:r>
      <w:r w:rsidRPr="00F517E2">
        <w:t xml:space="preserve"> Senaste lydelse 2006:998.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r w:rsidRPr="00F517E2">
      <w:t xml:space="preserve">     </w:t>
    </w:r>
    <w:r w:rsidRPr="00F517E2">
      <w:rPr>
        <w:rStyle w:val="SidhuvudBilaga"/>
      </w:rPr>
      <w:t xml:space="preserve"> </w:t>
    </w: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C42A74" w:rsidRPr="00F517E2">
      <w:rPr>
        <w:rStyle w:val="SidhuvudRubrikReferens"/>
      </w:rPr>
      <w:t>Sammanfattning</w:t>
    </w:r>
    <w:r w:rsidRPr="00F517E2">
      <w:rPr>
        <w:rStyle w:val="SidhuvudRubrikReferens"/>
      </w:rPr>
      <w:fldChar w:fldCharType="end"/>
    </w:r>
  </w:p>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r w:rsidRPr="00F517E2">
      <w:t xml:space="preserve">     </w:t>
    </w:r>
    <w:r w:rsidRPr="00F517E2">
      <w:rPr>
        <w:rStyle w:val="SidhuvudBilaga"/>
      </w:rPr>
      <w:t xml:space="preserve"> </w:t>
    </w: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C42A74" w:rsidRPr="00F517E2">
      <w:rPr>
        <w:rStyle w:val="SidhuvudRubrikReferens"/>
      </w:rPr>
      <w:t>Lagtext</w:t>
    </w:r>
    <w:r w:rsidRPr="00F517E2">
      <w:rPr>
        <w:rStyle w:val="SidhuvudRubrikReferens"/>
      </w:rPr>
      <w:fldChar w:fldCharType="end"/>
    </w:r>
  </w:p>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Udda"/>
      <w:framePr w:w="8732" w:h="567" w:hRule="exact" w:vSpace="0" w:wrap="around" w:vAnchor="page" w:y="341" w:anchorLock="0"/>
    </w:pP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C42A74" w:rsidRPr="00F517E2">
      <w:rPr>
        <w:rStyle w:val="SidhuvudRubrikReferens"/>
      </w:rPr>
      <w:t>Lagtext</w:t>
    </w:r>
    <w:r w:rsidRPr="00F517E2">
      <w:rPr>
        <w:rStyle w:val="SidhuvudRubrikReferens"/>
      </w:rPr>
      <w:fldChar w:fldCharType="end"/>
    </w:r>
    <w:r w:rsidRPr="00F517E2">
      <w:rPr>
        <w:rStyle w:val="SidhuvudBilaga"/>
      </w:rPr>
      <w:t xml:space="preserve"> </w:t>
    </w:r>
    <w:r w:rsidRPr="00F517E2">
      <w:t xml:space="preserve">     </w: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w:instrText>
    </w:r>
    <w:r w:rsidRPr="00F517E2">
      <w:instrText xml:space="preserve"> </w:instrText>
    </w:r>
    <w:r w:rsidRPr="00F517E2">
      <w:rPr>
        <w:rStyle w:val="SidhuvudUtskott"/>
      </w:rPr>
      <w:instrText>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w:instrText>
    </w:r>
    <w:r w:rsidRPr="00F517E2">
      <w:rPr>
        <w:rStyle w:val="SidhuvudUtskott"/>
      </w:rPr>
      <w:instrText>n</w:instrText>
    </w:r>
    <w:r w:rsidRPr="00F517E2">
      <w:rPr>
        <w:rStyle w:val="SidhuvudUtskott"/>
      </w:rPr>
      <w:instrText>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p>
  <w:p w:rsidR="006E264D" w:rsidRPr="00F517E2" w:rsidRDefault="006E264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Jmn"/>
      <w:framePr w:w="8732" w:h="567" w:hRule="exact" w:vSpace="0" w:wrap="around" w:vAnchor="page" w:y="341" w:anchorLock="0"/>
    </w:pPr>
    <w:r w:rsidRPr="00F517E2">
      <w:fldChar w:fldCharType="begin" w:fldLock="1"/>
    </w:r>
    <w:r w:rsidRPr="00F517E2">
      <w:instrText xml:space="preserve"> if </w:instrText>
    </w:r>
    <w:r w:rsidRPr="00F517E2">
      <w:fldChar w:fldCharType="begin" w:fldLock="1"/>
    </w:r>
    <w:r w:rsidRPr="00F517E2">
      <w:instrText xml:space="preserve"> page</w:instrText>
    </w:r>
    <w:r w:rsidRPr="00F517E2">
      <w:fldChar w:fldCharType="separate"/>
    </w:r>
    <w:r w:rsidR="00C42A74" w:rsidRPr="00F517E2">
      <w:instrText>5</w:instrText>
    </w:r>
    <w:r w:rsidRPr="00F517E2">
      <w:fldChar w:fldCharType="end"/>
    </w:r>
    <w:r w:rsidRPr="00F517E2">
      <w:instrText xml:space="preserve"> &gt; 1 "</w:instrText>
    </w: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5</w:instrText>
    </w:r>
    <w:r w:rsidRPr="00F517E2">
      <w:fldChar w:fldCharType="end"/>
    </w:r>
    <w:r w:rsidRPr="00F517E2">
      <w:instrText xml:space="preserve">/2 </w:instrText>
    </w:r>
    <w:r w:rsidRPr="00F517E2">
      <w:fldChar w:fldCharType="separate"/>
    </w:r>
    <w:r w:rsidR="00C42A74" w:rsidRPr="00F517E2">
      <w:instrText>2,5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5</w:instrText>
    </w:r>
    <w:r w:rsidRPr="00F517E2">
      <w:fldChar w:fldCharType="end"/>
    </w:r>
    <w:r w:rsidRPr="00F517E2">
      <w:instrText xml:space="preserve">/2) </w:instrText>
    </w:r>
    <w:r w:rsidRPr="00F517E2">
      <w:fldChar w:fldCharType="separate"/>
    </w:r>
    <w:r w:rsidR="00C42A74" w:rsidRPr="00F517E2">
      <w:instrText>2</w:instrText>
    </w:r>
    <w:r w:rsidRPr="00F517E2">
      <w:fldChar w:fldCharType="end"/>
    </w:r>
    <w:r w:rsidRPr="00F517E2">
      <w:fldChar w:fldCharType="separate"/>
    </w:r>
    <w:r w:rsidR="00C42A74" w:rsidRPr="00F517E2">
      <w:instrText>0,5</w:instrText>
    </w:r>
    <w:r w:rsidRPr="00F517E2">
      <w:fldChar w:fldCharType="end"/>
    </w:r>
    <w:r w:rsidRPr="00F517E2">
      <w:instrText xml:space="preserve"> = 0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w:instrText>
    </w:r>
    <w:r w:rsidRPr="00F517E2">
      <w:rPr>
        <w:rStyle w:val="SidhuvudUtskott"/>
      </w:rPr>
      <w:instrText>R</w:instrText>
    </w:r>
    <w:r w:rsidRPr="00F517E2">
      <w:rPr>
        <w:rStyle w:val="SidhuvudUtskott"/>
      </w:rPr>
      <w:instrText>TY Utskott</w:instrText>
    </w:r>
    <w:r w:rsidRPr="00F517E2">
      <w:rPr>
        <w:rStyle w:val="SidhuvudUtskott"/>
      </w:rPr>
      <w:fldChar w:fldCharType="separate"/>
    </w:r>
    <w:r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Pr="00F517E2">
      <w:rPr>
        <w:rStyle w:val="SidhuvudUtskott"/>
      </w:rPr>
      <w:instrText>1</w:instrText>
    </w:r>
    <w:r w:rsidRPr="00F517E2">
      <w:rPr>
        <w:rStyle w:val="SidhuvudUtskott"/>
      </w:rPr>
      <w:fldChar w:fldCharType="end"/>
    </w:r>
    <w:r w:rsidRPr="00F517E2">
      <w:instrText xml:space="preserve">    </w:instrText>
    </w:r>
  </w:p>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RubrikReferens"/>
        <w:smallCaps w:val="0"/>
        <w:spacing w:val="0"/>
        <w:sz w:val="19"/>
      </w:rPr>
      <w:instrText xml:space="preserve"> </w:instrText>
    </w:r>
    <w:r w:rsidRPr="00F517E2">
      <w:instrText xml:space="preserve">"  "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instrText>1</w:instrText>
    </w:r>
    <w:r w:rsidRPr="00F517E2">
      <w:rPr>
        <w:rStyle w:val="SidhuvudUtskott"/>
      </w:rPr>
      <w:fldChar w:fldCharType="end"/>
    </w:r>
  </w:p>
  <w:p w:rsidR="00C42A74" w:rsidRPr="00F517E2" w:rsidRDefault="006E264D">
    <w:pPr>
      <w:pStyle w:val="SidhuvudKantUdda"/>
      <w:framePr w:w="8732"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r w:rsidRPr="00F517E2">
      <w:instrText>"</w:instrText>
    </w:r>
    <w:r w:rsidRPr="00F517E2">
      <w:fldChar w:fldCharType="separate"/>
    </w:r>
    <w:r w:rsidR="00C42A74" w:rsidRPr="00F517E2">
      <w:instrText xml:space="preserve">  </w:instrText>
    </w:r>
    <w:r w:rsidR="00C42A74" w:rsidRPr="00F517E2">
      <w:rPr>
        <w:rStyle w:val="SidhuvudUtskott"/>
      </w:rPr>
      <w:instrText>2010/11:RS1</w:instrText>
    </w:r>
  </w:p>
  <w:p w:rsidR="00C42A74" w:rsidRPr="00F517E2" w:rsidRDefault="006E264D">
    <w:pPr>
      <w:pStyle w:val="SidhuvudKantUdda"/>
      <w:framePr w:w="8732" w:h="567" w:hRule="exact" w:vSpace="0" w:wrap="around" w:vAnchor="page" w:y="341" w:anchorLock="0"/>
    </w:pPr>
    <w:r w:rsidRPr="00F517E2">
      <w:fldChar w:fldCharType="end"/>
    </w:r>
    <w:r w:rsidRPr="00F517E2">
      <w:instrText>" " "</w:instrText>
    </w:r>
    <w:r w:rsidRPr="00F517E2">
      <w:fldChar w:fldCharType="separate"/>
    </w:r>
    <w:r w:rsidR="00C42A74" w:rsidRPr="00F517E2">
      <w:t xml:space="preserve">  </w:t>
    </w:r>
    <w:r w:rsidR="00C42A74" w:rsidRPr="00F517E2">
      <w:rPr>
        <w:rStyle w:val="SidhuvudUtskott"/>
      </w:rPr>
      <w:t>2010/11:RS1</w:t>
    </w:r>
  </w:p>
  <w:p w:rsidR="006E264D" w:rsidRPr="00F517E2" w:rsidRDefault="006E264D">
    <w:pPr>
      <w:pStyle w:val="SidhuvudKantUdda"/>
      <w:framePr w:w="8732" w:h="567" w:hRule="exact" w:vSpace="0" w:wrap="around" w:vAnchor="page" w:y="341" w:anchorLock="0"/>
    </w:pPr>
    <w:r w:rsidRPr="00F517E2">
      <w:fldChar w:fldCharType="end"/>
    </w:r>
  </w:p>
  <w:p w:rsidR="006E264D" w:rsidRPr="00F517E2" w:rsidRDefault="006E264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r w:rsidRPr="00F517E2">
      <w:t xml:space="preserve">     </w:t>
    </w:r>
    <w:r w:rsidRPr="00F517E2">
      <w:rPr>
        <w:rStyle w:val="SidhuvudBilaga"/>
      </w:rPr>
      <w:t xml:space="preserve"> </w:t>
    </w: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1A2589" w:rsidRPr="00F517E2">
      <w:rPr>
        <w:rStyle w:val="SidhuvudRubrikReferens"/>
      </w:rPr>
      <w:t>Lagtext</w:t>
    </w:r>
    <w:r w:rsidRPr="00F517E2">
      <w:rPr>
        <w:rStyle w:val="SidhuvudRubrikReferens"/>
      </w:rPr>
      <w:fldChar w:fldCharType="end"/>
    </w:r>
  </w:p>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Udda"/>
      <w:framePr w:w="8732" w:h="567" w:hRule="exact" w:vSpace="0" w:wrap="around" w:vAnchor="page" w:y="341" w:anchorLock="0"/>
    </w:pP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1A2589" w:rsidRPr="00F517E2">
      <w:rPr>
        <w:rStyle w:val="SidhuvudRubrikReferens"/>
      </w:rPr>
      <w:t>Lagtext</w:t>
    </w:r>
    <w:r w:rsidRPr="00F517E2">
      <w:rPr>
        <w:rStyle w:val="SidhuvudRubrikReferens"/>
      </w:rPr>
      <w:fldChar w:fldCharType="end"/>
    </w:r>
    <w:r w:rsidRPr="00F517E2">
      <w:rPr>
        <w:rStyle w:val="SidhuvudBilaga"/>
      </w:rPr>
      <w:t xml:space="preserve"> </w:t>
    </w:r>
    <w:r w:rsidRPr="00F517E2">
      <w:t xml:space="preserve">     </w: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w:instrText>
    </w:r>
    <w:r w:rsidRPr="00F517E2">
      <w:instrText xml:space="preserve"> </w:instrText>
    </w:r>
    <w:r w:rsidRPr="00F517E2">
      <w:rPr>
        <w:rStyle w:val="SidhuvudUtskott"/>
      </w:rPr>
      <w:instrText>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w:instrText>
    </w:r>
    <w:r w:rsidRPr="00F517E2">
      <w:rPr>
        <w:rStyle w:val="SidhuvudUtskott"/>
      </w:rPr>
      <w:instrText>n</w:instrText>
    </w:r>
    <w:r w:rsidRPr="00F517E2">
      <w:rPr>
        <w:rStyle w:val="SidhuvudUtskott"/>
      </w:rPr>
      <w:instrText>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p>
  <w:p w:rsidR="006E264D" w:rsidRPr="00F517E2" w:rsidRDefault="006E264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Jmn"/>
      <w:framePr w:w="8732" w:h="567" w:hRule="exact" w:vSpace="0" w:wrap="around" w:vAnchor="page" w:y="341" w:anchorLock="0"/>
    </w:pPr>
    <w:r w:rsidRPr="00F517E2">
      <w:fldChar w:fldCharType="begin" w:fldLock="1"/>
    </w:r>
    <w:r w:rsidRPr="00F517E2">
      <w:instrText xml:space="preserve"> if </w:instrText>
    </w:r>
    <w:r w:rsidRPr="00F517E2">
      <w:fldChar w:fldCharType="begin" w:fldLock="1"/>
    </w:r>
    <w:r w:rsidRPr="00F517E2">
      <w:instrText xml:space="preserve"> page</w:instrText>
    </w:r>
    <w:r w:rsidRPr="00F517E2">
      <w:fldChar w:fldCharType="separate"/>
    </w:r>
    <w:r w:rsidR="00C42A74" w:rsidRPr="00F517E2">
      <w:instrText>9</w:instrText>
    </w:r>
    <w:r w:rsidRPr="00F517E2">
      <w:fldChar w:fldCharType="end"/>
    </w:r>
    <w:r w:rsidRPr="00F517E2">
      <w:instrText xml:space="preserve"> &gt; 1 "</w:instrText>
    </w: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9</w:instrText>
    </w:r>
    <w:r w:rsidRPr="00F517E2">
      <w:fldChar w:fldCharType="end"/>
    </w:r>
    <w:r w:rsidRPr="00F517E2">
      <w:instrText xml:space="preserve">/2 </w:instrText>
    </w:r>
    <w:r w:rsidRPr="00F517E2">
      <w:fldChar w:fldCharType="separate"/>
    </w:r>
    <w:r w:rsidR="00C42A74" w:rsidRPr="00F517E2">
      <w:instrText>4,5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9</w:instrText>
    </w:r>
    <w:r w:rsidRPr="00F517E2">
      <w:fldChar w:fldCharType="end"/>
    </w:r>
    <w:r w:rsidRPr="00F517E2">
      <w:instrText xml:space="preserve">/2) </w:instrText>
    </w:r>
    <w:r w:rsidRPr="00F517E2">
      <w:fldChar w:fldCharType="separate"/>
    </w:r>
    <w:r w:rsidR="00C42A74" w:rsidRPr="00F517E2">
      <w:instrText>4</w:instrText>
    </w:r>
    <w:r w:rsidRPr="00F517E2">
      <w:fldChar w:fldCharType="end"/>
    </w:r>
    <w:r w:rsidRPr="00F517E2">
      <w:fldChar w:fldCharType="separate"/>
    </w:r>
    <w:r w:rsidR="00C42A74" w:rsidRPr="00F517E2">
      <w:instrText>0,5</w:instrText>
    </w:r>
    <w:r w:rsidRPr="00F517E2">
      <w:fldChar w:fldCharType="end"/>
    </w:r>
    <w:r w:rsidRPr="00F517E2">
      <w:instrText xml:space="preserve"> = 0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w:instrText>
    </w:r>
    <w:r w:rsidRPr="00F517E2">
      <w:rPr>
        <w:rStyle w:val="SidhuvudUtskott"/>
      </w:rPr>
      <w:instrText>R</w:instrText>
    </w:r>
    <w:r w:rsidRPr="00F517E2">
      <w:rPr>
        <w:rStyle w:val="SidhuvudUtskott"/>
      </w:rPr>
      <w:instrText>TY Utskott</w:instrText>
    </w:r>
    <w:r w:rsidRPr="00F517E2">
      <w:rPr>
        <w:rStyle w:val="SidhuvudUtskott"/>
      </w:rPr>
      <w:fldChar w:fldCharType="separate"/>
    </w:r>
    <w:r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Pr="00F517E2">
      <w:rPr>
        <w:rStyle w:val="SidhuvudUtskott"/>
      </w:rPr>
      <w:instrText>1</w:instrText>
    </w:r>
    <w:r w:rsidRPr="00F517E2">
      <w:rPr>
        <w:rStyle w:val="SidhuvudUtskott"/>
      </w:rPr>
      <w:fldChar w:fldCharType="end"/>
    </w:r>
    <w:r w:rsidRPr="00F517E2">
      <w:instrText xml:space="preserve">    </w:instrText>
    </w:r>
  </w:p>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RubrikReferens"/>
        <w:smallCaps w:val="0"/>
        <w:spacing w:val="0"/>
        <w:sz w:val="19"/>
      </w:rPr>
      <w:instrText xml:space="preserve"> </w:instrText>
    </w:r>
    <w:r w:rsidRPr="00F517E2">
      <w:instrText xml:space="preserve">"  "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instrText>1</w:instrText>
    </w:r>
    <w:r w:rsidRPr="00F517E2">
      <w:rPr>
        <w:rStyle w:val="SidhuvudUtskott"/>
      </w:rPr>
      <w:fldChar w:fldCharType="end"/>
    </w:r>
  </w:p>
  <w:p w:rsidR="00C42A74" w:rsidRPr="00F517E2" w:rsidRDefault="006E264D">
    <w:pPr>
      <w:pStyle w:val="SidhuvudKantUdda"/>
      <w:framePr w:w="8732"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r w:rsidRPr="00F517E2">
      <w:instrText>"</w:instrText>
    </w:r>
    <w:r w:rsidRPr="00F517E2">
      <w:fldChar w:fldCharType="separate"/>
    </w:r>
    <w:r w:rsidR="00C42A74" w:rsidRPr="00F517E2">
      <w:instrText xml:space="preserve">  </w:instrText>
    </w:r>
    <w:r w:rsidR="00C42A74" w:rsidRPr="00F517E2">
      <w:rPr>
        <w:rStyle w:val="SidhuvudUtskott"/>
      </w:rPr>
      <w:instrText>2010/11:RS1</w:instrText>
    </w:r>
  </w:p>
  <w:p w:rsidR="00C42A74" w:rsidRPr="00F517E2" w:rsidRDefault="006E264D">
    <w:pPr>
      <w:pStyle w:val="SidhuvudKantUdda"/>
      <w:framePr w:w="8732" w:h="567" w:hRule="exact" w:vSpace="0" w:wrap="around" w:vAnchor="page" w:y="341" w:anchorLock="0"/>
    </w:pPr>
    <w:r w:rsidRPr="00F517E2">
      <w:fldChar w:fldCharType="end"/>
    </w:r>
    <w:r w:rsidRPr="00F517E2">
      <w:instrText>" " "</w:instrText>
    </w:r>
    <w:r w:rsidRPr="00F517E2">
      <w:fldChar w:fldCharType="separate"/>
    </w:r>
    <w:r w:rsidR="00C42A74" w:rsidRPr="00F517E2">
      <w:t xml:space="preserve">  </w:t>
    </w:r>
    <w:r w:rsidR="00C42A74" w:rsidRPr="00F517E2">
      <w:rPr>
        <w:rStyle w:val="SidhuvudUtskott"/>
      </w:rPr>
      <w:t>2010/11:RS1</w:t>
    </w:r>
  </w:p>
  <w:p w:rsidR="006E264D" w:rsidRPr="00F517E2" w:rsidRDefault="006E264D">
    <w:pPr>
      <w:pStyle w:val="SidhuvudKantUdda"/>
      <w:framePr w:w="8732" w:h="567" w:hRule="exact" w:vSpace="0" w:wrap="around" w:vAnchor="page" w:y="341" w:anchorLock="0"/>
    </w:pPr>
    <w:r w:rsidRPr="00F517E2">
      <w:fldChar w:fldCharType="end"/>
    </w:r>
  </w:p>
  <w:p w:rsidR="006E264D" w:rsidRPr="00F517E2" w:rsidRDefault="006E264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BC45CB">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r w:rsidRPr="00F517E2">
      <w:t xml:space="preserve">     </w:t>
    </w:r>
    <w:r w:rsidRPr="00F517E2">
      <w:rPr>
        <w:rStyle w:val="SidhuvudBilaga"/>
      </w:rPr>
      <w:t xml:space="preserve"> </w:t>
    </w: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C42A74" w:rsidRPr="00F517E2">
      <w:rPr>
        <w:rStyle w:val="SidhuvudRubrikReferens"/>
      </w:rPr>
      <w:t>Riksdagsstyrelsens överväganden och förslag</w:t>
    </w:r>
    <w:r w:rsidRPr="00F517E2">
      <w:rPr>
        <w:rStyle w:val="SidhuvudRubrikReferens"/>
      </w:rPr>
      <w:fldChar w:fldCharType="end"/>
    </w:r>
  </w:p>
  <w:p w:rsidR="006E264D" w:rsidRPr="00F517E2" w:rsidRDefault="006E264D" w:rsidP="00BC45CB">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Udda"/>
      <w:framePr w:w="8732" w:h="567" w:hRule="exact" w:vSpace="0" w:wrap="around" w:vAnchor="page" w:y="341" w:anchorLock="0"/>
    </w:pP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C42A74" w:rsidRPr="00F517E2">
      <w:rPr>
        <w:rStyle w:val="SidhuvudRubrikReferens"/>
      </w:rPr>
      <w:t>Bakgrund</w:t>
    </w:r>
    <w:r w:rsidRPr="00F517E2">
      <w:rPr>
        <w:rStyle w:val="SidhuvudRubrikReferens"/>
      </w:rPr>
      <w:fldChar w:fldCharType="end"/>
    </w:r>
    <w:r w:rsidRPr="00F517E2">
      <w:rPr>
        <w:rStyle w:val="SidhuvudBilaga"/>
      </w:rPr>
      <w:t xml:space="preserve"> </w:t>
    </w:r>
    <w:r w:rsidRPr="00F517E2">
      <w:t xml:space="preserve">     </w: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w:instrText>
    </w:r>
    <w:r w:rsidRPr="00F517E2">
      <w:instrText xml:space="preserve"> </w:instrText>
    </w:r>
    <w:r w:rsidRPr="00F517E2">
      <w:rPr>
        <w:rStyle w:val="SidhuvudUtskott"/>
      </w:rPr>
      <w:instrText>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w:instrText>
    </w:r>
    <w:r w:rsidRPr="00F517E2">
      <w:rPr>
        <w:rStyle w:val="SidhuvudUtskott"/>
      </w:rPr>
      <w:instrText>n</w:instrText>
    </w:r>
    <w:r w:rsidRPr="00F517E2">
      <w:rPr>
        <w:rStyle w:val="SidhuvudUtskott"/>
      </w:rPr>
      <w:instrText>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p>
  <w:p w:rsidR="006E264D" w:rsidRPr="00F517E2" w:rsidRDefault="006E264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Jmn"/>
      <w:framePr w:w="8732" w:h="567" w:hRule="exact" w:vSpace="0" w:wrap="around" w:vAnchor="page" w:y="341" w:anchorLock="0"/>
    </w:pPr>
    <w:r w:rsidRPr="00F517E2">
      <w:fldChar w:fldCharType="begin" w:fldLock="1"/>
    </w:r>
    <w:r w:rsidRPr="00F517E2">
      <w:instrText xml:space="preserve"> if </w:instrText>
    </w:r>
    <w:r w:rsidRPr="00F517E2">
      <w:fldChar w:fldCharType="begin" w:fldLock="1"/>
    </w:r>
    <w:r w:rsidRPr="00F517E2">
      <w:instrText xml:space="preserve"> page</w:instrText>
    </w:r>
    <w:r w:rsidRPr="00F517E2">
      <w:fldChar w:fldCharType="separate"/>
    </w:r>
    <w:r w:rsidR="00C42A74" w:rsidRPr="00F517E2">
      <w:instrText>10</w:instrText>
    </w:r>
    <w:r w:rsidRPr="00F517E2">
      <w:fldChar w:fldCharType="end"/>
    </w:r>
    <w:r w:rsidRPr="00F517E2">
      <w:instrText xml:space="preserve"> &gt; 1 "</w:instrText>
    </w: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10</w:instrText>
    </w:r>
    <w:r w:rsidRPr="00F517E2">
      <w:fldChar w:fldCharType="end"/>
    </w:r>
    <w:r w:rsidRPr="00F517E2">
      <w:instrText xml:space="preserve">/2 </w:instrText>
    </w:r>
    <w:r w:rsidRPr="00F517E2">
      <w:fldChar w:fldCharType="separate"/>
    </w:r>
    <w:r w:rsidR="00C42A74" w:rsidRPr="00F517E2">
      <w:instrText>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10</w:instrText>
    </w:r>
    <w:r w:rsidRPr="00F517E2">
      <w:fldChar w:fldCharType="end"/>
    </w:r>
    <w:r w:rsidRPr="00F517E2">
      <w:instrText xml:space="preserve">/2) </w:instrText>
    </w:r>
    <w:r w:rsidRPr="00F517E2">
      <w:fldChar w:fldCharType="separate"/>
    </w:r>
    <w:r w:rsidR="00C42A74" w:rsidRPr="00F517E2">
      <w:instrText>5</w:instrText>
    </w:r>
    <w:r w:rsidRPr="00F517E2">
      <w:fldChar w:fldCharType="end"/>
    </w:r>
    <w:r w:rsidRPr="00F517E2">
      <w:fldChar w:fldCharType="separate"/>
    </w:r>
    <w:r w:rsidR="00C42A74" w:rsidRPr="00F517E2">
      <w:instrText>0</w:instrText>
    </w:r>
    <w:r w:rsidRPr="00F517E2">
      <w:fldChar w:fldCharType="end"/>
    </w:r>
    <w:r w:rsidRPr="00F517E2">
      <w:instrText xml:space="preserve"> = 0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w:instrText>
    </w:r>
    <w:r w:rsidRPr="00F517E2">
      <w:rPr>
        <w:rStyle w:val="SidhuvudUtskott"/>
      </w:rPr>
      <w:instrText>R</w:instrText>
    </w:r>
    <w:r w:rsidRPr="00F517E2">
      <w:rPr>
        <w:rStyle w:val="SidhuvudUtskott"/>
      </w:rPr>
      <w:instrText>TY Utskott</w:instrText>
    </w:r>
    <w:r w:rsidRPr="00F517E2">
      <w:rPr>
        <w:rStyle w:val="SidhuvudUtskott"/>
      </w:rPr>
      <w:fldChar w:fldCharType="separate"/>
    </w:r>
    <w:r w:rsidR="001A2589"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instrText>1</w:instrText>
    </w:r>
    <w:r w:rsidRPr="00F517E2">
      <w:rPr>
        <w:rStyle w:val="SidhuvudUtskott"/>
      </w:rPr>
      <w:fldChar w:fldCharType="end"/>
    </w:r>
    <w:r w:rsidRPr="00F517E2">
      <w:instrText xml:space="preserve">    </w:instrText>
    </w:r>
  </w:p>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RubrikReferens"/>
        <w:smallCaps w:val="0"/>
        <w:spacing w:val="0"/>
        <w:sz w:val="19"/>
      </w:rPr>
      <w:instrText xml:space="preserve"> </w:instrText>
    </w:r>
    <w:r w:rsidRPr="00F517E2">
      <w:instrText xml:space="preserve">"  "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Pr="00F517E2">
      <w:rPr>
        <w:rStyle w:val="SidhuvudUtskott"/>
      </w:rPr>
      <w:instrText>1</w:instrText>
    </w:r>
    <w:r w:rsidRPr="00F517E2">
      <w:rPr>
        <w:rStyle w:val="SidhuvudUtskott"/>
      </w:rPr>
      <w:fldChar w:fldCharType="end"/>
    </w:r>
  </w:p>
  <w:p w:rsidR="00C42A74"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r w:rsidRPr="00F517E2">
      <w:instrText>"</w:instrText>
    </w:r>
    <w:r w:rsidRPr="00F517E2">
      <w:fldChar w:fldCharType="separate"/>
    </w:r>
    <w:r w:rsidR="00C42A74" w:rsidRPr="00F517E2">
      <w:rPr>
        <w:rStyle w:val="SidhuvudUtskott"/>
      </w:rPr>
      <w:instrText>2010/11:RS1</w:instrText>
    </w:r>
    <w:r w:rsidR="00C42A74" w:rsidRPr="00F517E2">
      <w:instrText xml:space="preserve">    </w:instrText>
    </w:r>
  </w:p>
  <w:p w:rsidR="00C42A74" w:rsidRPr="00F517E2" w:rsidRDefault="00C42A74">
    <w:pPr>
      <w:pStyle w:val="SidhuvudKantJmn"/>
      <w:framePr w:w="8732" w:h="567" w:hRule="exact" w:vSpace="0" w:wrap="around" w:vAnchor="page" w:y="341" w:anchorLock="0"/>
    </w:pPr>
  </w:p>
  <w:p w:rsidR="00C42A74" w:rsidRPr="00F517E2" w:rsidRDefault="00C42A74">
    <w:pPr>
      <w:pStyle w:val="SidhuvudKantJmn"/>
      <w:framePr w:w="8732" w:h="567" w:hRule="exact" w:vSpace="0" w:wrap="around" w:vAnchor="page" w:y="341" w:anchorLock="0"/>
    </w:pPr>
    <w:r w:rsidRPr="00F517E2">
      <w:rPr>
        <w:rStyle w:val="SidhuvudRubrikReferens"/>
        <w:smallCaps w:val="0"/>
        <w:spacing w:val="0"/>
        <w:sz w:val="19"/>
      </w:rPr>
      <w:instrText xml:space="preserve"> </w:instrText>
    </w:r>
    <w:r w:rsidR="006E264D" w:rsidRPr="00F517E2">
      <w:fldChar w:fldCharType="end"/>
    </w:r>
    <w:r w:rsidR="006E264D" w:rsidRPr="00F517E2">
      <w:instrText>" " "</w:instrText>
    </w:r>
    <w:r w:rsidR="006E264D" w:rsidRPr="00F517E2">
      <w:fldChar w:fldCharType="separate"/>
    </w:r>
    <w:r w:rsidRPr="00F517E2">
      <w:rPr>
        <w:rStyle w:val="SidhuvudUtskott"/>
      </w:rPr>
      <w:t>2010/11:RS1</w:t>
    </w:r>
    <w:r w:rsidRPr="00F517E2">
      <w:t xml:space="preserve">    </w:t>
    </w:r>
  </w:p>
  <w:p w:rsidR="00C42A74" w:rsidRPr="00F517E2" w:rsidRDefault="00C42A74">
    <w:pPr>
      <w:pStyle w:val="SidhuvudKantJmn"/>
      <w:framePr w:w="8732" w:h="567" w:hRule="exact" w:vSpace="0" w:wrap="around" w:vAnchor="page" w:y="341" w:anchorLock="0"/>
    </w:pPr>
  </w:p>
  <w:p w:rsidR="006E264D" w:rsidRPr="00F517E2" w:rsidRDefault="00C42A74">
    <w:pPr>
      <w:pStyle w:val="SidhuvudKantUdda"/>
      <w:framePr w:w="8732" w:h="567" w:hRule="exact" w:vSpace="0" w:wrap="around" w:vAnchor="page" w:y="341" w:anchorLock="0"/>
    </w:pPr>
    <w:r w:rsidRPr="00F517E2">
      <w:rPr>
        <w:rStyle w:val="SidhuvudRubrikReferens"/>
        <w:smallCaps w:val="0"/>
        <w:spacing w:val="0"/>
        <w:sz w:val="19"/>
      </w:rPr>
      <w:t xml:space="preserve"> </w:t>
    </w:r>
    <w:r w:rsidR="006E264D" w:rsidRPr="00F517E2">
      <w:fldChar w:fldCharType="end"/>
    </w:r>
  </w:p>
  <w:p w:rsidR="006E264D" w:rsidRPr="00F517E2" w:rsidRDefault="006E264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BC45CB">
    <w:pPr>
      <w:pStyle w:val="SidhuvudKantUdda"/>
      <w:framePr w:w="8731" w:h="567" w:hRule="exact" w:vSpace="0" w:wrap="around" w:vAnchor="page" w:y="341" w:anchorLock="0"/>
    </w:pP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C42A74" w:rsidRPr="00F517E2">
      <w:rPr>
        <w:rStyle w:val="SidhuvudRubrikReferens"/>
      </w:rPr>
      <w:t>Riksdagsstyrelsens överväganden och förslag</w:t>
    </w:r>
    <w:r w:rsidRPr="00F517E2">
      <w:rPr>
        <w:rStyle w:val="SidhuvudRubrikReferens"/>
      </w:rPr>
      <w:fldChar w:fldCharType="end"/>
    </w:r>
    <w:r w:rsidRPr="00F517E2">
      <w:rPr>
        <w:rStyle w:val="SidhuvudBilaga"/>
      </w:rPr>
      <w:t xml:space="preserve"> </w:t>
    </w:r>
    <w:r w:rsidRPr="00F517E2">
      <w:t xml:space="preserve">     </w: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w:instrText>
    </w:r>
    <w:r w:rsidRPr="00F517E2">
      <w:instrText xml:space="preserve"> </w:instrText>
    </w:r>
    <w:r w:rsidRPr="00F517E2">
      <w:rPr>
        <w:rStyle w:val="SidhuvudUtskott"/>
      </w:rPr>
      <w:instrText>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w:instrText>
    </w:r>
    <w:r w:rsidRPr="00F517E2">
      <w:rPr>
        <w:rStyle w:val="SidhuvudUtskott"/>
      </w:rPr>
      <w:instrText>n</w:instrText>
    </w:r>
    <w:r w:rsidRPr="00F517E2">
      <w:rPr>
        <w:rStyle w:val="SidhuvudUtskott"/>
      </w:rPr>
      <w:instrText>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p>
  <w:p w:rsidR="006E264D" w:rsidRPr="00F517E2" w:rsidRDefault="006E264D" w:rsidP="00BC45CB">
    <w:pPr>
      <w:pStyle w:val="SidhuvudKantUdda"/>
      <w:framePr w:w="8731"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p>
  <w:p w:rsidR="006E264D" w:rsidRPr="00F517E2" w:rsidRDefault="006E264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Udda"/>
      <w:framePr w:w="8732" w:h="567" w:hRule="exact" w:vSpace="0" w:wrap="around" w:vAnchor="page" w:y="341" w:anchorLock="0"/>
    </w:pP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1A2589" w:rsidRPr="00F517E2">
      <w:rPr>
        <w:rStyle w:val="SidhuvudRubrikReferens"/>
      </w:rPr>
      <w:t>Sammanfattning</w:t>
    </w:r>
    <w:r w:rsidRPr="00F517E2">
      <w:rPr>
        <w:rStyle w:val="SidhuvudRubrikReferens"/>
      </w:rPr>
      <w:fldChar w:fldCharType="end"/>
    </w:r>
    <w:r w:rsidRPr="00F517E2">
      <w:rPr>
        <w:rStyle w:val="SidhuvudBilaga"/>
      </w:rPr>
      <w:t xml:space="preserve"> </w:t>
    </w:r>
    <w:r w:rsidRPr="00F517E2">
      <w:t xml:space="preserve">     </w: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w:instrText>
    </w:r>
    <w:r w:rsidRPr="00F517E2">
      <w:instrText xml:space="preserve"> </w:instrText>
    </w:r>
    <w:r w:rsidRPr="00F517E2">
      <w:rPr>
        <w:rStyle w:val="SidhuvudUtskott"/>
      </w:rPr>
      <w:instrText>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w:instrText>
    </w:r>
    <w:r w:rsidRPr="00F517E2">
      <w:rPr>
        <w:rStyle w:val="SidhuvudUtskott"/>
      </w:rPr>
      <w:instrText>n</w:instrText>
    </w:r>
    <w:r w:rsidRPr="00F517E2">
      <w:rPr>
        <w:rStyle w:val="SidhuvudUtskott"/>
      </w:rPr>
      <w:instrText>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p>
  <w:p w:rsidR="006E264D" w:rsidRPr="00F517E2" w:rsidRDefault="006E264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BC45CB">
    <w:pPr>
      <w:pStyle w:val="SidhuvudKantJmn"/>
      <w:framePr w:w="8731" w:h="567" w:hRule="exact" w:vSpace="0" w:wrap="around" w:vAnchor="page" w:y="341" w:anchorLock="0"/>
    </w:pPr>
    <w:r w:rsidRPr="00F517E2">
      <w:fldChar w:fldCharType="begin" w:fldLock="1"/>
    </w:r>
    <w:r w:rsidRPr="00F517E2">
      <w:instrText xml:space="preserve"> if </w:instrText>
    </w:r>
    <w:r w:rsidRPr="00F517E2">
      <w:fldChar w:fldCharType="begin" w:fldLock="1"/>
    </w:r>
    <w:r w:rsidRPr="00F517E2">
      <w:instrText xml:space="preserve"> page</w:instrText>
    </w:r>
    <w:r w:rsidRPr="00F517E2">
      <w:fldChar w:fldCharType="separate"/>
    </w:r>
    <w:r w:rsidR="00C42A74" w:rsidRPr="00F517E2">
      <w:instrText>13</w:instrText>
    </w:r>
    <w:r w:rsidRPr="00F517E2">
      <w:fldChar w:fldCharType="end"/>
    </w:r>
    <w:r w:rsidRPr="00F517E2">
      <w:instrText xml:space="preserve"> &gt; 1 "</w:instrText>
    </w: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13</w:instrText>
    </w:r>
    <w:r w:rsidRPr="00F517E2">
      <w:fldChar w:fldCharType="end"/>
    </w:r>
    <w:r w:rsidRPr="00F517E2">
      <w:instrText xml:space="preserve">/2 </w:instrText>
    </w:r>
    <w:r w:rsidRPr="00F517E2">
      <w:fldChar w:fldCharType="separate"/>
    </w:r>
    <w:r w:rsidR="00C42A74" w:rsidRPr="00F517E2">
      <w:instrText>6,5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13</w:instrText>
    </w:r>
    <w:r w:rsidRPr="00F517E2">
      <w:fldChar w:fldCharType="end"/>
    </w:r>
    <w:r w:rsidRPr="00F517E2">
      <w:instrText xml:space="preserve">/2) </w:instrText>
    </w:r>
    <w:r w:rsidRPr="00F517E2">
      <w:fldChar w:fldCharType="separate"/>
    </w:r>
    <w:r w:rsidR="00C42A74" w:rsidRPr="00F517E2">
      <w:instrText>6</w:instrText>
    </w:r>
    <w:r w:rsidRPr="00F517E2">
      <w:fldChar w:fldCharType="end"/>
    </w:r>
    <w:r w:rsidRPr="00F517E2">
      <w:fldChar w:fldCharType="separate"/>
    </w:r>
    <w:r w:rsidR="00C42A74" w:rsidRPr="00F517E2">
      <w:instrText>0,5</w:instrText>
    </w:r>
    <w:r w:rsidRPr="00F517E2">
      <w:fldChar w:fldCharType="end"/>
    </w:r>
    <w:r w:rsidRPr="00F517E2">
      <w:instrText xml:space="preserve"> = 0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w:instrText>
    </w:r>
    <w:r w:rsidRPr="00F517E2">
      <w:rPr>
        <w:rStyle w:val="SidhuvudUtskott"/>
      </w:rPr>
      <w:instrText>R</w:instrText>
    </w:r>
    <w:r w:rsidRPr="00F517E2">
      <w:rPr>
        <w:rStyle w:val="SidhuvudUtskott"/>
      </w:rPr>
      <w:instrText>TY Utskott</w:instrText>
    </w:r>
    <w:r w:rsidRPr="00F517E2">
      <w:rPr>
        <w:rStyle w:val="SidhuvudUtskott"/>
      </w:rPr>
      <w:fldChar w:fldCharType="separate"/>
    </w:r>
    <w:r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Pr="00F517E2">
      <w:rPr>
        <w:rStyle w:val="SidhuvudUtskott"/>
      </w:rPr>
      <w:instrText>1</w:instrText>
    </w:r>
    <w:r w:rsidRPr="00F517E2">
      <w:rPr>
        <w:rStyle w:val="SidhuvudUtskott"/>
      </w:rPr>
      <w:fldChar w:fldCharType="end"/>
    </w:r>
    <w:r w:rsidRPr="00F517E2">
      <w:instrText xml:space="preserve">    </w:instrText>
    </w:r>
  </w:p>
  <w:p w:rsidR="006E264D" w:rsidRPr="00F517E2" w:rsidRDefault="006E264D" w:rsidP="00BC45CB">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rsidP="00BC45CB">
    <w:pPr>
      <w:pStyle w:val="SidhuvudKantUdda"/>
      <w:framePr w:w="8731" w:h="567" w:hRule="exact" w:vSpace="0" w:wrap="around" w:vAnchor="page" w:y="341" w:anchorLock="0"/>
    </w:pPr>
    <w:r w:rsidRPr="00F517E2">
      <w:rPr>
        <w:rStyle w:val="SidhuvudRubrikReferens"/>
        <w:smallCaps w:val="0"/>
        <w:spacing w:val="0"/>
        <w:sz w:val="19"/>
      </w:rPr>
      <w:instrText xml:space="preserve"> </w:instrText>
    </w:r>
    <w:r w:rsidRPr="00F517E2">
      <w:instrText xml:space="preserve">"  "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instrText>1</w:instrText>
    </w:r>
    <w:r w:rsidRPr="00F517E2">
      <w:rPr>
        <w:rStyle w:val="SidhuvudUtskott"/>
      </w:rPr>
      <w:fldChar w:fldCharType="end"/>
    </w:r>
  </w:p>
  <w:p w:rsidR="00C42A74" w:rsidRPr="00F517E2" w:rsidRDefault="006E264D" w:rsidP="00BC45CB">
    <w:pPr>
      <w:pStyle w:val="SidhuvudKantUdda"/>
      <w:framePr w:w="8731"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r w:rsidRPr="00F517E2">
      <w:instrText>"</w:instrText>
    </w:r>
    <w:r w:rsidRPr="00F517E2">
      <w:fldChar w:fldCharType="separate"/>
    </w:r>
    <w:r w:rsidR="00C42A74" w:rsidRPr="00F517E2">
      <w:instrText xml:space="preserve">  </w:instrText>
    </w:r>
    <w:r w:rsidR="00C42A74" w:rsidRPr="00F517E2">
      <w:rPr>
        <w:rStyle w:val="SidhuvudUtskott"/>
      </w:rPr>
      <w:instrText>2010/11:RS1</w:instrText>
    </w:r>
  </w:p>
  <w:p w:rsidR="00C42A74" w:rsidRPr="00F517E2" w:rsidRDefault="006E264D" w:rsidP="00BC45CB">
    <w:pPr>
      <w:pStyle w:val="SidhuvudKantUdda"/>
      <w:framePr w:w="8731" w:h="567" w:hRule="exact" w:vSpace="0" w:wrap="around" w:vAnchor="page" w:y="341" w:anchorLock="0"/>
    </w:pPr>
    <w:r w:rsidRPr="00F517E2">
      <w:fldChar w:fldCharType="end"/>
    </w:r>
    <w:r w:rsidRPr="00F517E2">
      <w:instrText>" " "</w:instrText>
    </w:r>
    <w:r w:rsidRPr="00F517E2">
      <w:fldChar w:fldCharType="separate"/>
    </w:r>
    <w:r w:rsidR="00C42A74" w:rsidRPr="00F517E2">
      <w:t xml:space="preserve">  </w:t>
    </w:r>
    <w:r w:rsidR="00C42A74" w:rsidRPr="00F517E2">
      <w:rPr>
        <w:rStyle w:val="SidhuvudUtskott"/>
      </w:rPr>
      <w:t>2010/11:RS1</w:t>
    </w:r>
  </w:p>
  <w:p w:rsidR="006E264D" w:rsidRPr="00F517E2" w:rsidRDefault="006E264D" w:rsidP="00BC45CB">
    <w:pPr>
      <w:pStyle w:val="SidhuvudKantUdda"/>
      <w:framePr w:w="8731" w:h="567" w:hRule="exact" w:vSpace="0" w:wrap="around" w:vAnchor="page" w:y="341" w:anchorLock="0"/>
    </w:pPr>
    <w:r w:rsidRPr="00F517E2">
      <w:fldChar w:fldCharType="end"/>
    </w:r>
  </w:p>
  <w:p w:rsidR="006E264D" w:rsidRPr="00F517E2" w:rsidRDefault="006E264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C81779">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r w:rsidRPr="00F517E2">
      <w:t xml:space="preserve">     </w:t>
    </w:r>
    <w:r w:rsidRPr="00F517E2">
      <w:rPr>
        <w:rStyle w:val="SidhuvudBilaga"/>
      </w:rPr>
      <w:t xml:space="preserve"> </w:t>
    </w: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1A2589" w:rsidRPr="00F517E2">
      <w:rPr>
        <w:rStyle w:val="SidhuvudRubrikReferens"/>
      </w:rPr>
      <w:t>Riksdagsstyrelsens överväganden och förslag</w:t>
    </w:r>
    <w:r w:rsidRPr="00F517E2">
      <w:rPr>
        <w:rStyle w:val="SidhuvudRubrikReferens"/>
      </w:rPr>
      <w:fldChar w:fldCharType="end"/>
    </w:r>
  </w:p>
  <w:p w:rsidR="006E264D" w:rsidRPr="00F517E2" w:rsidRDefault="006E264D" w:rsidP="00C81779">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C81779">
    <w:pPr>
      <w:pStyle w:val="SidhuvudKantUdda"/>
      <w:framePr w:w="8731" w:h="567" w:hRule="exact" w:vSpace="0" w:wrap="around" w:vAnchor="page" w:y="341" w:anchorLock="0"/>
    </w:pP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1A2589" w:rsidRPr="00F517E2">
      <w:rPr>
        <w:rStyle w:val="SidhuvudRubrikReferens"/>
      </w:rPr>
      <w:t>Riksdagsstyrelsens överväganden och förslag</w:t>
    </w:r>
    <w:r w:rsidRPr="00F517E2">
      <w:rPr>
        <w:rStyle w:val="SidhuvudRubrikReferens"/>
      </w:rPr>
      <w:fldChar w:fldCharType="end"/>
    </w:r>
    <w:r w:rsidRPr="00F517E2">
      <w:rPr>
        <w:rStyle w:val="SidhuvudBilaga"/>
      </w:rPr>
      <w:t xml:space="preserve"> </w:t>
    </w:r>
    <w:r w:rsidRPr="00F517E2">
      <w:t xml:space="preserve">     </w: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w:instrText>
    </w:r>
    <w:r w:rsidRPr="00F517E2">
      <w:instrText xml:space="preserve"> </w:instrText>
    </w:r>
    <w:r w:rsidRPr="00F517E2">
      <w:rPr>
        <w:rStyle w:val="SidhuvudUtskott"/>
      </w:rPr>
      <w:instrText>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w:instrText>
    </w:r>
    <w:r w:rsidRPr="00F517E2">
      <w:rPr>
        <w:rStyle w:val="SidhuvudUtskott"/>
      </w:rPr>
      <w:instrText>n</w:instrText>
    </w:r>
    <w:r w:rsidRPr="00F517E2">
      <w:rPr>
        <w:rStyle w:val="SidhuvudUtskott"/>
      </w:rPr>
      <w:instrText>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p>
  <w:p w:rsidR="006E264D" w:rsidRPr="00F517E2" w:rsidRDefault="006E264D" w:rsidP="00C81779">
    <w:pPr>
      <w:pStyle w:val="SidhuvudKantUdda"/>
      <w:framePr w:w="8731"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p>
  <w:p w:rsidR="006E264D" w:rsidRPr="00F517E2" w:rsidRDefault="006E264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C81779">
    <w:pPr>
      <w:pStyle w:val="SidhuvudKantJmn"/>
      <w:framePr w:w="8731" w:h="567" w:hRule="exact" w:vSpace="0" w:wrap="around" w:vAnchor="page" w:y="341" w:anchorLock="0"/>
    </w:pPr>
    <w:r w:rsidRPr="00F517E2">
      <w:fldChar w:fldCharType="begin" w:fldLock="1"/>
    </w:r>
    <w:r w:rsidRPr="00F517E2">
      <w:instrText xml:space="preserve"> if </w:instrText>
    </w:r>
    <w:r w:rsidRPr="00F517E2">
      <w:fldChar w:fldCharType="begin" w:fldLock="1"/>
    </w:r>
    <w:r w:rsidRPr="00F517E2">
      <w:instrText xml:space="preserve"> page</w:instrText>
    </w:r>
    <w:r w:rsidRPr="00F517E2">
      <w:fldChar w:fldCharType="separate"/>
    </w:r>
    <w:r w:rsidR="00C42A74" w:rsidRPr="00F517E2">
      <w:instrText>44</w:instrText>
    </w:r>
    <w:r w:rsidRPr="00F517E2">
      <w:fldChar w:fldCharType="end"/>
    </w:r>
    <w:r w:rsidRPr="00F517E2">
      <w:instrText xml:space="preserve"> &gt; 1 "</w:instrText>
    </w: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44</w:instrText>
    </w:r>
    <w:r w:rsidRPr="00F517E2">
      <w:fldChar w:fldCharType="end"/>
    </w:r>
    <w:r w:rsidRPr="00F517E2">
      <w:instrText xml:space="preserve">/2 </w:instrText>
    </w:r>
    <w:r w:rsidRPr="00F517E2">
      <w:fldChar w:fldCharType="separate"/>
    </w:r>
    <w:r w:rsidR="00C42A74" w:rsidRPr="00F517E2">
      <w:instrText>22</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44</w:instrText>
    </w:r>
    <w:r w:rsidRPr="00F517E2">
      <w:fldChar w:fldCharType="end"/>
    </w:r>
    <w:r w:rsidRPr="00F517E2">
      <w:instrText xml:space="preserve">/2) </w:instrText>
    </w:r>
    <w:r w:rsidRPr="00F517E2">
      <w:fldChar w:fldCharType="separate"/>
    </w:r>
    <w:r w:rsidR="00C42A74" w:rsidRPr="00F517E2">
      <w:instrText>22</w:instrText>
    </w:r>
    <w:r w:rsidRPr="00F517E2">
      <w:fldChar w:fldCharType="end"/>
    </w:r>
    <w:r w:rsidRPr="00F517E2">
      <w:fldChar w:fldCharType="separate"/>
    </w:r>
    <w:r w:rsidR="00C42A74" w:rsidRPr="00F517E2">
      <w:instrText>0</w:instrText>
    </w:r>
    <w:r w:rsidRPr="00F517E2">
      <w:fldChar w:fldCharType="end"/>
    </w:r>
    <w:r w:rsidRPr="00F517E2">
      <w:instrText xml:space="preserve"> = 0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w:instrText>
    </w:r>
    <w:r w:rsidRPr="00F517E2">
      <w:rPr>
        <w:rStyle w:val="SidhuvudUtskott"/>
      </w:rPr>
      <w:instrText>R</w:instrText>
    </w:r>
    <w:r w:rsidRPr="00F517E2">
      <w:rPr>
        <w:rStyle w:val="SidhuvudUtskott"/>
      </w:rPr>
      <w:instrText>TY Utskott</w:instrText>
    </w:r>
    <w:r w:rsidRPr="00F517E2">
      <w:rPr>
        <w:rStyle w:val="SidhuvudUtskott"/>
      </w:rPr>
      <w:fldChar w:fldCharType="separate"/>
    </w:r>
    <w:r w:rsidR="001A2589"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instrText>1</w:instrText>
    </w:r>
    <w:r w:rsidRPr="00F517E2">
      <w:rPr>
        <w:rStyle w:val="SidhuvudUtskott"/>
      </w:rPr>
      <w:fldChar w:fldCharType="end"/>
    </w:r>
    <w:r w:rsidRPr="00F517E2">
      <w:instrText xml:space="preserve">    </w:instrText>
    </w:r>
  </w:p>
  <w:p w:rsidR="006E264D" w:rsidRPr="00F517E2" w:rsidRDefault="006E264D" w:rsidP="00C81779">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rsidP="00C81779">
    <w:pPr>
      <w:pStyle w:val="SidhuvudKantUdda"/>
      <w:framePr w:w="8731" w:h="567" w:hRule="exact" w:vSpace="0" w:wrap="around" w:vAnchor="page" w:y="341" w:anchorLock="0"/>
    </w:pPr>
    <w:r w:rsidRPr="00F517E2">
      <w:rPr>
        <w:rStyle w:val="SidhuvudRubrikReferens"/>
        <w:smallCaps w:val="0"/>
        <w:spacing w:val="0"/>
        <w:sz w:val="19"/>
      </w:rPr>
      <w:instrText xml:space="preserve"> </w:instrText>
    </w:r>
    <w:r w:rsidRPr="00F517E2">
      <w:instrText xml:space="preserve">"  "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Pr="00F517E2">
      <w:rPr>
        <w:rStyle w:val="SidhuvudUtskott"/>
      </w:rPr>
      <w:instrText>1</w:instrText>
    </w:r>
    <w:r w:rsidRPr="00F517E2">
      <w:rPr>
        <w:rStyle w:val="SidhuvudUtskott"/>
      </w:rPr>
      <w:fldChar w:fldCharType="end"/>
    </w:r>
  </w:p>
  <w:p w:rsidR="00C42A74" w:rsidRPr="00F517E2" w:rsidRDefault="006E264D" w:rsidP="00C81779">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r w:rsidRPr="00F517E2">
      <w:instrText>"</w:instrText>
    </w:r>
    <w:r w:rsidRPr="00F517E2">
      <w:fldChar w:fldCharType="separate"/>
    </w:r>
    <w:r w:rsidR="00C42A74" w:rsidRPr="00F517E2">
      <w:rPr>
        <w:rStyle w:val="SidhuvudUtskott"/>
      </w:rPr>
      <w:instrText>2010/11:RS1</w:instrText>
    </w:r>
    <w:r w:rsidR="00C42A74" w:rsidRPr="00F517E2">
      <w:instrText xml:space="preserve">    </w:instrText>
    </w:r>
  </w:p>
  <w:p w:rsidR="00C42A74" w:rsidRPr="00F517E2" w:rsidRDefault="00C42A74" w:rsidP="00C81779">
    <w:pPr>
      <w:pStyle w:val="SidhuvudKantJmn"/>
      <w:framePr w:w="8731" w:h="567" w:hRule="exact" w:vSpace="0" w:wrap="around" w:vAnchor="page" w:y="341" w:anchorLock="0"/>
    </w:pPr>
  </w:p>
  <w:p w:rsidR="00C42A74" w:rsidRPr="00F517E2" w:rsidRDefault="00C42A74" w:rsidP="00C81779">
    <w:pPr>
      <w:pStyle w:val="SidhuvudKantJmn"/>
      <w:framePr w:w="8731" w:h="567" w:hRule="exact" w:vSpace="0" w:wrap="around" w:vAnchor="page" w:y="341" w:anchorLock="0"/>
    </w:pPr>
    <w:r w:rsidRPr="00F517E2">
      <w:rPr>
        <w:rStyle w:val="SidhuvudRubrikReferens"/>
        <w:smallCaps w:val="0"/>
        <w:spacing w:val="0"/>
        <w:sz w:val="19"/>
      </w:rPr>
      <w:instrText xml:space="preserve"> </w:instrText>
    </w:r>
    <w:r w:rsidR="006E264D" w:rsidRPr="00F517E2">
      <w:fldChar w:fldCharType="end"/>
    </w:r>
    <w:r w:rsidR="006E264D" w:rsidRPr="00F517E2">
      <w:instrText>" " "</w:instrText>
    </w:r>
    <w:r w:rsidR="006E264D" w:rsidRPr="00F517E2">
      <w:fldChar w:fldCharType="separate"/>
    </w:r>
    <w:r w:rsidRPr="00F517E2">
      <w:rPr>
        <w:rStyle w:val="SidhuvudUtskott"/>
      </w:rPr>
      <w:t>2010/11:RS1</w:t>
    </w:r>
    <w:r w:rsidRPr="00F517E2">
      <w:t xml:space="preserve">    </w:t>
    </w:r>
  </w:p>
  <w:p w:rsidR="00C42A74" w:rsidRPr="00F517E2" w:rsidRDefault="00C42A74" w:rsidP="00C81779">
    <w:pPr>
      <w:pStyle w:val="SidhuvudKantJmn"/>
      <w:framePr w:w="8731" w:h="567" w:hRule="exact" w:vSpace="0" w:wrap="around" w:vAnchor="page" w:y="341" w:anchorLock="0"/>
    </w:pPr>
  </w:p>
  <w:p w:rsidR="006E264D" w:rsidRPr="00F517E2" w:rsidRDefault="00C42A74" w:rsidP="00C81779">
    <w:pPr>
      <w:pStyle w:val="SidhuvudKantUdda"/>
      <w:framePr w:w="8731" w:h="567" w:hRule="exact" w:vSpace="0" w:wrap="around" w:vAnchor="page" w:y="341" w:anchorLock="0"/>
    </w:pPr>
    <w:r w:rsidRPr="00F517E2">
      <w:rPr>
        <w:rStyle w:val="SidhuvudRubrikReferens"/>
        <w:smallCaps w:val="0"/>
        <w:spacing w:val="0"/>
        <w:sz w:val="19"/>
      </w:rPr>
      <w:t xml:space="preserve"> </w:t>
    </w:r>
    <w:r w:rsidR="006E264D" w:rsidRPr="00F517E2">
      <w:fldChar w:fldCharType="end"/>
    </w:r>
  </w:p>
  <w:p w:rsidR="006E264D" w:rsidRPr="00F517E2" w:rsidRDefault="006E264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153871">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r w:rsidRPr="00F517E2">
      <w:t xml:space="preserve">     </w:t>
    </w:r>
    <w:r w:rsidRPr="00F517E2">
      <w:rPr>
        <w:rStyle w:val="SidhuvudBilaga"/>
      </w:rPr>
      <w:t xml:space="preserve"> </w:t>
    </w: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C42A74" w:rsidRPr="00F517E2">
      <w:rPr>
        <w:rStyle w:val="SidhuvudRubrikReferens"/>
      </w:rPr>
      <w:t>Författningskommentar</w:t>
    </w:r>
    <w:r w:rsidRPr="00F517E2">
      <w:rPr>
        <w:rStyle w:val="SidhuvudRubrikReferens"/>
      </w:rPr>
      <w:fldChar w:fldCharType="end"/>
    </w:r>
  </w:p>
  <w:p w:rsidR="006E264D" w:rsidRPr="00F517E2" w:rsidRDefault="006E264D" w:rsidP="00153871">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Udda"/>
      <w:framePr w:w="8732" w:h="567" w:hRule="exact" w:vSpace="0" w:wrap="around" w:vAnchor="page" w:y="341" w:anchorLock="0"/>
    </w:pP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C42A74" w:rsidRPr="00F517E2">
      <w:rPr>
        <w:rStyle w:val="SidhuvudRubrikReferens"/>
      </w:rPr>
      <w:t>Författningskommentar</w:t>
    </w:r>
    <w:r w:rsidRPr="00F517E2">
      <w:rPr>
        <w:rStyle w:val="SidhuvudRubrikReferens"/>
      </w:rPr>
      <w:fldChar w:fldCharType="end"/>
    </w:r>
    <w:r w:rsidRPr="00F517E2">
      <w:rPr>
        <w:rStyle w:val="SidhuvudBilaga"/>
      </w:rPr>
      <w:t xml:space="preserve"> </w:t>
    </w:r>
    <w:r w:rsidRPr="00F517E2">
      <w:t xml:space="preserve">     </w: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w:instrText>
    </w:r>
    <w:r w:rsidRPr="00F517E2">
      <w:instrText xml:space="preserve"> </w:instrText>
    </w:r>
    <w:r w:rsidRPr="00F517E2">
      <w:rPr>
        <w:rStyle w:val="SidhuvudUtskott"/>
      </w:rPr>
      <w:instrText>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w:instrText>
    </w:r>
    <w:r w:rsidRPr="00F517E2">
      <w:rPr>
        <w:rStyle w:val="SidhuvudUtskott"/>
      </w:rPr>
      <w:instrText>n</w:instrText>
    </w:r>
    <w:r w:rsidRPr="00F517E2">
      <w:rPr>
        <w:rStyle w:val="SidhuvudUtskott"/>
      </w:rPr>
      <w:instrText>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p>
  <w:p w:rsidR="006E264D" w:rsidRPr="00F517E2" w:rsidRDefault="006E264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Jmn"/>
      <w:framePr w:w="8732" w:h="567" w:hRule="exact" w:vSpace="0" w:wrap="around" w:vAnchor="page" w:y="341" w:anchorLock="0"/>
    </w:pPr>
    <w:r w:rsidRPr="00F517E2">
      <w:fldChar w:fldCharType="begin" w:fldLock="1"/>
    </w:r>
    <w:r w:rsidRPr="00F517E2">
      <w:instrText xml:space="preserve"> if </w:instrText>
    </w:r>
    <w:r w:rsidRPr="00F517E2">
      <w:fldChar w:fldCharType="begin" w:fldLock="1"/>
    </w:r>
    <w:r w:rsidRPr="00F517E2">
      <w:instrText xml:space="preserve"> page</w:instrText>
    </w:r>
    <w:r w:rsidRPr="00F517E2">
      <w:fldChar w:fldCharType="separate"/>
    </w:r>
    <w:r w:rsidR="00C42A74" w:rsidRPr="00F517E2">
      <w:instrText>45</w:instrText>
    </w:r>
    <w:r w:rsidRPr="00F517E2">
      <w:fldChar w:fldCharType="end"/>
    </w:r>
    <w:r w:rsidRPr="00F517E2">
      <w:instrText xml:space="preserve"> &gt; 1 "</w:instrText>
    </w: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45</w:instrText>
    </w:r>
    <w:r w:rsidRPr="00F517E2">
      <w:fldChar w:fldCharType="end"/>
    </w:r>
    <w:r w:rsidRPr="00F517E2">
      <w:instrText xml:space="preserve">/2 </w:instrText>
    </w:r>
    <w:r w:rsidRPr="00F517E2">
      <w:fldChar w:fldCharType="separate"/>
    </w:r>
    <w:r w:rsidR="00C42A74" w:rsidRPr="00F517E2">
      <w:instrText>22,5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45</w:instrText>
    </w:r>
    <w:r w:rsidRPr="00F517E2">
      <w:fldChar w:fldCharType="end"/>
    </w:r>
    <w:r w:rsidRPr="00F517E2">
      <w:instrText xml:space="preserve">/2) </w:instrText>
    </w:r>
    <w:r w:rsidRPr="00F517E2">
      <w:fldChar w:fldCharType="separate"/>
    </w:r>
    <w:r w:rsidR="00C42A74" w:rsidRPr="00F517E2">
      <w:instrText>22</w:instrText>
    </w:r>
    <w:r w:rsidRPr="00F517E2">
      <w:fldChar w:fldCharType="end"/>
    </w:r>
    <w:r w:rsidRPr="00F517E2">
      <w:fldChar w:fldCharType="separate"/>
    </w:r>
    <w:r w:rsidR="00C42A74" w:rsidRPr="00F517E2">
      <w:instrText>0,5</w:instrText>
    </w:r>
    <w:r w:rsidRPr="00F517E2">
      <w:fldChar w:fldCharType="end"/>
    </w:r>
    <w:r w:rsidRPr="00F517E2">
      <w:instrText xml:space="preserve"> = 0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w:instrText>
    </w:r>
    <w:r w:rsidRPr="00F517E2">
      <w:rPr>
        <w:rStyle w:val="SidhuvudUtskott"/>
      </w:rPr>
      <w:instrText>R</w:instrText>
    </w:r>
    <w:r w:rsidRPr="00F517E2">
      <w:rPr>
        <w:rStyle w:val="SidhuvudUtskott"/>
      </w:rPr>
      <w:instrText>TY Utskott</w:instrText>
    </w:r>
    <w:r w:rsidRPr="00F517E2">
      <w:rPr>
        <w:rStyle w:val="SidhuvudUtskott"/>
      </w:rPr>
      <w:fldChar w:fldCharType="separate"/>
    </w:r>
    <w:r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Pr="00F517E2">
      <w:rPr>
        <w:rStyle w:val="SidhuvudUtskott"/>
      </w:rPr>
      <w:instrText>1</w:instrText>
    </w:r>
    <w:r w:rsidRPr="00F517E2">
      <w:rPr>
        <w:rStyle w:val="SidhuvudUtskott"/>
      </w:rPr>
      <w:fldChar w:fldCharType="end"/>
    </w:r>
    <w:r w:rsidRPr="00F517E2">
      <w:instrText xml:space="preserve">    </w:instrText>
    </w:r>
  </w:p>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RubrikReferens"/>
        <w:smallCaps w:val="0"/>
        <w:spacing w:val="0"/>
        <w:sz w:val="19"/>
      </w:rPr>
      <w:instrText xml:space="preserve"> </w:instrText>
    </w:r>
    <w:r w:rsidRPr="00F517E2">
      <w:instrText xml:space="preserve">"  "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instrText>1</w:instrText>
    </w:r>
    <w:r w:rsidRPr="00F517E2">
      <w:rPr>
        <w:rStyle w:val="SidhuvudUtskott"/>
      </w:rPr>
      <w:fldChar w:fldCharType="end"/>
    </w:r>
  </w:p>
  <w:p w:rsidR="00C42A74" w:rsidRPr="00F517E2" w:rsidRDefault="006E264D">
    <w:pPr>
      <w:pStyle w:val="SidhuvudKantUdda"/>
      <w:framePr w:w="8732"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r w:rsidRPr="00F517E2">
      <w:instrText>"</w:instrText>
    </w:r>
    <w:r w:rsidRPr="00F517E2">
      <w:fldChar w:fldCharType="separate"/>
    </w:r>
    <w:r w:rsidR="00C42A74" w:rsidRPr="00F517E2">
      <w:instrText xml:space="preserve">  </w:instrText>
    </w:r>
    <w:r w:rsidR="00C42A74" w:rsidRPr="00F517E2">
      <w:rPr>
        <w:rStyle w:val="SidhuvudUtskott"/>
      </w:rPr>
      <w:instrText>2010/11:RS1</w:instrText>
    </w:r>
  </w:p>
  <w:p w:rsidR="00C42A74" w:rsidRPr="00F517E2" w:rsidRDefault="006E264D">
    <w:pPr>
      <w:pStyle w:val="SidhuvudKantUdda"/>
      <w:framePr w:w="8732" w:h="567" w:hRule="exact" w:vSpace="0" w:wrap="around" w:vAnchor="page" w:y="341" w:anchorLock="0"/>
    </w:pPr>
    <w:r w:rsidRPr="00F517E2">
      <w:fldChar w:fldCharType="end"/>
    </w:r>
    <w:r w:rsidRPr="00F517E2">
      <w:instrText>" " "</w:instrText>
    </w:r>
    <w:r w:rsidRPr="00F517E2">
      <w:fldChar w:fldCharType="separate"/>
    </w:r>
    <w:r w:rsidR="00C42A74" w:rsidRPr="00F517E2">
      <w:t xml:space="preserve">  </w:t>
    </w:r>
    <w:r w:rsidR="00C42A74" w:rsidRPr="00F517E2">
      <w:rPr>
        <w:rStyle w:val="SidhuvudUtskott"/>
      </w:rPr>
      <w:t>2010/11:RS1</w:t>
    </w:r>
  </w:p>
  <w:p w:rsidR="006E264D" w:rsidRPr="00F517E2" w:rsidRDefault="006E264D">
    <w:pPr>
      <w:pStyle w:val="SidhuvudKantUdda"/>
      <w:framePr w:w="8732" w:h="567" w:hRule="exact" w:vSpace="0" w:wrap="around" w:vAnchor="page" w:y="341" w:anchorLock="0"/>
    </w:pPr>
    <w:r w:rsidRPr="00F517E2">
      <w:fldChar w:fldCharType="end"/>
    </w:r>
  </w:p>
  <w:p w:rsidR="006E264D" w:rsidRPr="00F517E2" w:rsidRDefault="006E264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Jmn"/>
      <w:framePr w:w="8732" w:h="567" w:hRule="exact" w:vSpace="0" w:wrap="around" w:vAnchor="page" w:y="341" w:anchorLock="0"/>
    </w:pPr>
    <w:r w:rsidRPr="00F517E2">
      <w:fldChar w:fldCharType="begin" w:fldLock="1"/>
    </w:r>
    <w:r w:rsidRPr="00F517E2">
      <w:instrText xml:space="preserve"> if </w:instrText>
    </w:r>
    <w:r w:rsidRPr="00F517E2">
      <w:fldChar w:fldCharType="begin" w:fldLock="1"/>
    </w:r>
    <w:r w:rsidRPr="00F517E2">
      <w:instrText xml:space="preserve"> page</w:instrText>
    </w:r>
    <w:r w:rsidRPr="00F517E2">
      <w:fldChar w:fldCharType="separate"/>
    </w:r>
    <w:r w:rsidR="00F517E2">
      <w:rPr>
        <w:noProof/>
      </w:rPr>
      <w:instrText>1</w:instrText>
    </w:r>
    <w:r w:rsidRPr="00F517E2">
      <w:fldChar w:fldCharType="end"/>
    </w:r>
    <w:r w:rsidRPr="00F517E2">
      <w:instrText xml:space="preserve"> &gt; 1 "</w:instrText>
    </w: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Pr="00F517E2">
      <w:instrText>3</w:instrText>
    </w:r>
    <w:r w:rsidRPr="00F517E2">
      <w:fldChar w:fldCharType="end"/>
    </w:r>
    <w:r w:rsidRPr="00F517E2">
      <w:instrText xml:space="preserve">/2 </w:instrText>
    </w:r>
    <w:r w:rsidRPr="00F517E2">
      <w:fldChar w:fldCharType="separate"/>
    </w:r>
    <w:r w:rsidRPr="00F517E2">
      <w:instrText>1,5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Pr="00F517E2">
      <w:instrText>3</w:instrText>
    </w:r>
    <w:r w:rsidRPr="00F517E2">
      <w:fldChar w:fldCharType="end"/>
    </w:r>
    <w:r w:rsidRPr="00F517E2">
      <w:instrText xml:space="preserve">/2) </w:instrText>
    </w:r>
    <w:r w:rsidRPr="00F517E2">
      <w:fldChar w:fldCharType="separate"/>
    </w:r>
    <w:r w:rsidRPr="00F517E2">
      <w:instrText>1</w:instrText>
    </w:r>
    <w:r w:rsidRPr="00F517E2">
      <w:fldChar w:fldCharType="end"/>
    </w:r>
    <w:r w:rsidRPr="00F517E2">
      <w:fldChar w:fldCharType="separate"/>
    </w:r>
    <w:r w:rsidRPr="00F517E2">
      <w:instrText>0,5</w:instrText>
    </w:r>
    <w:r w:rsidRPr="00F517E2">
      <w:fldChar w:fldCharType="end"/>
    </w:r>
    <w:r w:rsidRPr="00F517E2">
      <w:instrText xml:space="preserve"> = 0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Pr="00F517E2">
      <w:rPr>
        <w:rStyle w:val="SidhuvudUtskott"/>
      </w:rPr>
      <w:instrText>1999/2000</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w:instrText>
    </w:r>
    <w:r w:rsidRPr="00F517E2">
      <w:rPr>
        <w:rStyle w:val="SidhuvudUtskott"/>
      </w:rPr>
      <w:instrText>R</w:instrText>
    </w:r>
    <w:r w:rsidRPr="00F517E2">
      <w:rPr>
        <w:rStyle w:val="SidhuvudUtskott"/>
      </w:rPr>
      <w:instrText>TY Utskott</w:instrText>
    </w:r>
    <w:r w:rsidRPr="00F517E2">
      <w:rPr>
        <w:rStyle w:val="SidhuvudUtskott"/>
      </w:rPr>
      <w:fldChar w:fldCharType="separate"/>
    </w:r>
    <w:r w:rsidRPr="00F517E2">
      <w:rPr>
        <w:rStyle w:val="SidhuvudUtskott"/>
      </w:rPr>
      <w:instrText>BoU</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Pr="00F517E2">
      <w:rPr>
        <w:rStyle w:val="SidhuvudUtskott"/>
      </w:rPr>
      <w:instrText>6678</w:instrText>
    </w:r>
    <w:r w:rsidRPr="00F517E2">
      <w:rPr>
        <w:rStyle w:val="SidhuvudUtskott"/>
      </w:rPr>
      <w:fldChar w:fldCharType="end"/>
    </w:r>
    <w:r w:rsidRPr="00F517E2">
      <w:instrText xml:space="preserve">    </w:instrText>
    </w:r>
  </w:p>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separate"/>
    </w:r>
    <w:r w:rsidRPr="00F517E2">
      <w:rPr>
        <w:rStyle w:val="SidhuvudUtskott"/>
      </w:rPr>
      <w:instrText>Utkast</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separate"/>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RubrikReferens"/>
        <w:smallCaps w:val="0"/>
        <w:spacing w:val="0"/>
        <w:sz w:val="19"/>
      </w:rPr>
      <w:instrText xml:space="preserve"> </w:instrText>
    </w:r>
    <w:r w:rsidRPr="00F517E2">
      <w:instrText xml:space="preserve">"  "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Pr="00F517E2">
      <w:rPr>
        <w:rStyle w:val="SidhuvudUtskott"/>
      </w:rPr>
      <w:instrText>1999/2000</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Pr="00F517E2">
      <w:rPr>
        <w:rStyle w:val="SidhuvudUtskott"/>
      </w:rPr>
      <w:instrText>BoU</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Pr="00F517E2">
      <w:rPr>
        <w:rStyle w:val="SidhuvudUtskott"/>
      </w:rPr>
      <w:instrText>6678</w:instrText>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separate"/>
    </w:r>
    <w:r w:rsidRPr="00F517E2">
      <w:rPr>
        <w:rStyle w:val="SidhuvudUtskott"/>
      </w:rPr>
      <w:instrText>Utkast 2</w:instrText>
    </w:r>
    <w:r w:rsidRPr="00F517E2">
      <w:rPr>
        <w:rStyle w:val="SidhuvudUtskott"/>
      </w:rPr>
      <w:fldChar w:fldCharType="end"/>
    </w:r>
    <w:r w:rsidRPr="00F517E2">
      <w:instrText>"</w:instrText>
    </w:r>
    <w:r w:rsidRPr="00F517E2">
      <w:fldChar w:fldCharType="separate"/>
    </w:r>
    <w:r w:rsidRPr="00F517E2">
      <w:instrText xml:space="preserve">  </w:instrText>
    </w:r>
    <w:r w:rsidRPr="00F517E2">
      <w:rPr>
        <w:rStyle w:val="SidhuvudUtskott"/>
      </w:rPr>
      <w:instrText>1999/2000:BoU6678</w:instrText>
    </w:r>
  </w:p>
  <w:p w:rsidR="006E264D" w:rsidRPr="00F517E2" w:rsidRDefault="006E264D">
    <w:pPr>
      <w:pStyle w:val="SidhuvudKantUdda"/>
      <w:framePr w:w="8732" w:h="567" w:hRule="exact" w:vSpace="0" w:wrap="around" w:vAnchor="page" w:y="341" w:anchorLock="0"/>
    </w:pPr>
    <w:r w:rsidRPr="00F517E2">
      <w:rPr>
        <w:rStyle w:val="SidhuvudUtskott"/>
      </w:rPr>
      <w:instrText>Utkast 2</w:instrText>
    </w:r>
    <w:r w:rsidRPr="00F517E2">
      <w:fldChar w:fldCharType="end"/>
    </w:r>
    <w:r w:rsidRPr="00F517E2">
      <w:instrText>" " "</w:instrText>
    </w:r>
    <w:r w:rsidRPr="00F517E2">
      <w:fldChar w:fldCharType="separate"/>
    </w:r>
    <w:r w:rsidR="00F517E2" w:rsidRPr="00F517E2">
      <w:rPr>
        <w:noProof/>
      </w:rPr>
      <w:t xml:space="preserve"> </w:t>
    </w:r>
    <w:r w:rsidRPr="00F517E2">
      <w:fldChar w:fldCharType="end"/>
    </w:r>
  </w:p>
  <w:p w:rsidR="006E264D" w:rsidRPr="00F517E2" w:rsidRDefault="006E264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r w:rsidRPr="00F517E2">
      <w:t xml:space="preserve">     </w:t>
    </w:r>
    <w:r w:rsidRPr="00F517E2">
      <w:rPr>
        <w:rStyle w:val="SidhuvudBilaga"/>
      </w:rPr>
      <w:t xml:space="preserve"> </w:t>
    </w: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1A2589" w:rsidRPr="00F517E2">
      <w:rPr>
        <w:rStyle w:val="SidhuvudRubrikReferens"/>
      </w:rPr>
      <w:t>Sammanfattning</w:t>
    </w:r>
    <w:r w:rsidRPr="00F517E2">
      <w:rPr>
        <w:rStyle w:val="SidhuvudRubrikReferens"/>
      </w:rPr>
      <w:fldChar w:fldCharType="end"/>
    </w:r>
  </w:p>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Udda"/>
      <w:framePr w:w="8732" w:h="567" w:hRule="exact" w:vSpace="0" w:wrap="around" w:vAnchor="page" w:y="341" w:anchorLock="0"/>
    </w:pP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1A2589" w:rsidRPr="00F517E2">
      <w:rPr>
        <w:rStyle w:val="SidhuvudRubrikReferens"/>
      </w:rPr>
      <w:t>Sammanfattning</w:t>
    </w:r>
    <w:r w:rsidRPr="00F517E2">
      <w:rPr>
        <w:rStyle w:val="SidhuvudRubrikReferens"/>
      </w:rPr>
      <w:fldChar w:fldCharType="end"/>
    </w:r>
    <w:r w:rsidRPr="00F517E2">
      <w:rPr>
        <w:rStyle w:val="SidhuvudBilaga"/>
      </w:rPr>
      <w:t xml:space="preserve"> </w:t>
    </w:r>
    <w:r w:rsidRPr="00F517E2">
      <w:t xml:space="preserve">     </w: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w:instrText>
    </w:r>
    <w:r w:rsidRPr="00F517E2">
      <w:instrText xml:space="preserve"> </w:instrText>
    </w:r>
    <w:r w:rsidRPr="00F517E2">
      <w:rPr>
        <w:rStyle w:val="SidhuvudUtskott"/>
      </w:rPr>
      <w:instrText>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w:instrText>
    </w:r>
    <w:r w:rsidRPr="00F517E2">
      <w:rPr>
        <w:rStyle w:val="SidhuvudUtskott"/>
      </w:rPr>
      <w:instrText>n</w:instrText>
    </w:r>
    <w:r w:rsidRPr="00F517E2">
      <w:rPr>
        <w:rStyle w:val="SidhuvudUtskott"/>
      </w:rPr>
      <w:instrText>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p>
  <w:p w:rsidR="006E264D" w:rsidRPr="00F517E2" w:rsidRDefault="006E264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pPr>
      <w:pStyle w:val="SidhuvudKantJmn"/>
      <w:framePr w:w="8732" w:h="567" w:hRule="exact" w:vSpace="0" w:wrap="around" w:vAnchor="page" w:y="341" w:anchorLock="0"/>
    </w:pPr>
    <w:r w:rsidRPr="00F517E2">
      <w:fldChar w:fldCharType="begin" w:fldLock="1"/>
    </w:r>
    <w:r w:rsidRPr="00F517E2">
      <w:instrText xml:space="preserve"> if </w:instrText>
    </w:r>
    <w:r w:rsidRPr="00F517E2">
      <w:fldChar w:fldCharType="begin" w:fldLock="1"/>
    </w:r>
    <w:r w:rsidRPr="00F517E2">
      <w:instrText xml:space="preserve"> page</w:instrText>
    </w:r>
    <w:r w:rsidRPr="00F517E2">
      <w:fldChar w:fldCharType="separate"/>
    </w:r>
    <w:r w:rsidR="00C42A74" w:rsidRPr="00F517E2">
      <w:instrText>3</w:instrText>
    </w:r>
    <w:r w:rsidRPr="00F517E2">
      <w:fldChar w:fldCharType="end"/>
    </w:r>
    <w:r w:rsidRPr="00F517E2">
      <w:instrText xml:space="preserve"> &gt; 1 "</w:instrText>
    </w: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3</w:instrText>
    </w:r>
    <w:r w:rsidRPr="00F517E2">
      <w:fldChar w:fldCharType="end"/>
    </w:r>
    <w:r w:rsidRPr="00F517E2">
      <w:instrText xml:space="preserve">/2 </w:instrText>
    </w:r>
    <w:r w:rsidRPr="00F517E2">
      <w:fldChar w:fldCharType="separate"/>
    </w:r>
    <w:r w:rsidR="00C42A74" w:rsidRPr="00F517E2">
      <w:instrText>1,5</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3</w:instrText>
    </w:r>
    <w:r w:rsidRPr="00F517E2">
      <w:fldChar w:fldCharType="end"/>
    </w:r>
    <w:r w:rsidRPr="00F517E2">
      <w:instrText xml:space="preserve">/2) </w:instrText>
    </w:r>
    <w:r w:rsidRPr="00F517E2">
      <w:fldChar w:fldCharType="separate"/>
    </w:r>
    <w:r w:rsidR="00C42A74" w:rsidRPr="00F517E2">
      <w:instrText>1</w:instrText>
    </w:r>
    <w:r w:rsidRPr="00F517E2">
      <w:fldChar w:fldCharType="end"/>
    </w:r>
    <w:r w:rsidRPr="00F517E2">
      <w:fldChar w:fldCharType="separate"/>
    </w:r>
    <w:r w:rsidR="00C42A74" w:rsidRPr="00F517E2">
      <w:instrText>0,5</w:instrText>
    </w:r>
    <w:r w:rsidRPr="00F517E2">
      <w:fldChar w:fldCharType="end"/>
    </w:r>
    <w:r w:rsidRPr="00F517E2">
      <w:instrText xml:space="preserve"> = 0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Pr="00F517E2">
      <w:rPr>
        <w:rStyle w:val="SidhuvudUtskott"/>
      </w:rPr>
      <w:instrText>1999/2000</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w:instrText>
    </w:r>
    <w:r w:rsidRPr="00F517E2">
      <w:rPr>
        <w:rStyle w:val="SidhuvudUtskott"/>
      </w:rPr>
      <w:instrText>R</w:instrText>
    </w:r>
    <w:r w:rsidRPr="00F517E2">
      <w:rPr>
        <w:rStyle w:val="SidhuvudUtskott"/>
      </w:rPr>
      <w:instrText>TY Utskott</w:instrText>
    </w:r>
    <w:r w:rsidRPr="00F517E2">
      <w:rPr>
        <w:rStyle w:val="SidhuvudUtskott"/>
      </w:rPr>
      <w:fldChar w:fldCharType="separate"/>
    </w:r>
    <w:r w:rsidRPr="00F517E2">
      <w:rPr>
        <w:rStyle w:val="SidhuvudUtskott"/>
      </w:rPr>
      <w:instrText>BoU</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Pr="00F517E2">
      <w:rPr>
        <w:rStyle w:val="SidhuvudUtskott"/>
      </w:rPr>
      <w:instrText>6678</w:instrText>
    </w:r>
    <w:r w:rsidRPr="00F517E2">
      <w:rPr>
        <w:rStyle w:val="SidhuvudUtskott"/>
      </w:rPr>
      <w:fldChar w:fldCharType="end"/>
    </w:r>
    <w:r w:rsidRPr="00F517E2">
      <w:instrText xml:space="preserve">    </w:instrText>
    </w:r>
  </w:p>
  <w:p w:rsidR="006E264D" w:rsidRPr="00F517E2" w:rsidRDefault="006E264D">
    <w:pPr>
      <w:pStyle w:val="SidhuvudKantJmn"/>
      <w:framePr w:w="8732"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separate"/>
    </w:r>
    <w:r w:rsidRPr="00F517E2">
      <w:rPr>
        <w:rStyle w:val="SidhuvudUtskott"/>
      </w:rPr>
      <w:instrText>Utkast</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KantUdda"/>
      <w:framePr w:w="8732" w:h="567" w:hRule="exact" w:vSpace="0" w:wrap="around" w:vAnchor="page" w:y="341" w:anchorLock="0"/>
    </w:pPr>
    <w:r w:rsidRPr="00F517E2">
      <w:rPr>
        <w:rStyle w:val="SidhuvudRubrikReferens"/>
        <w:smallCaps w:val="0"/>
        <w:spacing w:val="0"/>
        <w:sz w:val="19"/>
      </w:rPr>
      <w:instrText xml:space="preserve"> </w:instrText>
    </w:r>
    <w:r w:rsidRPr="00F517E2">
      <w:instrText xml:space="preserve">"  "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instrText>1</w:instrText>
    </w:r>
    <w:r w:rsidRPr="00F517E2">
      <w:rPr>
        <w:rStyle w:val="SidhuvudUtskott"/>
      </w:rPr>
      <w:fldChar w:fldCharType="end"/>
    </w:r>
  </w:p>
  <w:p w:rsidR="00C42A74" w:rsidRPr="00F517E2" w:rsidRDefault="006E264D">
    <w:pPr>
      <w:pStyle w:val="SidhuvudKantUdda"/>
      <w:framePr w:w="8732"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r w:rsidRPr="00F517E2">
      <w:instrText>"</w:instrText>
    </w:r>
    <w:r w:rsidRPr="00F517E2">
      <w:fldChar w:fldCharType="separate"/>
    </w:r>
    <w:r w:rsidR="00C42A74" w:rsidRPr="00F517E2">
      <w:instrText xml:space="preserve">  </w:instrText>
    </w:r>
    <w:r w:rsidR="00C42A74" w:rsidRPr="00F517E2">
      <w:rPr>
        <w:rStyle w:val="SidhuvudUtskott"/>
      </w:rPr>
      <w:instrText>2010/11:RS1</w:instrText>
    </w:r>
  </w:p>
  <w:p w:rsidR="00C42A74" w:rsidRPr="00F517E2" w:rsidRDefault="006E264D">
    <w:pPr>
      <w:pStyle w:val="SidhuvudKantUdda"/>
      <w:framePr w:w="8732" w:h="567" w:hRule="exact" w:vSpace="0" w:wrap="around" w:vAnchor="page" w:y="341" w:anchorLock="0"/>
    </w:pPr>
    <w:r w:rsidRPr="00F517E2">
      <w:fldChar w:fldCharType="end"/>
    </w:r>
    <w:r w:rsidRPr="00F517E2">
      <w:instrText>" " "</w:instrText>
    </w:r>
    <w:r w:rsidRPr="00F517E2">
      <w:fldChar w:fldCharType="separate"/>
    </w:r>
    <w:r w:rsidR="00C42A74" w:rsidRPr="00F517E2">
      <w:t xml:space="preserve">  </w:t>
    </w:r>
    <w:r w:rsidR="00C42A74" w:rsidRPr="00F517E2">
      <w:rPr>
        <w:rStyle w:val="SidhuvudUtskott"/>
      </w:rPr>
      <w:t>2010/11:RS1</w:t>
    </w:r>
  </w:p>
  <w:p w:rsidR="006E264D" w:rsidRPr="00F517E2" w:rsidRDefault="006E264D">
    <w:pPr>
      <w:pStyle w:val="SidhuvudKantUdda"/>
      <w:framePr w:w="8732" w:h="567" w:hRule="exact" w:vSpace="0" w:wrap="around" w:vAnchor="page" w:y="341" w:anchorLock="0"/>
    </w:pPr>
    <w:r w:rsidRPr="00F517E2">
      <w:fldChar w:fldCharType="end"/>
    </w:r>
  </w:p>
  <w:p w:rsidR="006E264D" w:rsidRPr="00F517E2" w:rsidRDefault="006E264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3D372D">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r w:rsidRPr="00F517E2">
      <w:t xml:space="preserve">     </w:t>
    </w:r>
    <w:r w:rsidRPr="00F517E2">
      <w:rPr>
        <w:rStyle w:val="SidhuvudBilaga"/>
      </w:rPr>
      <w:t xml:space="preserve"> </w:t>
    </w: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1A2589" w:rsidRPr="00F517E2">
      <w:rPr>
        <w:rStyle w:val="SidhuvudRubrikReferens"/>
      </w:rPr>
      <w:t>Innehållsförteckning</w:t>
    </w:r>
    <w:r w:rsidRPr="00F517E2">
      <w:rPr>
        <w:rStyle w:val="SidhuvudRubrikReferens"/>
      </w:rPr>
      <w:fldChar w:fldCharType="end"/>
    </w:r>
  </w:p>
  <w:p w:rsidR="006E264D" w:rsidRPr="00F517E2" w:rsidRDefault="006E264D" w:rsidP="003D372D">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3D372D">
    <w:pPr>
      <w:pStyle w:val="SidhuvudKantUdda"/>
      <w:framePr w:w="8731" w:h="567" w:hRule="exact" w:vSpace="0" w:wrap="around" w:vAnchor="page" w:y="341" w:anchorLock="0"/>
    </w:pPr>
    <w:r w:rsidRPr="00F517E2">
      <w:rPr>
        <w:rStyle w:val="SidhuvudRubrikReferens"/>
      </w:rPr>
      <w:fldChar w:fldCharType="begin" w:fldLock="1"/>
    </w:r>
    <w:r w:rsidRPr="00F517E2">
      <w:rPr>
        <w:rStyle w:val="SidhuvudRubrikReferens"/>
      </w:rPr>
      <w:instrText xml:space="preserve"> StyleREF "Rubrik 1" </w:instrText>
    </w:r>
    <w:r w:rsidRPr="00F517E2">
      <w:rPr>
        <w:rStyle w:val="SidhuvudRubrikReferens"/>
      </w:rPr>
      <w:fldChar w:fldCharType="separate"/>
    </w:r>
    <w:r w:rsidR="001A2589" w:rsidRPr="00F517E2">
      <w:rPr>
        <w:rStyle w:val="SidhuvudRubrikReferens"/>
      </w:rPr>
      <w:t>Innehållsförteckning</w:t>
    </w:r>
    <w:r w:rsidRPr="00F517E2">
      <w:rPr>
        <w:rStyle w:val="SidhuvudRubrikReferens"/>
      </w:rPr>
      <w:fldChar w:fldCharType="end"/>
    </w:r>
    <w:r w:rsidRPr="00F517E2">
      <w:rPr>
        <w:rStyle w:val="SidhuvudBilaga"/>
      </w:rPr>
      <w:t xml:space="preserve"> </w:t>
    </w:r>
    <w:r w:rsidRPr="00F517E2">
      <w:t xml:space="preserve">     </w: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t>2010/11</w:t>
    </w:r>
    <w:r w:rsidRPr="00F517E2">
      <w:rPr>
        <w:rStyle w:val="SidhuvudUtskott"/>
      </w:rPr>
      <w:fldChar w:fldCharType="end"/>
    </w:r>
    <w:r w:rsidRPr="00F517E2">
      <w:rPr>
        <w:rStyle w:val="SidhuvudUtskott"/>
      </w:rPr>
      <w:t>:</w:t>
    </w:r>
    <w:r w:rsidRPr="00F517E2">
      <w:rPr>
        <w:rStyle w:val="SidhuvudUtskott"/>
      </w:rPr>
      <w:fldChar w:fldCharType="begin" w:fldLock="1"/>
    </w:r>
    <w:r w:rsidRPr="00F517E2">
      <w:rPr>
        <w:rStyle w:val="SidhuvudUtskott"/>
      </w:rPr>
      <w:instrText xml:space="preserve"> DOCPROPERTY</w:instrText>
    </w:r>
    <w:r w:rsidRPr="00F517E2">
      <w:instrText xml:space="preserve"> </w:instrText>
    </w:r>
    <w:r w:rsidRPr="00F517E2">
      <w:rPr>
        <w:rStyle w:val="SidhuvudUtskott"/>
      </w:rPr>
      <w:instrText>Utskott</w:instrText>
    </w:r>
    <w:r w:rsidRPr="00F517E2">
      <w:rPr>
        <w:rStyle w:val="SidhuvudUtskott"/>
      </w:rPr>
      <w:fldChar w:fldCharType="separate"/>
    </w:r>
    <w:r w:rsidR="001A2589" w:rsidRPr="00F517E2">
      <w:rPr>
        <w:rStyle w:val="SidhuvudUtskott"/>
      </w:rPr>
      <w:t>RS</w: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w:instrText>
    </w:r>
    <w:r w:rsidRPr="00F517E2">
      <w:rPr>
        <w:rStyle w:val="SidhuvudUtskott"/>
      </w:rPr>
      <w:instrText>n</w:instrText>
    </w:r>
    <w:r w:rsidRPr="00F517E2">
      <w:rPr>
        <w:rStyle w:val="SidhuvudUtskott"/>
      </w:rPr>
      <w:instrText>kandeNr</w:instrText>
    </w:r>
    <w:r w:rsidRPr="00F517E2">
      <w:rPr>
        <w:rStyle w:val="SidhuvudUtskott"/>
      </w:rPr>
      <w:fldChar w:fldCharType="separate"/>
    </w:r>
    <w:r w:rsidR="001A2589" w:rsidRPr="00F517E2">
      <w:rPr>
        <w:rStyle w:val="SidhuvudUtskott"/>
      </w:rPr>
      <w:t>1</w:t>
    </w:r>
    <w:r w:rsidRPr="00F517E2">
      <w:rPr>
        <w:rStyle w:val="SidhuvudUtskott"/>
      </w:rPr>
      <w:fldChar w:fldCharType="end"/>
    </w:r>
  </w:p>
  <w:p w:rsidR="006E264D" w:rsidRPr="00F517E2" w:rsidRDefault="006E264D" w:rsidP="003D372D">
    <w:pPr>
      <w:pStyle w:val="SidhuvudKantUdda"/>
      <w:framePr w:w="8731"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end"/>
    </w:r>
  </w:p>
  <w:p w:rsidR="006E264D" w:rsidRPr="00F517E2" w:rsidRDefault="006E264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4D" w:rsidRPr="00F517E2" w:rsidRDefault="006E264D" w:rsidP="003D372D">
    <w:pPr>
      <w:pStyle w:val="SidhuvudKantJmn"/>
      <w:framePr w:w="8731" w:h="567" w:hRule="exact" w:vSpace="0" w:wrap="around" w:vAnchor="page" w:y="341" w:anchorLock="0"/>
    </w:pPr>
    <w:r w:rsidRPr="00F517E2">
      <w:fldChar w:fldCharType="begin" w:fldLock="1"/>
    </w:r>
    <w:r w:rsidRPr="00F517E2">
      <w:instrText xml:space="preserve"> if </w:instrText>
    </w:r>
    <w:r w:rsidRPr="00F517E2">
      <w:fldChar w:fldCharType="begin" w:fldLock="1"/>
    </w:r>
    <w:r w:rsidRPr="00F517E2">
      <w:instrText xml:space="preserve"> page</w:instrText>
    </w:r>
    <w:r w:rsidRPr="00F517E2">
      <w:fldChar w:fldCharType="separate"/>
    </w:r>
    <w:r w:rsidR="00C42A74" w:rsidRPr="00F517E2">
      <w:instrText>4</w:instrText>
    </w:r>
    <w:r w:rsidRPr="00F517E2">
      <w:fldChar w:fldCharType="end"/>
    </w:r>
    <w:r w:rsidRPr="00F517E2">
      <w:instrText xml:space="preserve"> &gt; 1 "</w:instrText>
    </w:r>
    <w:r w:rsidRPr="00F517E2">
      <w:fldChar w:fldCharType="begin" w:fldLock="1"/>
    </w:r>
    <w:r w:rsidRPr="00F517E2">
      <w:instrText xml:space="preserve"> if </w:instrText>
    </w:r>
    <w:r w:rsidRPr="00F517E2">
      <w:fldChar w:fldCharType="begin" w:fldLock="1"/>
    </w:r>
    <w:r w:rsidRPr="00F517E2">
      <w:instrText xml:space="preserve"> = </w:instrText>
    </w:r>
    <w:r w:rsidRPr="00F517E2">
      <w:fldChar w:fldCharType="begin" w:fldLock="1"/>
    </w:r>
    <w:r w:rsidRPr="00F517E2">
      <w:instrText xml:space="preserve"> = </w:instrText>
    </w:r>
    <w:r w:rsidRPr="00F517E2">
      <w:fldChar w:fldCharType="begin" w:fldLock="1"/>
    </w:r>
    <w:r w:rsidRPr="00F517E2">
      <w:instrText xml:space="preserve"> page</w:instrText>
    </w:r>
    <w:r w:rsidRPr="00F517E2">
      <w:fldChar w:fldCharType="separate"/>
    </w:r>
    <w:r w:rsidR="00C42A74" w:rsidRPr="00F517E2">
      <w:instrText>4</w:instrText>
    </w:r>
    <w:r w:rsidRPr="00F517E2">
      <w:fldChar w:fldCharType="end"/>
    </w:r>
    <w:r w:rsidRPr="00F517E2">
      <w:instrText xml:space="preserve">/2 </w:instrText>
    </w:r>
    <w:r w:rsidRPr="00F517E2">
      <w:fldChar w:fldCharType="separate"/>
    </w:r>
    <w:r w:rsidR="00C42A74" w:rsidRPr="00F517E2">
      <w:instrText>2</w:instrText>
    </w:r>
    <w:r w:rsidRPr="00F517E2">
      <w:fldChar w:fldCharType="end"/>
    </w:r>
    <w:r w:rsidRPr="00F517E2">
      <w:instrText xml:space="preserve"> - </w:instrText>
    </w:r>
    <w:r w:rsidRPr="00F517E2">
      <w:fldChar w:fldCharType="begin" w:fldLock="1"/>
    </w:r>
    <w:r w:rsidRPr="00F517E2">
      <w:instrText xml:space="preserve"> = int(</w:instrText>
    </w:r>
    <w:r w:rsidRPr="00F517E2">
      <w:fldChar w:fldCharType="begin" w:fldLock="1"/>
    </w:r>
    <w:r w:rsidRPr="00F517E2">
      <w:instrText xml:space="preserve"> page</w:instrText>
    </w:r>
    <w:r w:rsidRPr="00F517E2">
      <w:fldChar w:fldCharType="separate"/>
    </w:r>
    <w:r w:rsidR="00C42A74" w:rsidRPr="00F517E2">
      <w:instrText>4</w:instrText>
    </w:r>
    <w:r w:rsidRPr="00F517E2">
      <w:fldChar w:fldCharType="end"/>
    </w:r>
    <w:r w:rsidRPr="00F517E2">
      <w:instrText xml:space="preserve">/2) </w:instrText>
    </w:r>
    <w:r w:rsidRPr="00F517E2">
      <w:fldChar w:fldCharType="separate"/>
    </w:r>
    <w:r w:rsidR="00C42A74" w:rsidRPr="00F517E2">
      <w:instrText>2</w:instrText>
    </w:r>
    <w:r w:rsidRPr="00F517E2">
      <w:fldChar w:fldCharType="end"/>
    </w:r>
    <w:r w:rsidRPr="00F517E2">
      <w:fldChar w:fldCharType="separate"/>
    </w:r>
    <w:r w:rsidR="00C42A74" w:rsidRPr="00F517E2">
      <w:instrText>0</w:instrText>
    </w:r>
    <w:r w:rsidRPr="00F517E2">
      <w:fldChar w:fldCharType="end"/>
    </w:r>
    <w:r w:rsidRPr="00F517E2">
      <w:instrText xml:space="preserve"> = 0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001A2589" w:rsidRPr="00F517E2">
      <w:rPr>
        <w:rStyle w:val="SidhuvudUtskott"/>
      </w:rPr>
      <w:instrText>2010/11</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w:instrText>
    </w:r>
    <w:r w:rsidRPr="00F517E2">
      <w:rPr>
        <w:rStyle w:val="SidhuvudUtskott"/>
      </w:rPr>
      <w:instrText>R</w:instrText>
    </w:r>
    <w:r w:rsidRPr="00F517E2">
      <w:rPr>
        <w:rStyle w:val="SidhuvudUtskott"/>
      </w:rPr>
      <w:instrText>TY Utskott</w:instrText>
    </w:r>
    <w:r w:rsidRPr="00F517E2">
      <w:rPr>
        <w:rStyle w:val="SidhuvudUtskott"/>
      </w:rPr>
      <w:fldChar w:fldCharType="separate"/>
    </w:r>
    <w:r w:rsidR="001A2589" w:rsidRPr="00F517E2">
      <w:rPr>
        <w:rStyle w:val="SidhuvudUtskott"/>
      </w:rPr>
      <w:instrText>RS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001A2589" w:rsidRPr="00F517E2">
      <w:rPr>
        <w:rStyle w:val="SidhuvudUtskott"/>
      </w:rPr>
      <w:instrText>1</w:instrText>
    </w:r>
    <w:r w:rsidRPr="00F517E2">
      <w:rPr>
        <w:rStyle w:val="SidhuvudUtskott"/>
      </w:rPr>
      <w:fldChar w:fldCharType="end"/>
    </w:r>
    <w:r w:rsidRPr="00F517E2">
      <w:instrText xml:space="preserve">    </w:instrText>
    </w:r>
  </w:p>
  <w:p w:rsidR="006E264D" w:rsidRPr="00F517E2" w:rsidRDefault="006E264D" w:rsidP="003D372D">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DOCPROPERTY Status</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001A2589" w:rsidRPr="00F517E2">
      <w:rPr>
        <w:rStyle w:val="SidhuvudUtskott"/>
      </w:rPr>
      <w:instrText>Nej</w:instrText>
    </w:r>
    <w:r w:rsidRPr="00F517E2">
      <w:rPr>
        <w:rStyle w:val="SidhuvudUtskott"/>
      </w:rPr>
      <w:fldChar w:fldCharType="end"/>
    </w:r>
    <w:r w:rsidRPr="00F517E2">
      <w:rPr>
        <w:rStyle w:val="SidhuvudUtskott"/>
      </w:rPr>
      <w:instrText xml:space="preserve"> = "Ja" "    </w:instrText>
    </w:r>
    <w:r w:rsidRPr="00F517E2">
      <w:rPr>
        <w:rStyle w:val="SidhuvudUtskott"/>
      </w:rPr>
      <w:fldChar w:fldCharType="begin" w:fldLock="1"/>
    </w:r>
    <w:r w:rsidRPr="00F517E2">
      <w:rPr>
        <w:rStyle w:val="SidhuvudUtskott"/>
      </w:rPr>
      <w:instrText xml:space="preserve"> PRINTDATE \@ "yyyy-MM-dd HH.mm"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p>
  <w:p w:rsidR="006E264D" w:rsidRPr="00F517E2" w:rsidRDefault="006E264D" w:rsidP="003D372D">
    <w:pPr>
      <w:pStyle w:val="SidhuvudKantUdda"/>
      <w:framePr w:w="8731" w:h="567" w:hRule="exact" w:vSpace="0" w:wrap="around" w:vAnchor="page" w:y="341" w:anchorLock="0"/>
    </w:pPr>
    <w:r w:rsidRPr="00F517E2">
      <w:rPr>
        <w:rStyle w:val="SidhuvudRubrikReferens"/>
        <w:smallCaps w:val="0"/>
        <w:spacing w:val="0"/>
        <w:sz w:val="19"/>
      </w:rPr>
      <w:instrText xml:space="preserve"> </w:instrText>
    </w:r>
    <w:r w:rsidRPr="00F517E2">
      <w:instrText xml:space="preserve">"  "  </w:instrText>
    </w:r>
    <w:r w:rsidRPr="00F517E2">
      <w:rPr>
        <w:rStyle w:val="SidhuvudUtskott"/>
      </w:rPr>
      <w:fldChar w:fldCharType="begin" w:fldLock="1"/>
    </w:r>
    <w:r w:rsidRPr="00F517E2">
      <w:rPr>
        <w:rStyle w:val="SidhuvudUtskott"/>
      </w:rPr>
      <w:instrText xml:space="preserve"> DOCPROPERTY BetänkandeÅr</w:instrText>
    </w:r>
    <w:r w:rsidRPr="00F517E2">
      <w:rPr>
        <w:rStyle w:val="SidhuvudUtskott"/>
      </w:rPr>
      <w:fldChar w:fldCharType="separate"/>
    </w:r>
    <w:r w:rsidRPr="00F517E2">
      <w:rPr>
        <w:rStyle w:val="SidhuvudUtskott"/>
      </w:rPr>
      <w:instrText>1999/2000</w:instrText>
    </w:r>
    <w:r w:rsidRPr="00F517E2">
      <w:rPr>
        <w:rStyle w:val="SidhuvudUtskott"/>
      </w:rPr>
      <w:fldChar w:fldCharType="end"/>
    </w:r>
    <w:r w:rsidRPr="00F517E2">
      <w:rPr>
        <w:rStyle w:val="SidhuvudUtskott"/>
      </w:rPr>
      <w:instrText>:</w:instrText>
    </w:r>
    <w:r w:rsidRPr="00F517E2">
      <w:rPr>
        <w:rStyle w:val="SidhuvudUtskott"/>
      </w:rPr>
      <w:fldChar w:fldCharType="begin" w:fldLock="1"/>
    </w:r>
    <w:r w:rsidRPr="00F517E2">
      <w:rPr>
        <w:rStyle w:val="SidhuvudUtskott"/>
      </w:rPr>
      <w:instrText xml:space="preserve"> DOCPROPERTY Utskott</w:instrText>
    </w:r>
    <w:r w:rsidRPr="00F517E2">
      <w:rPr>
        <w:rStyle w:val="SidhuvudUtskott"/>
      </w:rPr>
      <w:fldChar w:fldCharType="separate"/>
    </w:r>
    <w:r w:rsidRPr="00F517E2">
      <w:rPr>
        <w:rStyle w:val="SidhuvudUtskott"/>
      </w:rPr>
      <w:instrText>BoU</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DOCPROPERTY BetänkandeNr</w:instrText>
    </w:r>
    <w:r w:rsidRPr="00F517E2">
      <w:rPr>
        <w:rStyle w:val="SidhuvudUtskott"/>
      </w:rPr>
      <w:fldChar w:fldCharType="separate"/>
    </w:r>
    <w:r w:rsidRPr="00F517E2">
      <w:rPr>
        <w:rStyle w:val="SidhuvudUtskott"/>
      </w:rPr>
      <w:instrText>6678</w:instrText>
    </w:r>
    <w:r w:rsidRPr="00F517E2">
      <w:rPr>
        <w:rStyle w:val="SidhuvudUtskott"/>
      </w:rPr>
      <w:fldChar w:fldCharType="end"/>
    </w:r>
  </w:p>
  <w:p w:rsidR="00C42A74" w:rsidRPr="00F517E2" w:rsidRDefault="006E264D" w:rsidP="003D372D">
    <w:pPr>
      <w:pStyle w:val="SidhuvudKantJmn"/>
      <w:framePr w:w="8731" w:h="567" w:hRule="exact" w:vSpace="0" w:wrap="around" w:vAnchor="page" w:y="341" w:anchorLock="0"/>
    </w:pPr>
    <w:r w:rsidRPr="00F517E2">
      <w:rPr>
        <w:rStyle w:val="SidhuvudUtskott"/>
      </w:rPr>
      <w:fldChar w:fldCharType="begin" w:fldLock="1"/>
    </w:r>
    <w:r w:rsidRPr="00F517E2">
      <w:rPr>
        <w:rStyle w:val="SidhuvudUtskott"/>
      </w:rPr>
      <w:instrText xml:space="preserve"> if </w:instrText>
    </w:r>
    <w:r w:rsidRPr="00F517E2">
      <w:rPr>
        <w:rStyle w:val="SidhuvudUtskott"/>
      </w:rPr>
      <w:fldChar w:fldCharType="begin" w:fldLock="1"/>
    </w:r>
    <w:r w:rsidRPr="00F517E2">
      <w:rPr>
        <w:rStyle w:val="SidhuvudUtskott"/>
      </w:rPr>
      <w:instrText xml:space="preserve"> DOCPROPERTY "UtkastDatum"</w:instrText>
    </w:r>
    <w:r w:rsidRPr="00F517E2">
      <w:rPr>
        <w:rStyle w:val="SidhuvudUtskott"/>
      </w:rPr>
      <w:fldChar w:fldCharType="separate"/>
    </w:r>
    <w:r w:rsidRPr="00F517E2">
      <w:rPr>
        <w:rStyle w:val="SidhuvudUtskott"/>
      </w:rPr>
      <w:instrText>Nej</w:instrText>
    </w:r>
    <w:r w:rsidRPr="00F517E2">
      <w:rPr>
        <w:rStyle w:val="SidhuvudUtskott"/>
      </w:rPr>
      <w:fldChar w:fldCharType="end"/>
    </w:r>
    <w:r w:rsidRPr="00F517E2">
      <w:rPr>
        <w:rStyle w:val="SidhuvudUtskott"/>
      </w:rPr>
      <w:instrText xml:space="preserve"> = "Ja" "</w:instrText>
    </w:r>
    <w:r w:rsidRPr="00F517E2">
      <w:rPr>
        <w:rStyle w:val="SidhuvudUtskott"/>
      </w:rPr>
      <w:fldChar w:fldCharType="begin" w:fldLock="1"/>
    </w:r>
    <w:r w:rsidRPr="00F517E2">
      <w:rPr>
        <w:rStyle w:val="SidhuvudUtskott"/>
      </w:rPr>
      <w:instrText xml:space="preserve"> PRINTDATE \@ "yyyy-MM-dd HH.mm    " </w:instrText>
    </w:r>
    <w:r w:rsidRPr="00F517E2">
      <w:rPr>
        <w:rStyle w:val="SidhuvudUtskott"/>
      </w:rPr>
      <w:fldChar w:fldCharType="separate"/>
    </w:r>
    <w:r w:rsidRPr="00F517E2">
      <w:rPr>
        <w:rStyle w:val="SidhuvudUtskott"/>
      </w:rPr>
      <w:instrText>2000-08-11 16.42</w:instrText>
    </w:r>
    <w:r w:rsidRPr="00F517E2">
      <w:rPr>
        <w:rStyle w:val="SidhuvudUtskott"/>
      </w:rPr>
      <w:fldChar w:fldCharType="end"/>
    </w:r>
    <w:r w:rsidRPr="00F517E2">
      <w:rPr>
        <w:rStyle w:val="SidhuvudUtskott"/>
      </w:rPr>
      <w:instrText xml:space="preserve">" </w:instrText>
    </w:r>
    <w:r w:rsidRPr="00F517E2">
      <w:rPr>
        <w:rStyle w:val="SidhuvudUtskott"/>
      </w:rPr>
      <w:fldChar w:fldCharType="end"/>
    </w:r>
    <w:r w:rsidRPr="00F517E2">
      <w:rPr>
        <w:rStyle w:val="SidhuvudUtskott"/>
      </w:rPr>
      <w:fldChar w:fldCharType="begin" w:fldLock="1"/>
    </w:r>
    <w:r w:rsidRPr="00F517E2">
      <w:rPr>
        <w:rStyle w:val="SidhuvudUtskott"/>
      </w:rPr>
      <w:instrText xml:space="preserve"> DOCPR</w:instrText>
    </w:r>
    <w:r w:rsidRPr="00F517E2">
      <w:rPr>
        <w:rStyle w:val="SidhuvudUtskott"/>
      </w:rPr>
      <w:instrText>O</w:instrText>
    </w:r>
    <w:r w:rsidRPr="00F517E2">
      <w:rPr>
        <w:rStyle w:val="SidhuvudUtskott"/>
      </w:rPr>
      <w:instrText>PERTY Status</w:instrText>
    </w:r>
    <w:r w:rsidRPr="00F517E2">
      <w:rPr>
        <w:rStyle w:val="SidhuvudUtskott"/>
      </w:rPr>
      <w:fldChar w:fldCharType="separate"/>
    </w:r>
    <w:r w:rsidRPr="00F517E2">
      <w:rPr>
        <w:rStyle w:val="SidhuvudUtskott"/>
      </w:rPr>
      <w:instrText>Utkast 2</w:instrText>
    </w:r>
    <w:r w:rsidRPr="00F517E2">
      <w:rPr>
        <w:rStyle w:val="SidhuvudUtskott"/>
      </w:rPr>
      <w:fldChar w:fldCharType="end"/>
    </w:r>
    <w:r w:rsidRPr="00F517E2">
      <w:instrText>"</w:instrText>
    </w:r>
    <w:r w:rsidRPr="00F517E2">
      <w:fldChar w:fldCharType="separate"/>
    </w:r>
    <w:r w:rsidR="00C42A74" w:rsidRPr="00F517E2">
      <w:rPr>
        <w:rStyle w:val="SidhuvudUtskott"/>
      </w:rPr>
      <w:instrText>2010/11:RS1</w:instrText>
    </w:r>
    <w:r w:rsidR="00C42A74" w:rsidRPr="00F517E2">
      <w:instrText xml:space="preserve">    </w:instrText>
    </w:r>
  </w:p>
  <w:p w:rsidR="00C42A74" w:rsidRPr="00F517E2" w:rsidRDefault="00C42A74" w:rsidP="003D372D">
    <w:pPr>
      <w:pStyle w:val="SidhuvudKantJmn"/>
      <w:framePr w:w="8731" w:h="567" w:hRule="exact" w:vSpace="0" w:wrap="around" w:vAnchor="page" w:y="341" w:anchorLock="0"/>
    </w:pPr>
  </w:p>
  <w:p w:rsidR="00C42A74" w:rsidRPr="00F517E2" w:rsidRDefault="00C42A74" w:rsidP="003D372D">
    <w:pPr>
      <w:pStyle w:val="SidhuvudKantJmn"/>
      <w:framePr w:w="8731" w:h="567" w:hRule="exact" w:vSpace="0" w:wrap="around" w:vAnchor="page" w:y="341" w:anchorLock="0"/>
    </w:pPr>
    <w:r w:rsidRPr="00F517E2">
      <w:rPr>
        <w:rStyle w:val="SidhuvudRubrikReferens"/>
        <w:smallCaps w:val="0"/>
        <w:spacing w:val="0"/>
        <w:sz w:val="19"/>
      </w:rPr>
      <w:instrText xml:space="preserve"> </w:instrText>
    </w:r>
    <w:r w:rsidR="006E264D" w:rsidRPr="00F517E2">
      <w:fldChar w:fldCharType="end"/>
    </w:r>
    <w:r w:rsidR="006E264D" w:rsidRPr="00F517E2">
      <w:instrText>" " "</w:instrText>
    </w:r>
    <w:r w:rsidR="006E264D" w:rsidRPr="00F517E2">
      <w:fldChar w:fldCharType="separate"/>
    </w:r>
    <w:r w:rsidRPr="00F517E2">
      <w:rPr>
        <w:rStyle w:val="SidhuvudUtskott"/>
      </w:rPr>
      <w:t>2010/11:RS1</w:t>
    </w:r>
    <w:r w:rsidRPr="00F517E2">
      <w:t xml:space="preserve">    </w:t>
    </w:r>
  </w:p>
  <w:p w:rsidR="00C42A74" w:rsidRPr="00F517E2" w:rsidRDefault="00C42A74" w:rsidP="003D372D">
    <w:pPr>
      <w:pStyle w:val="SidhuvudKantJmn"/>
      <w:framePr w:w="8731" w:h="567" w:hRule="exact" w:vSpace="0" w:wrap="around" w:vAnchor="page" w:y="341" w:anchorLock="0"/>
    </w:pPr>
  </w:p>
  <w:p w:rsidR="006E264D" w:rsidRPr="00F517E2" w:rsidRDefault="00C42A74" w:rsidP="003D372D">
    <w:pPr>
      <w:pStyle w:val="SidhuvudKantUdda"/>
      <w:framePr w:w="8731" w:h="567" w:hRule="exact" w:vSpace="0" w:wrap="around" w:vAnchor="page" w:y="341" w:anchorLock="0"/>
    </w:pPr>
    <w:r w:rsidRPr="00F517E2">
      <w:rPr>
        <w:rStyle w:val="SidhuvudRubrikReferens"/>
        <w:smallCaps w:val="0"/>
        <w:spacing w:val="0"/>
        <w:sz w:val="19"/>
      </w:rPr>
      <w:t xml:space="preserve"> </w:t>
    </w:r>
    <w:r w:rsidR="006E264D" w:rsidRPr="00F517E2">
      <w:fldChar w:fldCharType="end"/>
    </w:r>
  </w:p>
  <w:p w:rsidR="006E264D" w:rsidRPr="00F517E2" w:rsidRDefault="006E264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1" w15:restartNumberingAfterBreak="0">
    <w:nsid w:val="051809EB"/>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C816572"/>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0EFE54F3"/>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12FC0610"/>
    <w:multiLevelType w:val="multilevel"/>
    <w:tmpl w:val="0204C65A"/>
    <w:lvl w:ilvl="0">
      <w:start w:val="1"/>
      <w:numFmt w:val="decimal"/>
      <w:pStyle w:val="Rubrik1"/>
      <w:lvlText w:val="%1"/>
      <w:lvlJc w:val="left"/>
      <w:pPr>
        <w:tabs>
          <w:tab w:val="num" w:pos="454"/>
        </w:tabs>
        <w:ind w:left="0" w:firstLine="0"/>
      </w:pPr>
      <w:rPr>
        <w:rFonts w:hint="default"/>
      </w:rPr>
    </w:lvl>
    <w:lvl w:ilvl="1">
      <w:start w:val="1"/>
      <w:numFmt w:val="decimal"/>
      <w:pStyle w:val="Rubrik2"/>
      <w:lvlText w:val="%1.%2"/>
      <w:lvlJc w:val="left"/>
      <w:pPr>
        <w:tabs>
          <w:tab w:val="num" w:pos="737"/>
        </w:tabs>
        <w:ind w:left="0" w:firstLine="0"/>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2606739C"/>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26EA15F3"/>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15:restartNumberingAfterBreak="0">
    <w:nsid w:val="2B7C65C8"/>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363A0E34"/>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476C45C6"/>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4DB1466B"/>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56ED79B4"/>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65C034A0"/>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68501E76"/>
    <w:multiLevelType w:val="multilevel"/>
    <w:tmpl w:val="98EAD3EA"/>
    <w:lvl w:ilvl="0">
      <w:start w:val="1"/>
      <w:numFmt w:val="decimal"/>
      <w:lvlText w:val="%1"/>
      <w:lvlJc w:val="left"/>
      <w:pPr>
        <w:tabs>
          <w:tab w:val="num" w:pos="360"/>
        </w:tabs>
        <w:ind w:left="360" w:hanging="360"/>
      </w:pPr>
      <w:rPr>
        <w:rFonts w:hint="default"/>
        <w:sz w:val="36"/>
        <w:szCs w:val="36"/>
      </w:rPr>
    </w:lvl>
    <w:lvl w:ilvl="1">
      <w:start w:val="1"/>
      <w:numFmt w:val="decimal"/>
      <w:lvlText w:val="%1.%2"/>
      <w:lvlJc w:val="left"/>
      <w:pPr>
        <w:tabs>
          <w:tab w:val="num" w:pos="737"/>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B119E5"/>
    <w:multiLevelType w:val="multilevel"/>
    <w:tmpl w:val="0204C65A"/>
    <w:lvl w:ilvl="0">
      <w:start w:val="1"/>
      <w:numFmt w:val="decimal"/>
      <w:lvlText w:val="%1"/>
      <w:lvlJc w:val="left"/>
      <w:pPr>
        <w:tabs>
          <w:tab w:val="num" w:pos="454"/>
        </w:tabs>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36758240">
    <w:abstractNumId w:val="6"/>
  </w:num>
  <w:num w:numId="2" w16cid:durableId="1437553126">
    <w:abstractNumId w:val="14"/>
  </w:num>
  <w:num w:numId="3" w16cid:durableId="534974175">
    <w:abstractNumId w:val="2"/>
  </w:num>
  <w:num w:numId="4" w16cid:durableId="706951823">
    <w:abstractNumId w:val="18"/>
  </w:num>
  <w:num w:numId="5" w16cid:durableId="833493700">
    <w:abstractNumId w:val="16"/>
  </w:num>
  <w:num w:numId="6" w16cid:durableId="274679709">
    <w:abstractNumId w:val="5"/>
  </w:num>
  <w:num w:numId="7" w16cid:durableId="482696436">
    <w:abstractNumId w:val="17"/>
  </w:num>
  <w:num w:numId="8" w16cid:durableId="1059017306">
    <w:abstractNumId w:val="1"/>
  </w:num>
  <w:num w:numId="9" w16cid:durableId="409279204">
    <w:abstractNumId w:val="3"/>
  </w:num>
  <w:num w:numId="10" w16cid:durableId="1672371196">
    <w:abstractNumId w:val="13"/>
  </w:num>
  <w:num w:numId="11" w16cid:durableId="457263077">
    <w:abstractNumId w:val="10"/>
  </w:num>
  <w:num w:numId="12" w16cid:durableId="1637562743">
    <w:abstractNumId w:val="15"/>
  </w:num>
  <w:num w:numId="13" w16cid:durableId="985356225">
    <w:abstractNumId w:val="8"/>
  </w:num>
  <w:num w:numId="14" w16cid:durableId="1469710403">
    <w:abstractNumId w:val="4"/>
  </w:num>
  <w:num w:numId="15" w16cid:durableId="743450683">
    <w:abstractNumId w:val="7"/>
  </w:num>
  <w:num w:numId="16" w16cid:durableId="305857819">
    <w:abstractNumId w:val="9"/>
  </w:num>
  <w:num w:numId="17" w16cid:durableId="522671564">
    <w:abstractNumId w:val="11"/>
  </w:num>
  <w:num w:numId="18" w16cid:durableId="1061371980">
    <w:abstractNumId w:val="12"/>
  </w:num>
  <w:num w:numId="19" w16cid:durableId="166994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DC2BF1"/>
    <w:rsid w:val="0000614E"/>
    <w:rsid w:val="00010A1D"/>
    <w:rsid w:val="00012FBB"/>
    <w:rsid w:val="00014508"/>
    <w:rsid w:val="00017536"/>
    <w:rsid w:val="0002124B"/>
    <w:rsid w:val="000261DC"/>
    <w:rsid w:val="00033D3B"/>
    <w:rsid w:val="0004410A"/>
    <w:rsid w:val="00046973"/>
    <w:rsid w:val="00046D41"/>
    <w:rsid w:val="00050755"/>
    <w:rsid w:val="00051BAF"/>
    <w:rsid w:val="00061B02"/>
    <w:rsid w:val="00062629"/>
    <w:rsid w:val="0007595D"/>
    <w:rsid w:val="00091B5C"/>
    <w:rsid w:val="000922DB"/>
    <w:rsid w:val="00094882"/>
    <w:rsid w:val="0009708F"/>
    <w:rsid w:val="000A176B"/>
    <w:rsid w:val="000A1EC6"/>
    <w:rsid w:val="000A34AF"/>
    <w:rsid w:val="000A52E2"/>
    <w:rsid w:val="000B21CE"/>
    <w:rsid w:val="000B5868"/>
    <w:rsid w:val="000C31DB"/>
    <w:rsid w:val="000C3B5B"/>
    <w:rsid w:val="000E00ED"/>
    <w:rsid w:val="001009BD"/>
    <w:rsid w:val="001060D2"/>
    <w:rsid w:val="00106CD7"/>
    <w:rsid w:val="00111F66"/>
    <w:rsid w:val="001214AA"/>
    <w:rsid w:val="00130401"/>
    <w:rsid w:val="001450B5"/>
    <w:rsid w:val="001472CB"/>
    <w:rsid w:val="0015104A"/>
    <w:rsid w:val="00153871"/>
    <w:rsid w:val="00153E0B"/>
    <w:rsid w:val="001548BD"/>
    <w:rsid w:val="00155290"/>
    <w:rsid w:val="00165037"/>
    <w:rsid w:val="00165850"/>
    <w:rsid w:val="00165FCC"/>
    <w:rsid w:val="001748E6"/>
    <w:rsid w:val="0017650E"/>
    <w:rsid w:val="001874BA"/>
    <w:rsid w:val="00194C82"/>
    <w:rsid w:val="0019523D"/>
    <w:rsid w:val="001A2589"/>
    <w:rsid w:val="001A290A"/>
    <w:rsid w:val="001A3FD6"/>
    <w:rsid w:val="001C29F7"/>
    <w:rsid w:val="001E4204"/>
    <w:rsid w:val="001E4B4A"/>
    <w:rsid w:val="001E6A03"/>
    <w:rsid w:val="001F0B5E"/>
    <w:rsid w:val="001F0D65"/>
    <w:rsid w:val="001F62F1"/>
    <w:rsid w:val="001F6A59"/>
    <w:rsid w:val="001F6F7C"/>
    <w:rsid w:val="002063A8"/>
    <w:rsid w:val="0021643B"/>
    <w:rsid w:val="00220084"/>
    <w:rsid w:val="0022061A"/>
    <w:rsid w:val="002218F4"/>
    <w:rsid w:val="002232C0"/>
    <w:rsid w:val="0022468D"/>
    <w:rsid w:val="00226E41"/>
    <w:rsid w:val="002313EA"/>
    <w:rsid w:val="00236898"/>
    <w:rsid w:val="002408A9"/>
    <w:rsid w:val="002524F9"/>
    <w:rsid w:val="002542C5"/>
    <w:rsid w:val="00254DC0"/>
    <w:rsid w:val="002568A4"/>
    <w:rsid w:val="002569E5"/>
    <w:rsid w:val="0026256C"/>
    <w:rsid w:val="002751F3"/>
    <w:rsid w:val="00296784"/>
    <w:rsid w:val="002A060D"/>
    <w:rsid w:val="002A3C9B"/>
    <w:rsid w:val="002A4A02"/>
    <w:rsid w:val="002A4EDA"/>
    <w:rsid w:val="002A618C"/>
    <w:rsid w:val="002B5CD0"/>
    <w:rsid w:val="002B660E"/>
    <w:rsid w:val="002C3CA6"/>
    <w:rsid w:val="002D06BD"/>
    <w:rsid w:val="002D2334"/>
    <w:rsid w:val="002E1966"/>
    <w:rsid w:val="002E6617"/>
    <w:rsid w:val="002E66A8"/>
    <w:rsid w:val="002E75D3"/>
    <w:rsid w:val="003062E5"/>
    <w:rsid w:val="003123C5"/>
    <w:rsid w:val="00312CCE"/>
    <w:rsid w:val="00316B03"/>
    <w:rsid w:val="00323F0C"/>
    <w:rsid w:val="00337FD7"/>
    <w:rsid w:val="00341B16"/>
    <w:rsid w:val="00351D31"/>
    <w:rsid w:val="00357A8D"/>
    <w:rsid w:val="0037111A"/>
    <w:rsid w:val="00375B5A"/>
    <w:rsid w:val="003837B4"/>
    <w:rsid w:val="003877B3"/>
    <w:rsid w:val="00387909"/>
    <w:rsid w:val="00387EC7"/>
    <w:rsid w:val="00392416"/>
    <w:rsid w:val="003969ED"/>
    <w:rsid w:val="00397BF1"/>
    <w:rsid w:val="003A03E0"/>
    <w:rsid w:val="003A0D1C"/>
    <w:rsid w:val="003A27BD"/>
    <w:rsid w:val="003A7B2C"/>
    <w:rsid w:val="003B22D5"/>
    <w:rsid w:val="003C2EBD"/>
    <w:rsid w:val="003C555D"/>
    <w:rsid w:val="003C620A"/>
    <w:rsid w:val="003D2E95"/>
    <w:rsid w:val="003D372D"/>
    <w:rsid w:val="003E0610"/>
    <w:rsid w:val="003F1C5C"/>
    <w:rsid w:val="004004B1"/>
    <w:rsid w:val="004069F0"/>
    <w:rsid w:val="00410775"/>
    <w:rsid w:val="00420249"/>
    <w:rsid w:val="00421AB6"/>
    <w:rsid w:val="00423C0B"/>
    <w:rsid w:val="004304C0"/>
    <w:rsid w:val="00432388"/>
    <w:rsid w:val="00440806"/>
    <w:rsid w:val="004411DE"/>
    <w:rsid w:val="00445468"/>
    <w:rsid w:val="0044630D"/>
    <w:rsid w:val="00471F20"/>
    <w:rsid w:val="0048764C"/>
    <w:rsid w:val="004A2C8C"/>
    <w:rsid w:val="004A7ECE"/>
    <w:rsid w:val="004B42D0"/>
    <w:rsid w:val="004B4474"/>
    <w:rsid w:val="004B6F91"/>
    <w:rsid w:val="004C0845"/>
    <w:rsid w:val="004C33D7"/>
    <w:rsid w:val="004D4953"/>
    <w:rsid w:val="004E2DED"/>
    <w:rsid w:val="004F3B08"/>
    <w:rsid w:val="005035C0"/>
    <w:rsid w:val="005060C8"/>
    <w:rsid w:val="00516C26"/>
    <w:rsid w:val="00526D91"/>
    <w:rsid w:val="005308E4"/>
    <w:rsid w:val="00536734"/>
    <w:rsid w:val="00536D23"/>
    <w:rsid w:val="00550B62"/>
    <w:rsid w:val="00553366"/>
    <w:rsid w:val="005542E9"/>
    <w:rsid w:val="00560F2A"/>
    <w:rsid w:val="00573A5C"/>
    <w:rsid w:val="0058273F"/>
    <w:rsid w:val="0059661D"/>
    <w:rsid w:val="005A28C2"/>
    <w:rsid w:val="005A47D7"/>
    <w:rsid w:val="005A556A"/>
    <w:rsid w:val="005A7CE1"/>
    <w:rsid w:val="005B0D7D"/>
    <w:rsid w:val="005B3570"/>
    <w:rsid w:val="005B46F8"/>
    <w:rsid w:val="005C74F2"/>
    <w:rsid w:val="005E7781"/>
    <w:rsid w:val="005F39BA"/>
    <w:rsid w:val="00602795"/>
    <w:rsid w:val="00602816"/>
    <w:rsid w:val="006030D7"/>
    <w:rsid w:val="00604A54"/>
    <w:rsid w:val="0061752E"/>
    <w:rsid w:val="006225D2"/>
    <w:rsid w:val="00626475"/>
    <w:rsid w:val="00630F3D"/>
    <w:rsid w:val="00646AA7"/>
    <w:rsid w:val="00655391"/>
    <w:rsid w:val="00660EBC"/>
    <w:rsid w:val="006618DE"/>
    <w:rsid w:val="00680C8F"/>
    <w:rsid w:val="006942A3"/>
    <w:rsid w:val="006953BD"/>
    <w:rsid w:val="006A1B29"/>
    <w:rsid w:val="006A3F5E"/>
    <w:rsid w:val="006B1E79"/>
    <w:rsid w:val="006B572B"/>
    <w:rsid w:val="006C15BE"/>
    <w:rsid w:val="006C16FE"/>
    <w:rsid w:val="006C1D51"/>
    <w:rsid w:val="006C21FA"/>
    <w:rsid w:val="006C71BB"/>
    <w:rsid w:val="006D05AB"/>
    <w:rsid w:val="006D7F31"/>
    <w:rsid w:val="006E05B4"/>
    <w:rsid w:val="006E264D"/>
    <w:rsid w:val="006E5C3D"/>
    <w:rsid w:val="006F382A"/>
    <w:rsid w:val="006F59D2"/>
    <w:rsid w:val="007061BC"/>
    <w:rsid w:val="00717E71"/>
    <w:rsid w:val="00720F2D"/>
    <w:rsid w:val="00726B97"/>
    <w:rsid w:val="00726CB7"/>
    <w:rsid w:val="00734855"/>
    <w:rsid w:val="0074349C"/>
    <w:rsid w:val="00743FD1"/>
    <w:rsid w:val="00745888"/>
    <w:rsid w:val="00750275"/>
    <w:rsid w:val="00752BD8"/>
    <w:rsid w:val="00752F6F"/>
    <w:rsid w:val="007532DD"/>
    <w:rsid w:val="00777B5F"/>
    <w:rsid w:val="007847E2"/>
    <w:rsid w:val="00792794"/>
    <w:rsid w:val="00797194"/>
    <w:rsid w:val="007A056D"/>
    <w:rsid w:val="007A1EDB"/>
    <w:rsid w:val="007B32C6"/>
    <w:rsid w:val="007B60F6"/>
    <w:rsid w:val="007C373A"/>
    <w:rsid w:val="007C3B3B"/>
    <w:rsid w:val="007C3F1E"/>
    <w:rsid w:val="007D1B39"/>
    <w:rsid w:val="007D287B"/>
    <w:rsid w:val="007E1352"/>
    <w:rsid w:val="007F3B7B"/>
    <w:rsid w:val="00801CFF"/>
    <w:rsid w:val="00804E50"/>
    <w:rsid w:val="00812436"/>
    <w:rsid w:val="00825CD1"/>
    <w:rsid w:val="00830A8F"/>
    <w:rsid w:val="00833B71"/>
    <w:rsid w:val="008411EE"/>
    <w:rsid w:val="008443EB"/>
    <w:rsid w:val="00847393"/>
    <w:rsid w:val="008517E9"/>
    <w:rsid w:val="00863448"/>
    <w:rsid w:val="00864AA3"/>
    <w:rsid w:val="008708BA"/>
    <w:rsid w:val="00872974"/>
    <w:rsid w:val="00885BDD"/>
    <w:rsid w:val="00887808"/>
    <w:rsid w:val="008903D8"/>
    <w:rsid w:val="00894261"/>
    <w:rsid w:val="00895617"/>
    <w:rsid w:val="008A1541"/>
    <w:rsid w:val="008A2C14"/>
    <w:rsid w:val="008A4670"/>
    <w:rsid w:val="008A51CD"/>
    <w:rsid w:val="008B0565"/>
    <w:rsid w:val="008B3EB1"/>
    <w:rsid w:val="008D444B"/>
    <w:rsid w:val="008F04B5"/>
    <w:rsid w:val="008F2731"/>
    <w:rsid w:val="0091078B"/>
    <w:rsid w:val="009136B8"/>
    <w:rsid w:val="00915BF5"/>
    <w:rsid w:val="00924752"/>
    <w:rsid w:val="009257D3"/>
    <w:rsid w:val="00930447"/>
    <w:rsid w:val="00937403"/>
    <w:rsid w:val="00941866"/>
    <w:rsid w:val="009428CA"/>
    <w:rsid w:val="0094396C"/>
    <w:rsid w:val="009525AD"/>
    <w:rsid w:val="00964DD5"/>
    <w:rsid w:val="00965298"/>
    <w:rsid w:val="0096589F"/>
    <w:rsid w:val="00971EF6"/>
    <w:rsid w:val="00973205"/>
    <w:rsid w:val="009757BC"/>
    <w:rsid w:val="00984776"/>
    <w:rsid w:val="0098787A"/>
    <w:rsid w:val="009924E0"/>
    <w:rsid w:val="0099409E"/>
    <w:rsid w:val="009960A6"/>
    <w:rsid w:val="009A2985"/>
    <w:rsid w:val="009A7B3E"/>
    <w:rsid w:val="009B1A3E"/>
    <w:rsid w:val="009C0355"/>
    <w:rsid w:val="009C0F02"/>
    <w:rsid w:val="009C38B1"/>
    <w:rsid w:val="009D11CE"/>
    <w:rsid w:val="009D1DDF"/>
    <w:rsid w:val="009E1421"/>
    <w:rsid w:val="009E7427"/>
    <w:rsid w:val="009F114B"/>
    <w:rsid w:val="009F6293"/>
    <w:rsid w:val="009F742F"/>
    <w:rsid w:val="00A01173"/>
    <w:rsid w:val="00A03EBE"/>
    <w:rsid w:val="00A11F69"/>
    <w:rsid w:val="00A15806"/>
    <w:rsid w:val="00A16BD4"/>
    <w:rsid w:val="00A239D5"/>
    <w:rsid w:val="00A25351"/>
    <w:rsid w:val="00A406A6"/>
    <w:rsid w:val="00A41D4A"/>
    <w:rsid w:val="00A461D9"/>
    <w:rsid w:val="00A50E30"/>
    <w:rsid w:val="00A66BC7"/>
    <w:rsid w:val="00A75691"/>
    <w:rsid w:val="00A803BB"/>
    <w:rsid w:val="00A8259C"/>
    <w:rsid w:val="00A960CD"/>
    <w:rsid w:val="00AA1560"/>
    <w:rsid w:val="00AA38EE"/>
    <w:rsid w:val="00AA3EEE"/>
    <w:rsid w:val="00AA633E"/>
    <w:rsid w:val="00AB23AF"/>
    <w:rsid w:val="00AB27F1"/>
    <w:rsid w:val="00AB5455"/>
    <w:rsid w:val="00AB68BC"/>
    <w:rsid w:val="00AC140A"/>
    <w:rsid w:val="00AE4ADC"/>
    <w:rsid w:val="00AF2736"/>
    <w:rsid w:val="00AF2FAE"/>
    <w:rsid w:val="00AF5BFE"/>
    <w:rsid w:val="00AF7C37"/>
    <w:rsid w:val="00B10664"/>
    <w:rsid w:val="00B171B3"/>
    <w:rsid w:val="00B20420"/>
    <w:rsid w:val="00B31DE0"/>
    <w:rsid w:val="00B446A1"/>
    <w:rsid w:val="00B45A41"/>
    <w:rsid w:val="00B768C1"/>
    <w:rsid w:val="00B96116"/>
    <w:rsid w:val="00BA2B26"/>
    <w:rsid w:val="00BA3A98"/>
    <w:rsid w:val="00BB2316"/>
    <w:rsid w:val="00BC035B"/>
    <w:rsid w:val="00BC12CB"/>
    <w:rsid w:val="00BC45CB"/>
    <w:rsid w:val="00BD6226"/>
    <w:rsid w:val="00BE0929"/>
    <w:rsid w:val="00BE40C7"/>
    <w:rsid w:val="00BE6BC5"/>
    <w:rsid w:val="00BF1798"/>
    <w:rsid w:val="00BF1B58"/>
    <w:rsid w:val="00C06178"/>
    <w:rsid w:val="00C071FF"/>
    <w:rsid w:val="00C10A33"/>
    <w:rsid w:val="00C147DF"/>
    <w:rsid w:val="00C1661A"/>
    <w:rsid w:val="00C16FAE"/>
    <w:rsid w:val="00C2449E"/>
    <w:rsid w:val="00C30004"/>
    <w:rsid w:val="00C30F99"/>
    <w:rsid w:val="00C32D60"/>
    <w:rsid w:val="00C330A1"/>
    <w:rsid w:val="00C34212"/>
    <w:rsid w:val="00C3430E"/>
    <w:rsid w:val="00C35AFD"/>
    <w:rsid w:val="00C3618A"/>
    <w:rsid w:val="00C42A74"/>
    <w:rsid w:val="00C42E4D"/>
    <w:rsid w:val="00C503D7"/>
    <w:rsid w:val="00C52177"/>
    <w:rsid w:val="00C61EB3"/>
    <w:rsid w:val="00C65198"/>
    <w:rsid w:val="00C70A89"/>
    <w:rsid w:val="00C74B1E"/>
    <w:rsid w:val="00C81779"/>
    <w:rsid w:val="00C909C6"/>
    <w:rsid w:val="00CA0175"/>
    <w:rsid w:val="00CA799C"/>
    <w:rsid w:val="00CB47E2"/>
    <w:rsid w:val="00CC0D37"/>
    <w:rsid w:val="00CD1F01"/>
    <w:rsid w:val="00CD2A09"/>
    <w:rsid w:val="00CD5C4A"/>
    <w:rsid w:val="00CD6CAF"/>
    <w:rsid w:val="00CE25B7"/>
    <w:rsid w:val="00CE5A3B"/>
    <w:rsid w:val="00CE6033"/>
    <w:rsid w:val="00D01A16"/>
    <w:rsid w:val="00D13172"/>
    <w:rsid w:val="00D1503A"/>
    <w:rsid w:val="00D168D2"/>
    <w:rsid w:val="00D16DE2"/>
    <w:rsid w:val="00D20D51"/>
    <w:rsid w:val="00D210E6"/>
    <w:rsid w:val="00D2133D"/>
    <w:rsid w:val="00D219F0"/>
    <w:rsid w:val="00D30D00"/>
    <w:rsid w:val="00D32E0B"/>
    <w:rsid w:val="00D33699"/>
    <w:rsid w:val="00D41473"/>
    <w:rsid w:val="00D50463"/>
    <w:rsid w:val="00D52730"/>
    <w:rsid w:val="00D53423"/>
    <w:rsid w:val="00D542FD"/>
    <w:rsid w:val="00D6036C"/>
    <w:rsid w:val="00D61307"/>
    <w:rsid w:val="00D65622"/>
    <w:rsid w:val="00D74B6A"/>
    <w:rsid w:val="00D768FD"/>
    <w:rsid w:val="00D7794C"/>
    <w:rsid w:val="00D844B2"/>
    <w:rsid w:val="00D84EF4"/>
    <w:rsid w:val="00D85C14"/>
    <w:rsid w:val="00D85E8B"/>
    <w:rsid w:val="00D867E9"/>
    <w:rsid w:val="00D911B6"/>
    <w:rsid w:val="00D91949"/>
    <w:rsid w:val="00D933A5"/>
    <w:rsid w:val="00DA5190"/>
    <w:rsid w:val="00DB0257"/>
    <w:rsid w:val="00DB41C7"/>
    <w:rsid w:val="00DC0EB1"/>
    <w:rsid w:val="00DC2BF1"/>
    <w:rsid w:val="00DC3E3A"/>
    <w:rsid w:val="00DD785D"/>
    <w:rsid w:val="00DE686C"/>
    <w:rsid w:val="00DE707F"/>
    <w:rsid w:val="00DF7DF0"/>
    <w:rsid w:val="00E12A62"/>
    <w:rsid w:val="00E1775F"/>
    <w:rsid w:val="00E2049C"/>
    <w:rsid w:val="00E222B6"/>
    <w:rsid w:val="00E23F65"/>
    <w:rsid w:val="00E35F85"/>
    <w:rsid w:val="00E3744A"/>
    <w:rsid w:val="00E408F0"/>
    <w:rsid w:val="00E42E35"/>
    <w:rsid w:val="00E446FF"/>
    <w:rsid w:val="00E510B6"/>
    <w:rsid w:val="00E55411"/>
    <w:rsid w:val="00E64249"/>
    <w:rsid w:val="00E675F0"/>
    <w:rsid w:val="00E71F12"/>
    <w:rsid w:val="00E72620"/>
    <w:rsid w:val="00E76025"/>
    <w:rsid w:val="00E7633A"/>
    <w:rsid w:val="00EA0BD1"/>
    <w:rsid w:val="00EA1C7C"/>
    <w:rsid w:val="00EA2DA6"/>
    <w:rsid w:val="00EA35D2"/>
    <w:rsid w:val="00EB1CF2"/>
    <w:rsid w:val="00EB3C77"/>
    <w:rsid w:val="00EB4D7C"/>
    <w:rsid w:val="00EB558E"/>
    <w:rsid w:val="00EB65AB"/>
    <w:rsid w:val="00EC24B9"/>
    <w:rsid w:val="00ED10CF"/>
    <w:rsid w:val="00ED6091"/>
    <w:rsid w:val="00EE1037"/>
    <w:rsid w:val="00EE17D2"/>
    <w:rsid w:val="00EE319A"/>
    <w:rsid w:val="00EE4E6E"/>
    <w:rsid w:val="00EF1495"/>
    <w:rsid w:val="00EF3C74"/>
    <w:rsid w:val="00F00DF5"/>
    <w:rsid w:val="00F01B07"/>
    <w:rsid w:val="00F0467D"/>
    <w:rsid w:val="00F072E4"/>
    <w:rsid w:val="00F16ADD"/>
    <w:rsid w:val="00F2297A"/>
    <w:rsid w:val="00F241A8"/>
    <w:rsid w:val="00F27038"/>
    <w:rsid w:val="00F32D98"/>
    <w:rsid w:val="00F3485C"/>
    <w:rsid w:val="00F40437"/>
    <w:rsid w:val="00F517E2"/>
    <w:rsid w:val="00F53571"/>
    <w:rsid w:val="00F56B15"/>
    <w:rsid w:val="00F635CF"/>
    <w:rsid w:val="00F66501"/>
    <w:rsid w:val="00F7483C"/>
    <w:rsid w:val="00F76F99"/>
    <w:rsid w:val="00F83E62"/>
    <w:rsid w:val="00F872A4"/>
    <w:rsid w:val="00F906DA"/>
    <w:rsid w:val="00FA1EC2"/>
    <w:rsid w:val="00FA3DB6"/>
    <w:rsid w:val="00FA4462"/>
    <w:rsid w:val="00FA5A84"/>
    <w:rsid w:val="00FB45A1"/>
    <w:rsid w:val="00FB5AC3"/>
    <w:rsid w:val="00FC14BA"/>
    <w:rsid w:val="00FC1783"/>
    <w:rsid w:val="00FC3749"/>
    <w:rsid w:val="00FD1DDF"/>
    <w:rsid w:val="00FD4A08"/>
    <w:rsid w:val="00FD6CCE"/>
    <w:rsid w:val="00FF1EB9"/>
    <w:rsid w:val="00FF4B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64731E3-49BE-49E5-9817-2B022761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numPr>
        <w:numId w:val="6"/>
      </w:numPr>
      <w:suppressAutoHyphens/>
      <w:spacing w:before="0" w:after="555" w:line="240" w:lineRule="auto"/>
      <w:jc w:val="left"/>
      <w:outlineLvl w:val="0"/>
    </w:pPr>
    <w:rPr>
      <w:noProof/>
      <w:sz w:val="32"/>
    </w:rPr>
  </w:style>
  <w:style w:type="paragraph" w:styleId="Rubrik2">
    <w:name w:val="heading 2"/>
    <w:basedOn w:val="Rubrik1"/>
    <w:next w:val="Normal"/>
    <w:qFormat/>
    <w:rsid w:val="004069F0"/>
    <w:pPr>
      <w:numPr>
        <w:ilvl w:val="1"/>
      </w:numPr>
      <w:spacing w:before="500" w:after="62"/>
      <w:outlineLvl w:val="1"/>
    </w:pPr>
    <w:rPr>
      <w:noProof w:val="0"/>
      <w:sz w:val="27"/>
    </w:rPr>
  </w:style>
  <w:style w:type="paragraph" w:styleId="Rubrik3">
    <w:name w:val="heading 3"/>
    <w:basedOn w:val="Rubrik1"/>
    <w:next w:val="Normal"/>
    <w:qFormat/>
    <w:rsid w:val="00BC45CB"/>
    <w:pPr>
      <w:numPr>
        <w:ilvl w:val="2"/>
      </w:numPr>
      <w:tabs>
        <w:tab w:val="clear" w:pos="0"/>
        <w:tab w:val="left" w:pos="737"/>
      </w:tabs>
      <w:spacing w:before="360" w:after="0" w:line="250" w:lineRule="exact"/>
      <w:outlineLvl w:val="2"/>
    </w:pPr>
    <w:rPr>
      <w:b/>
      <w:sz w:val="21"/>
    </w:rPr>
  </w:style>
  <w:style w:type="paragraph" w:styleId="Rubrik4">
    <w:name w:val="heading 4"/>
    <w:basedOn w:val="Rubrik3"/>
    <w:next w:val="Normal"/>
    <w:qFormat/>
    <w:pPr>
      <w:numPr>
        <w:ilvl w:val="3"/>
      </w:numPr>
      <w:spacing w:before="250"/>
      <w:outlineLvl w:val="3"/>
    </w:pPr>
    <w:rPr>
      <w:b w:val="0"/>
      <w:i/>
    </w:rPr>
  </w:style>
  <w:style w:type="paragraph" w:styleId="Rubrik5">
    <w:name w:val="heading 5"/>
    <w:basedOn w:val="Rubrik3"/>
    <w:next w:val="Normal"/>
    <w:qFormat/>
    <w:pPr>
      <w:numPr>
        <w:ilvl w:val="4"/>
      </w:numPr>
      <w:pBdr>
        <w:bottom w:val="single" w:sz="4" w:space="3" w:color="auto"/>
      </w:pBdr>
      <w:outlineLvl w:val="4"/>
    </w:pPr>
    <w:rPr>
      <w:b w:val="0"/>
      <w:sz w:val="19"/>
    </w:rPr>
  </w:style>
  <w:style w:type="paragraph" w:styleId="Rubrik6">
    <w:name w:val="heading 6"/>
    <w:basedOn w:val="Normal"/>
    <w:next w:val="Normal"/>
    <w:qFormat/>
    <w:pPr>
      <w:keepNext/>
      <w:numPr>
        <w:ilvl w:val="5"/>
        <w:numId w:val="6"/>
      </w:numPr>
      <w:spacing w:before="250" w:line="200" w:lineRule="atLeast"/>
      <w:jc w:val="left"/>
      <w:outlineLvl w:val="5"/>
    </w:pPr>
    <w:rPr>
      <w:sz w:val="16"/>
    </w:rPr>
  </w:style>
  <w:style w:type="paragraph" w:styleId="Rubrik7">
    <w:name w:val="heading 7"/>
    <w:basedOn w:val="Rubrik6"/>
    <w:next w:val="Normal"/>
    <w:qFormat/>
    <w:pPr>
      <w:numPr>
        <w:ilvl w:val="6"/>
      </w:numPr>
      <w:spacing w:line="240" w:lineRule="auto"/>
      <w:outlineLvl w:val="6"/>
    </w:pPr>
    <w:rPr>
      <w:sz w:val="14"/>
    </w:rPr>
  </w:style>
  <w:style w:type="paragraph" w:styleId="Rubrik8">
    <w:name w:val="heading 8"/>
    <w:basedOn w:val="Rubrik7"/>
    <w:next w:val="Normal"/>
    <w:qFormat/>
    <w:pPr>
      <w:numPr>
        <w:ilvl w:val="7"/>
      </w:numPr>
      <w:outlineLvl w:val="7"/>
    </w:pPr>
    <w:rPr>
      <w:i/>
    </w:rPr>
  </w:style>
  <w:style w:type="paragraph" w:styleId="Rubrik9">
    <w:name w:val="heading 9"/>
    <w:basedOn w:val="Normal"/>
    <w:next w:val="Normal"/>
    <w:qFormat/>
    <w:pPr>
      <w:numPr>
        <w:ilvl w:val="8"/>
        <w:numId w:val="6"/>
      </w:num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NormaltindragChar">
    <w:name w:val="Normalt indrag Char"/>
    <w:basedOn w:val="Standardstycketeckensnitt"/>
    <w:link w:val="Normaltindrag"/>
    <w:rsid w:val="0021643B"/>
    <w:rPr>
      <w:sz w:val="19"/>
      <w:lang w:val="sv-SE" w:eastAsia="sv-SE" w:bidi="ar-SA"/>
    </w:rPr>
  </w:style>
  <w:style w:type="character" w:customStyle="1" w:styleId="FotnotstextChar">
    <w:name w:val="Fotnotstext Char"/>
    <w:basedOn w:val="Standardstycketeckensnitt"/>
    <w:link w:val="Fotnotstext"/>
    <w:semiHidden/>
    <w:locked/>
    <w:rsid w:val="007C3F1E"/>
    <w:rPr>
      <w:sz w:val="17"/>
      <w:lang w:val="sv-SE" w:eastAsia="sv-SE" w:bidi="ar-SA"/>
    </w:rPr>
  </w:style>
  <w:style w:type="paragraph" w:styleId="Ballongtext">
    <w:name w:val="Balloon Text"/>
    <w:basedOn w:val="Normal"/>
    <w:semiHidden/>
    <w:rsid w:val="006A1B29"/>
    <w:rPr>
      <w:rFonts w:ascii="Tahoma" w:hAnsi="Tahoma" w:cs="Tahoma"/>
      <w:sz w:val="16"/>
      <w:szCs w:val="16"/>
    </w:rPr>
  </w:style>
  <w:style w:type="paragraph" w:styleId="Kommentarsmne">
    <w:name w:val="annotation subject"/>
    <w:basedOn w:val="Kommentarer"/>
    <w:next w:val="Kommentarer"/>
    <w:semiHidden/>
    <w:rsid w:val="00847393"/>
    <w:pPr>
      <w:spacing w:before="62"/>
    </w:pPr>
    <w:rPr>
      <w:b/>
      <w:bCs/>
    </w:rPr>
  </w:style>
  <w:style w:type="paragraph" w:styleId="Normalwebb">
    <w:name w:val="Normal (Web)"/>
    <w:basedOn w:val="Normal"/>
    <w:rsid w:val="006E05B4"/>
    <w:pPr>
      <w:spacing w:before="100" w:beforeAutospacing="1" w:after="100" w:afterAutospacing="1" w:line="240" w:lineRule="auto"/>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5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20.xml"/><Relationship Id="rId50" Type="http://schemas.openxmlformats.org/officeDocument/2006/relationships/header" Target="header21.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header" Target="header20.xml"/><Relationship Id="rId56" Type="http://schemas.openxmlformats.org/officeDocument/2006/relationships/header" Target="header24.xml"/><Relationship Id="rId8" Type="http://schemas.openxmlformats.org/officeDocument/2006/relationships/oleObject" Target="embeddings/oleObject1.bin"/><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header" Target="header26.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16161</Words>
  <Characters>96484</Characters>
  <Application>Microsoft Office Word</Application>
  <DocSecurity>4</DocSecurity>
  <Lines>1855</Lines>
  <Paragraphs>509</Paragraphs>
  <ScaleCrop>false</ScaleCrop>
  <HeadingPairs>
    <vt:vector size="4" baseType="variant">
      <vt:variant>
        <vt:lpstr>Rubrik</vt:lpstr>
      </vt:variant>
      <vt:variant>
        <vt:i4>1</vt:i4>
      </vt:variant>
      <vt:variant>
        <vt:lpstr>Rubriker</vt:lpstr>
      </vt:variant>
      <vt:variant>
        <vt:i4>28</vt:i4>
      </vt:variant>
    </vt:vector>
  </HeadingPairs>
  <TitlesOfParts>
    <vt:vector size="29" baseType="lpstr">
      <vt:lpstr>Framställning till riksdagen</vt:lpstr>
      <vt:lpstr>Sammanfattning</vt:lpstr>
      <vt:lpstr>Innehållsförteckning</vt:lpstr>
      <vt:lpstr>Förslag till riksdagsbeslut</vt:lpstr>
      <vt:lpstr>Lagtext</vt:lpstr>
      <vt:lpstr>    Förslag till lag om ändring i lagen (1994:1065) om ekonomiska villkor för riksda</vt:lpstr>
      <vt:lpstr>    Förslag till lag om ändring i övergångsbestämmelserna till den upphävda lagen (</vt:lpstr>
      <vt:lpstr>Ärendet och dess beredning</vt:lpstr>
      <vt:lpstr>Bakgrund</vt:lpstr>
      <vt:lpstr>    Trygghet i en omställningssituation</vt:lpstr>
      <vt:lpstr>    Erfarenheterna av den tillsyn som bedrivits hittills</vt:lpstr>
      <vt:lpstr>    Enskild näringsverksamhet och handelsbolag</vt:lpstr>
      <vt:lpstr>    Utgångspunkter</vt:lpstr>
      <vt:lpstr>Riksdagsstyrelsens överväganden och förslag </vt:lpstr>
      <vt:lpstr>    Möjligheterna till jämkning bör utvidgas </vt:lpstr>
      <vt:lpstr>    När bör jämkning kunna ske?</vt:lpstr>
      <vt:lpstr>        Periodiseringsfond</vt:lpstr>
      <vt:lpstr>        Upphovsmannakonto</vt:lpstr>
      <vt:lpstr>        Expansionsfond</vt:lpstr>
      <vt:lpstr>        Räntefördelning</vt:lpstr>
      <vt:lpstr>        Pensionssparavdrag</vt:lpstr>
      <vt:lpstr>        Flera verksamhetsgrenar</vt:lpstr>
      <vt:lpstr>        Passiv näringsverksamhet</vt:lpstr>
      <vt:lpstr>        Återförda avsättningar kan fordra nytt jämkningsbeslut</vt:lpstr>
      <vt:lpstr>        Förtydligande av samordningsreglerna</vt:lpstr>
      <vt:lpstr>        Uppgiftsskyldighet för garantitagare </vt:lpstr>
      <vt:lpstr>        Uppgiftsskyldighet för Skatteverket</vt:lpstr>
      <vt:lpstr>        Sekretess hos Riksdagens arvodesnämnd</vt:lpstr>
      <vt:lpstr>        Följdändringar som rör ledamöter av Europaparlamentet </vt:lpstr>
    </vt:vector>
  </TitlesOfParts>
  <Company>Riksdagen</Company>
  <LinksUpToDate>false</LinksUpToDate>
  <CharactersWithSpaces>112136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Anpassad för riksdagsstyrelsen</dc:description>
  <cp:lastModifiedBy>Lars Brink</cp:lastModifiedBy>
  <cp:revision>2</cp:revision>
  <cp:lastPrinted>2010-11-18T07:21:00Z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