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D05" w:rsidRPr="00E82190" w:rsidRDefault="008F1D05">
      <w:pPr>
        <w:pStyle w:val="Rubrik1"/>
        <w:shd w:val="clear" w:color="000000" w:fill="auto"/>
      </w:pPr>
      <w:r w:rsidRPr="00E82190">
        <w:t>Sammanfattning</w:t>
      </w:r>
    </w:p>
    <w:p w:rsidR="008F1D05" w:rsidRPr="00E82190" w:rsidRDefault="008F1D05">
      <w:pPr>
        <w:shd w:val="clear" w:color="000000" w:fill="auto"/>
      </w:pPr>
      <w:r w:rsidRPr="00E82190">
        <w:t>Inom utgiftsområdet Rikets styrelse föreslår vi avslag på den utökning av Regeringskansliets anslag som regeringen begär. Regeringen har inte motiv</w:t>
      </w:r>
      <w:r w:rsidRPr="00E82190">
        <w:t>e</w:t>
      </w:r>
      <w:r w:rsidRPr="00E82190">
        <w:t>rat varför någon utökning ska göras. Vi föreslår också besparingar på Kungl</w:t>
      </w:r>
      <w:r w:rsidRPr="00E82190">
        <w:t>i</w:t>
      </w:r>
      <w:r w:rsidRPr="00E82190">
        <w:t>ga hov- och slottsstaten och arvodena till riksdagens ledamöter. För att bev</w:t>
      </w:r>
      <w:r w:rsidRPr="00E82190">
        <w:t>a</w:t>
      </w:r>
      <w:r w:rsidRPr="00E82190">
        <w:t>ka och utveckla arbetet med mänskliga rättigheter i Sverige föreslår vi en ny avdelning under JO. Slutligen anser vi att Svenska institutet för europapoliti</w:t>
      </w:r>
      <w:r w:rsidRPr="00E82190">
        <w:t>s</w:t>
      </w:r>
      <w:r w:rsidRPr="00E82190">
        <w:t>ka studier bör läggas ned.</w:t>
      </w:r>
    </w:p>
    <w:p w:rsidR="008F1D05" w:rsidRPr="00E82190" w:rsidRDefault="008F1D05">
      <w:pPr>
        <w:pStyle w:val="Frslagsrubrik"/>
        <w:shd w:val="clear" w:color="000000" w:fill="auto"/>
      </w:pPr>
      <w:r w:rsidRPr="00E82190">
        <w:t>Förslag till riksdagsbeslut</w:t>
      </w:r>
    </w:p>
    <w:p w:rsidR="008F1D05" w:rsidRPr="00E82190" w:rsidRDefault="008F1D05">
      <w:pPr>
        <w:pStyle w:val="Hemstlatt"/>
        <w:numPr>
          <w:ilvl w:val="0"/>
          <w:numId w:val="1"/>
        </w:numPr>
        <w:shd w:val="clear" w:color="000000" w:fill="auto"/>
      </w:pPr>
      <w:r w:rsidRPr="00E82190">
        <w:t>Riksdagen anvisar med följande ändringar i fö</w:t>
      </w:r>
      <w:r w:rsidRPr="00E82190">
        <w:t>r</w:t>
      </w:r>
      <w:r w:rsidRPr="00E82190">
        <w:t>hållande till regeringens förslag anslagen under utgiftsområde 1 Rikets styrelse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375"/>
        <w:gridCol w:w="2880"/>
        <w:gridCol w:w="1428"/>
        <w:gridCol w:w="1271"/>
      </w:tblGrid>
      <w:tr w:rsidR="00000000" w:rsidRPr="00E82190">
        <w:tc>
          <w:tcPr>
            <w:tcW w:w="3255" w:type="dxa"/>
            <w:gridSpan w:val="2"/>
            <w:tcBorders>
              <w:top w:val="single" w:sz="4" w:space="0" w:color="auto"/>
              <w:left w:val="nil"/>
              <w:bottom w:val="single" w:sz="4" w:space="0" w:color="auto"/>
              <w:right w:val="nil"/>
            </w:tcBorders>
          </w:tcPr>
          <w:p w:rsidR="008F1D05" w:rsidRPr="00E82190" w:rsidRDefault="008F1D05">
            <w:pPr>
              <w:shd w:val="clear" w:color="000000" w:fill="auto"/>
              <w:spacing w:before="60" w:line="200" w:lineRule="exact"/>
              <w:rPr>
                <w:b/>
                <w:sz w:val="16"/>
                <w:szCs w:val="16"/>
              </w:rPr>
            </w:pPr>
            <w:r w:rsidRPr="00E82190">
              <w:rPr>
                <w:b/>
                <w:sz w:val="16"/>
                <w:szCs w:val="16"/>
              </w:rPr>
              <w:t>Anslag</w:t>
            </w:r>
          </w:p>
        </w:tc>
        <w:tc>
          <w:tcPr>
            <w:tcW w:w="1428" w:type="dxa"/>
            <w:tcBorders>
              <w:top w:val="single" w:sz="4" w:space="0" w:color="auto"/>
              <w:left w:val="nil"/>
              <w:bottom w:val="single" w:sz="4" w:space="0" w:color="auto"/>
              <w:right w:val="nil"/>
            </w:tcBorders>
          </w:tcPr>
          <w:p w:rsidR="008F1D05" w:rsidRPr="00E82190" w:rsidRDefault="008F1D05">
            <w:pPr>
              <w:shd w:val="clear" w:color="000000" w:fill="auto"/>
              <w:spacing w:before="60" w:line="200" w:lineRule="exact"/>
              <w:jc w:val="right"/>
              <w:rPr>
                <w:b/>
                <w:sz w:val="16"/>
                <w:szCs w:val="16"/>
              </w:rPr>
            </w:pPr>
            <w:r w:rsidRPr="00E82190">
              <w:rPr>
                <w:b/>
                <w:sz w:val="16"/>
                <w:szCs w:val="16"/>
              </w:rPr>
              <w:t>Regeringens fö</w:t>
            </w:r>
            <w:r w:rsidRPr="00E82190">
              <w:rPr>
                <w:b/>
                <w:sz w:val="16"/>
                <w:szCs w:val="16"/>
              </w:rPr>
              <w:t>r</w:t>
            </w:r>
            <w:r w:rsidRPr="00E82190">
              <w:rPr>
                <w:b/>
                <w:sz w:val="16"/>
                <w:szCs w:val="16"/>
              </w:rPr>
              <w:t>slag (tkr)</w:t>
            </w:r>
          </w:p>
        </w:tc>
        <w:tc>
          <w:tcPr>
            <w:tcW w:w="1271" w:type="dxa"/>
            <w:tcBorders>
              <w:top w:val="single" w:sz="4" w:space="0" w:color="auto"/>
              <w:left w:val="nil"/>
              <w:bottom w:val="single" w:sz="4" w:space="0" w:color="auto"/>
              <w:right w:val="nil"/>
            </w:tcBorders>
          </w:tcPr>
          <w:p w:rsidR="008F1D05" w:rsidRPr="00E82190" w:rsidRDefault="008F1D05">
            <w:pPr>
              <w:shd w:val="clear" w:color="000000" w:fill="auto"/>
              <w:spacing w:before="60" w:line="200" w:lineRule="exact"/>
              <w:jc w:val="right"/>
              <w:rPr>
                <w:b/>
                <w:sz w:val="16"/>
                <w:szCs w:val="16"/>
              </w:rPr>
            </w:pPr>
            <w:r w:rsidRPr="00E82190">
              <w:rPr>
                <w:b/>
                <w:sz w:val="16"/>
                <w:szCs w:val="16"/>
              </w:rPr>
              <w:t>Anslagsförän</w:t>
            </w:r>
            <w:r w:rsidRPr="00E82190">
              <w:rPr>
                <w:b/>
                <w:sz w:val="16"/>
                <w:szCs w:val="16"/>
              </w:rPr>
              <w:t>d</w:t>
            </w:r>
            <w:r w:rsidRPr="00E82190">
              <w:rPr>
                <w:b/>
                <w:sz w:val="16"/>
                <w:szCs w:val="16"/>
              </w:rPr>
              <w:t>ring (tkr)</w:t>
            </w:r>
          </w:p>
        </w:tc>
      </w:tr>
      <w:tr w:rsidR="00000000" w:rsidRPr="00E82190">
        <w:tc>
          <w:tcPr>
            <w:tcW w:w="375" w:type="dxa"/>
            <w:tcBorders>
              <w:top w:val="single" w:sz="4" w:space="0" w:color="auto"/>
              <w:left w:val="nil"/>
              <w:bottom w:val="nil"/>
              <w:right w:val="nil"/>
            </w:tcBorders>
          </w:tcPr>
          <w:p w:rsidR="008F1D05" w:rsidRPr="00E82190" w:rsidRDefault="008F1D05">
            <w:pPr>
              <w:shd w:val="clear" w:color="000000" w:fill="auto"/>
              <w:spacing w:before="60" w:line="200" w:lineRule="exact"/>
              <w:rPr>
                <w:sz w:val="16"/>
                <w:szCs w:val="16"/>
              </w:rPr>
            </w:pPr>
            <w:r w:rsidRPr="00E82190">
              <w:rPr>
                <w:sz w:val="16"/>
                <w:szCs w:val="16"/>
              </w:rPr>
              <w:t>1:1</w:t>
            </w:r>
          </w:p>
        </w:tc>
        <w:tc>
          <w:tcPr>
            <w:tcW w:w="2880" w:type="dxa"/>
            <w:tcBorders>
              <w:top w:val="single" w:sz="4" w:space="0" w:color="auto"/>
              <w:left w:val="nil"/>
              <w:bottom w:val="nil"/>
              <w:right w:val="nil"/>
            </w:tcBorders>
            <w:vAlign w:val="bottom"/>
          </w:tcPr>
          <w:p w:rsidR="008F1D05" w:rsidRPr="00E82190" w:rsidRDefault="008F1D05">
            <w:pPr>
              <w:shd w:val="clear" w:color="000000" w:fill="auto"/>
              <w:spacing w:before="60" w:line="200" w:lineRule="exact"/>
              <w:rPr>
                <w:sz w:val="16"/>
                <w:szCs w:val="16"/>
              </w:rPr>
            </w:pPr>
            <w:r w:rsidRPr="00E82190">
              <w:rPr>
                <w:sz w:val="16"/>
                <w:szCs w:val="16"/>
              </w:rPr>
              <w:t>Kungliga hov- och slottsstaten</w:t>
            </w:r>
          </w:p>
        </w:tc>
        <w:tc>
          <w:tcPr>
            <w:tcW w:w="1428" w:type="dxa"/>
            <w:tcBorders>
              <w:top w:val="single" w:sz="4" w:space="0" w:color="auto"/>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123 501</w:t>
            </w:r>
          </w:p>
        </w:tc>
        <w:tc>
          <w:tcPr>
            <w:tcW w:w="1271" w:type="dxa"/>
            <w:tcBorders>
              <w:top w:val="single" w:sz="4" w:space="0" w:color="auto"/>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 12 350</w:t>
            </w:r>
          </w:p>
        </w:tc>
      </w:tr>
      <w:tr w:rsidR="00000000" w:rsidRPr="00E82190">
        <w:tc>
          <w:tcPr>
            <w:tcW w:w="375" w:type="dxa"/>
            <w:tcBorders>
              <w:top w:val="nil"/>
              <w:left w:val="nil"/>
              <w:bottom w:val="nil"/>
              <w:right w:val="nil"/>
            </w:tcBorders>
          </w:tcPr>
          <w:p w:rsidR="008F1D05" w:rsidRPr="00E82190" w:rsidRDefault="008F1D05">
            <w:pPr>
              <w:shd w:val="clear" w:color="000000" w:fill="auto"/>
              <w:spacing w:before="60" w:line="200" w:lineRule="exact"/>
              <w:rPr>
                <w:sz w:val="16"/>
                <w:szCs w:val="16"/>
              </w:rPr>
            </w:pPr>
            <w:r w:rsidRPr="00E82190">
              <w:rPr>
                <w:sz w:val="16"/>
                <w:szCs w:val="16"/>
              </w:rPr>
              <w:t>2:1</w:t>
            </w:r>
          </w:p>
        </w:tc>
        <w:tc>
          <w:tcPr>
            <w:tcW w:w="2880" w:type="dxa"/>
            <w:tcBorders>
              <w:top w:val="nil"/>
              <w:left w:val="nil"/>
              <w:bottom w:val="nil"/>
              <w:right w:val="nil"/>
            </w:tcBorders>
            <w:vAlign w:val="center"/>
          </w:tcPr>
          <w:p w:rsidR="008F1D05" w:rsidRPr="00E82190" w:rsidRDefault="008F1D05">
            <w:pPr>
              <w:shd w:val="clear" w:color="000000" w:fill="auto"/>
              <w:spacing w:before="60" w:line="200" w:lineRule="exact"/>
              <w:rPr>
                <w:sz w:val="16"/>
                <w:szCs w:val="16"/>
              </w:rPr>
            </w:pPr>
            <w:r w:rsidRPr="00E82190">
              <w:rPr>
                <w:sz w:val="16"/>
                <w:szCs w:val="16"/>
              </w:rPr>
              <w:t>Riksdagens ledamöter och partier m.m.</w:t>
            </w:r>
          </w:p>
        </w:tc>
        <w:tc>
          <w:tcPr>
            <w:tcW w:w="1428" w:type="dxa"/>
            <w:tcBorders>
              <w:top w:val="nil"/>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815 269</w:t>
            </w:r>
          </w:p>
        </w:tc>
        <w:tc>
          <w:tcPr>
            <w:tcW w:w="1271" w:type="dxa"/>
            <w:tcBorders>
              <w:top w:val="nil"/>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 62 000</w:t>
            </w:r>
          </w:p>
        </w:tc>
      </w:tr>
      <w:tr w:rsidR="00000000" w:rsidRPr="00E82190">
        <w:tc>
          <w:tcPr>
            <w:tcW w:w="375" w:type="dxa"/>
            <w:tcBorders>
              <w:top w:val="nil"/>
              <w:left w:val="nil"/>
              <w:bottom w:val="nil"/>
              <w:right w:val="nil"/>
            </w:tcBorders>
          </w:tcPr>
          <w:p w:rsidR="008F1D05" w:rsidRPr="00E82190" w:rsidRDefault="008F1D05">
            <w:pPr>
              <w:shd w:val="clear" w:color="000000" w:fill="auto"/>
              <w:spacing w:before="60" w:line="200" w:lineRule="exact"/>
              <w:rPr>
                <w:sz w:val="16"/>
                <w:szCs w:val="16"/>
              </w:rPr>
            </w:pPr>
            <w:r w:rsidRPr="00E82190">
              <w:rPr>
                <w:sz w:val="16"/>
                <w:szCs w:val="16"/>
              </w:rPr>
              <w:t>2:4</w:t>
            </w:r>
          </w:p>
        </w:tc>
        <w:tc>
          <w:tcPr>
            <w:tcW w:w="2880" w:type="dxa"/>
            <w:tcBorders>
              <w:top w:val="nil"/>
              <w:left w:val="nil"/>
              <w:bottom w:val="nil"/>
              <w:right w:val="nil"/>
            </w:tcBorders>
            <w:vAlign w:val="bottom"/>
          </w:tcPr>
          <w:p w:rsidR="008F1D05" w:rsidRPr="00E82190" w:rsidRDefault="008F1D05">
            <w:pPr>
              <w:shd w:val="clear" w:color="000000" w:fill="auto"/>
              <w:spacing w:before="60" w:line="200" w:lineRule="exact"/>
              <w:rPr>
                <w:sz w:val="16"/>
                <w:szCs w:val="16"/>
              </w:rPr>
            </w:pPr>
            <w:r w:rsidRPr="00E82190">
              <w:rPr>
                <w:sz w:val="16"/>
                <w:szCs w:val="16"/>
              </w:rPr>
              <w:t>Riksdagens ombudsmän, justitieombud</w:t>
            </w:r>
            <w:r w:rsidRPr="00E82190">
              <w:rPr>
                <w:sz w:val="16"/>
                <w:szCs w:val="16"/>
              </w:rPr>
              <w:t>s</w:t>
            </w:r>
            <w:r w:rsidRPr="00E82190">
              <w:rPr>
                <w:sz w:val="16"/>
                <w:szCs w:val="16"/>
              </w:rPr>
              <w:t>männen</w:t>
            </w:r>
          </w:p>
        </w:tc>
        <w:tc>
          <w:tcPr>
            <w:tcW w:w="1428" w:type="dxa"/>
            <w:tcBorders>
              <w:top w:val="nil"/>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79 815</w:t>
            </w:r>
          </w:p>
        </w:tc>
        <w:tc>
          <w:tcPr>
            <w:tcW w:w="1271" w:type="dxa"/>
            <w:tcBorders>
              <w:top w:val="nil"/>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+ 65 000</w:t>
            </w:r>
          </w:p>
        </w:tc>
      </w:tr>
      <w:tr w:rsidR="00000000" w:rsidRPr="00E82190">
        <w:tc>
          <w:tcPr>
            <w:tcW w:w="375" w:type="dxa"/>
            <w:tcBorders>
              <w:top w:val="nil"/>
              <w:left w:val="nil"/>
              <w:bottom w:val="nil"/>
              <w:right w:val="nil"/>
            </w:tcBorders>
          </w:tcPr>
          <w:p w:rsidR="008F1D05" w:rsidRPr="00E82190" w:rsidRDefault="008F1D05">
            <w:pPr>
              <w:shd w:val="clear" w:color="000000" w:fill="auto"/>
              <w:spacing w:before="60" w:line="200" w:lineRule="exact"/>
              <w:rPr>
                <w:sz w:val="16"/>
                <w:szCs w:val="16"/>
              </w:rPr>
            </w:pPr>
            <w:r w:rsidRPr="00E82190">
              <w:rPr>
                <w:sz w:val="16"/>
                <w:szCs w:val="16"/>
              </w:rPr>
              <w:t>4:1</w:t>
            </w:r>
          </w:p>
        </w:tc>
        <w:tc>
          <w:tcPr>
            <w:tcW w:w="2880" w:type="dxa"/>
            <w:tcBorders>
              <w:top w:val="nil"/>
              <w:left w:val="nil"/>
              <w:bottom w:val="nil"/>
              <w:right w:val="nil"/>
            </w:tcBorders>
            <w:vAlign w:val="bottom"/>
          </w:tcPr>
          <w:p w:rsidR="008F1D05" w:rsidRPr="00E82190" w:rsidRDefault="008F1D05">
            <w:pPr>
              <w:shd w:val="clear" w:color="000000" w:fill="auto"/>
              <w:spacing w:before="60" w:line="200" w:lineRule="exact"/>
              <w:rPr>
                <w:sz w:val="16"/>
                <w:szCs w:val="16"/>
              </w:rPr>
            </w:pPr>
            <w:r w:rsidRPr="00E82190">
              <w:rPr>
                <w:sz w:val="16"/>
                <w:szCs w:val="16"/>
              </w:rPr>
              <w:t>Regeringskansliet m.m.</w:t>
            </w:r>
          </w:p>
        </w:tc>
        <w:tc>
          <w:tcPr>
            <w:tcW w:w="1428" w:type="dxa"/>
            <w:tcBorders>
              <w:top w:val="nil"/>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6 612 238</w:t>
            </w:r>
          </w:p>
        </w:tc>
        <w:tc>
          <w:tcPr>
            <w:tcW w:w="1271" w:type="dxa"/>
            <w:tcBorders>
              <w:top w:val="nil"/>
              <w:left w:val="nil"/>
              <w:bottom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 300 000</w:t>
            </w:r>
          </w:p>
        </w:tc>
      </w:tr>
      <w:tr w:rsidR="00000000" w:rsidRPr="00E82190">
        <w:tc>
          <w:tcPr>
            <w:tcW w:w="375" w:type="dxa"/>
            <w:tcBorders>
              <w:top w:val="nil"/>
              <w:left w:val="nil"/>
              <w:right w:val="nil"/>
            </w:tcBorders>
          </w:tcPr>
          <w:p w:rsidR="008F1D05" w:rsidRPr="00E82190" w:rsidRDefault="008F1D05">
            <w:pPr>
              <w:shd w:val="clear" w:color="000000" w:fill="auto"/>
              <w:spacing w:before="60" w:line="200" w:lineRule="exact"/>
              <w:rPr>
                <w:sz w:val="16"/>
                <w:szCs w:val="16"/>
              </w:rPr>
            </w:pPr>
            <w:r w:rsidRPr="00E82190">
              <w:rPr>
                <w:sz w:val="16"/>
                <w:szCs w:val="16"/>
              </w:rPr>
              <w:t>9:1</w:t>
            </w:r>
          </w:p>
        </w:tc>
        <w:tc>
          <w:tcPr>
            <w:tcW w:w="2880" w:type="dxa"/>
            <w:tcBorders>
              <w:top w:val="nil"/>
              <w:left w:val="nil"/>
              <w:right w:val="nil"/>
            </w:tcBorders>
            <w:vAlign w:val="center"/>
          </w:tcPr>
          <w:p w:rsidR="008F1D05" w:rsidRPr="00E82190" w:rsidRDefault="008F1D05">
            <w:pPr>
              <w:shd w:val="clear" w:color="000000" w:fill="auto"/>
              <w:spacing w:before="60" w:line="200" w:lineRule="exact"/>
              <w:rPr>
                <w:sz w:val="16"/>
                <w:szCs w:val="16"/>
              </w:rPr>
            </w:pPr>
            <w:r w:rsidRPr="00E82190">
              <w:rPr>
                <w:sz w:val="16"/>
                <w:szCs w:val="16"/>
              </w:rPr>
              <w:t>Svenska institutet för europapolitiska studier samt EU-information</w:t>
            </w:r>
          </w:p>
        </w:tc>
        <w:tc>
          <w:tcPr>
            <w:tcW w:w="1428" w:type="dxa"/>
            <w:tcBorders>
              <w:top w:val="nil"/>
              <w:left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19 042</w:t>
            </w:r>
          </w:p>
        </w:tc>
        <w:tc>
          <w:tcPr>
            <w:tcW w:w="1271" w:type="dxa"/>
            <w:tcBorders>
              <w:top w:val="nil"/>
              <w:left w:val="nil"/>
              <w:right w:val="nil"/>
            </w:tcBorders>
            <w:vAlign w:val="bottom"/>
          </w:tcPr>
          <w:p w:rsidR="008F1D05" w:rsidRPr="00E82190" w:rsidRDefault="008F1D05">
            <w:pPr>
              <w:shd w:val="clear" w:color="000000" w:fill="auto"/>
              <w:spacing w:before="60" w:line="200" w:lineRule="exact"/>
              <w:jc w:val="right"/>
              <w:rPr>
                <w:sz w:val="16"/>
                <w:szCs w:val="16"/>
              </w:rPr>
            </w:pPr>
            <w:r w:rsidRPr="00E82190">
              <w:rPr>
                <w:sz w:val="16"/>
                <w:szCs w:val="16"/>
              </w:rPr>
              <w:t>– 19 042</w:t>
            </w:r>
          </w:p>
        </w:tc>
      </w:tr>
      <w:tr w:rsidR="00000000" w:rsidRPr="00E82190">
        <w:tc>
          <w:tcPr>
            <w:tcW w:w="375" w:type="dxa"/>
            <w:tcBorders>
              <w:top w:val="nil"/>
              <w:left w:val="nil"/>
              <w:bottom w:val="single" w:sz="4" w:space="0" w:color="auto"/>
              <w:right w:val="nil"/>
            </w:tcBorders>
          </w:tcPr>
          <w:p w:rsidR="008F1D05" w:rsidRPr="00E82190" w:rsidRDefault="008F1D05">
            <w:pPr>
              <w:shd w:val="clear" w:color="000000" w:fill="auto"/>
              <w:spacing w:before="60" w:line="200" w:lineRule="exact"/>
              <w:rPr>
                <w:b/>
                <w:sz w:val="16"/>
                <w:szCs w:val="16"/>
              </w:rPr>
            </w:pPr>
          </w:p>
        </w:tc>
        <w:tc>
          <w:tcPr>
            <w:tcW w:w="2880" w:type="dxa"/>
            <w:tcBorders>
              <w:top w:val="nil"/>
              <w:left w:val="nil"/>
              <w:bottom w:val="single" w:sz="4" w:space="0" w:color="auto"/>
              <w:right w:val="nil"/>
            </w:tcBorders>
            <w:vAlign w:val="bottom"/>
          </w:tcPr>
          <w:p w:rsidR="008F1D05" w:rsidRPr="00E82190" w:rsidRDefault="008F1D05">
            <w:pPr>
              <w:shd w:val="clear" w:color="000000" w:fill="auto"/>
              <w:spacing w:before="60" w:line="200" w:lineRule="exact"/>
              <w:rPr>
                <w:b/>
                <w:sz w:val="16"/>
                <w:szCs w:val="16"/>
              </w:rPr>
            </w:pPr>
            <w:r w:rsidRPr="00E82190">
              <w:rPr>
                <w:b/>
                <w:sz w:val="16"/>
                <w:szCs w:val="16"/>
              </w:rPr>
              <w:t>Summa</w:t>
            </w:r>
          </w:p>
        </w:tc>
        <w:tc>
          <w:tcPr>
            <w:tcW w:w="1428" w:type="dxa"/>
            <w:tcBorders>
              <w:top w:val="nil"/>
              <w:left w:val="nil"/>
              <w:bottom w:val="single" w:sz="4" w:space="0" w:color="auto"/>
              <w:right w:val="nil"/>
            </w:tcBorders>
            <w:vAlign w:val="bottom"/>
          </w:tcPr>
          <w:p w:rsidR="008F1D05" w:rsidRPr="00E82190" w:rsidRDefault="008F1D05">
            <w:pPr>
              <w:shd w:val="clear" w:color="000000" w:fill="auto"/>
              <w:spacing w:before="60" w:line="200" w:lineRule="exact"/>
              <w:jc w:val="right"/>
              <w:rPr>
                <w:b/>
                <w:sz w:val="16"/>
                <w:szCs w:val="16"/>
              </w:rPr>
            </w:pPr>
          </w:p>
        </w:tc>
        <w:tc>
          <w:tcPr>
            <w:tcW w:w="1271" w:type="dxa"/>
            <w:tcBorders>
              <w:top w:val="nil"/>
              <w:left w:val="nil"/>
              <w:bottom w:val="single" w:sz="4" w:space="0" w:color="auto"/>
              <w:right w:val="nil"/>
            </w:tcBorders>
            <w:vAlign w:val="bottom"/>
          </w:tcPr>
          <w:p w:rsidR="008F1D05" w:rsidRPr="00E82190" w:rsidRDefault="008F1D05">
            <w:pPr>
              <w:shd w:val="clear" w:color="000000" w:fill="auto"/>
              <w:spacing w:before="60" w:line="200" w:lineRule="exact"/>
              <w:jc w:val="right"/>
              <w:rPr>
                <w:b/>
                <w:sz w:val="16"/>
                <w:szCs w:val="16"/>
              </w:rPr>
            </w:pPr>
            <w:r w:rsidRPr="00E82190">
              <w:rPr>
                <w:b/>
                <w:sz w:val="16"/>
                <w:szCs w:val="16"/>
              </w:rPr>
              <w:t>– 328 392</w:t>
            </w:r>
          </w:p>
        </w:tc>
      </w:tr>
    </w:tbl>
    <w:p w:rsidR="008F1D05" w:rsidRPr="00E82190" w:rsidRDefault="008F1D05">
      <w:pPr>
        <w:pStyle w:val="Hemstlatt"/>
        <w:numPr>
          <w:ilvl w:val="0"/>
          <w:numId w:val="1"/>
        </w:numPr>
        <w:shd w:val="clear" w:color="000000" w:fill="auto"/>
      </w:pPr>
      <w:r w:rsidRPr="00E82190">
        <w:t>Riksdagen tillkännager för regeringen som sin mening vad som anförs i motionen om att Svenska institutet för europapolitiska st</w:t>
      </w:r>
      <w:r w:rsidRPr="00E82190">
        <w:t>u</w:t>
      </w:r>
      <w:r w:rsidRPr="00E82190">
        <w:t>dier (Sieps) bör läggas ned.</w:t>
      </w:r>
    </w:p>
    <w:p w:rsidR="008F1D05" w:rsidRPr="00E82190" w:rsidRDefault="008F1D05">
      <w:pPr>
        <w:pStyle w:val="Rubrik1"/>
        <w:shd w:val="clear" w:color="000000" w:fill="auto"/>
      </w:pPr>
      <w:r w:rsidRPr="00E82190">
        <w:lastRenderedPageBreak/>
        <w:t>1:1 Kungliga hov- och slottsstaten</w:t>
      </w:r>
    </w:p>
    <w:p w:rsidR="008F1D05" w:rsidRPr="00E82190" w:rsidRDefault="008F1D05">
      <w:pPr>
        <w:shd w:val="clear" w:color="000000" w:fill="auto"/>
      </w:pPr>
      <w:r w:rsidRPr="00E82190">
        <w:t>Vänsterpartiet är aldrig berett att kompromissa om demokratin, och som d</w:t>
      </w:r>
      <w:r w:rsidRPr="00E82190">
        <w:t>e</w:t>
      </w:r>
      <w:r w:rsidRPr="00E82190">
        <w:t>mokratiförespråkare är det vår bestämda åsikt att Sverige bör vara republik. I enlighet med det anser vi att Kungliga hov- och slottsstaten ska avvecklas i samband med monarkins avskaffande. Ett beslut om nytt statsskick är dock inte aktuellt i denna budget, varför vi i denna motion nöjer oss med att kräva ett högst rimligt sparbeting för hovstaten på cirka 10 procent för år 2010. Det innebär en minskning av anslaget 1:1 med cirka 12 miljoner kronor 2012 jämfört med regeringens förslag.</w:t>
      </w:r>
    </w:p>
    <w:p w:rsidR="008F1D05" w:rsidRPr="00E82190" w:rsidRDefault="008F1D05">
      <w:pPr>
        <w:pStyle w:val="Rubrik1"/>
        <w:shd w:val="clear" w:color="000000" w:fill="auto"/>
      </w:pPr>
      <w:r w:rsidRPr="00E82190">
        <w:t>2:1 Riksdagens leda</w:t>
      </w:r>
      <w:r w:rsidRPr="00E82190">
        <w:t>möter och partier m.m.</w:t>
      </w:r>
    </w:p>
    <w:p w:rsidR="008F1D05" w:rsidRPr="00E82190" w:rsidRDefault="008F1D05">
      <w:pPr>
        <w:shd w:val="clear" w:color="000000" w:fill="auto"/>
      </w:pPr>
      <w:r w:rsidRPr="00E82190">
        <w:t>Vänsterpartiet föreslår en sänkning av riksdagsledamöternas arvoden som ett led i att skapa ett gott förtroende mellan de folkvalda och det folk de repr</w:t>
      </w:r>
      <w:r w:rsidRPr="00E82190">
        <w:t>e</w:t>
      </w:r>
      <w:r w:rsidRPr="00E82190">
        <w:t>senterar. Vårt förslag innebär att riksdagsledamöternas arvoden knyts till 100 procent av ett prisbasbelopp och att man avskaffar extra ersättningar direkt knutna till riksdagsarbetet. För innebär det en ungefärlig besparing till stat</w:t>
      </w:r>
      <w:r w:rsidRPr="00E82190">
        <w:t>s</w:t>
      </w:r>
      <w:r w:rsidRPr="00E82190">
        <w:t>kassan på 62 miljoner kronor jämfört med regeringens förslag. Se även vår särskilda motion Riksdagsledamöters ekonomiska villkor (2011/12:K319).</w:t>
      </w:r>
    </w:p>
    <w:p w:rsidR="008F1D05" w:rsidRPr="00E82190" w:rsidRDefault="008F1D05">
      <w:pPr>
        <w:pStyle w:val="Rubrik1"/>
        <w:shd w:val="clear" w:color="000000" w:fill="auto"/>
      </w:pPr>
      <w:r w:rsidRPr="00E82190">
        <w:t>2:3 Riksdagens ombudsmän, justitieombudsmännen</w:t>
      </w:r>
    </w:p>
    <w:p w:rsidR="008F1D05" w:rsidRPr="00E82190" w:rsidRDefault="008F1D05">
      <w:pPr>
        <w:shd w:val="clear" w:color="000000" w:fill="auto"/>
      </w:pPr>
      <w:r w:rsidRPr="00E82190">
        <w:t xml:space="preserve">Vänsterpartiet föreslår att JO utökas med en ny avdelning med ansvar för övervakning av mänskliga rättigheter i Sverige. Se motion 2011/12:K317. Därför föreslår Vänsterpartiet en ökning av anslaget 2:3 med 65 miljoner kronor 2012 jämfört med regeringens förslag. </w:t>
      </w:r>
    </w:p>
    <w:p w:rsidR="008F1D05" w:rsidRPr="00E82190" w:rsidRDefault="008F1D05">
      <w:pPr>
        <w:pStyle w:val="Rubrik1"/>
        <w:shd w:val="clear" w:color="000000" w:fill="auto"/>
      </w:pPr>
      <w:r w:rsidRPr="00E82190">
        <w:t>4:1 Regeringskansliet m.m.</w:t>
      </w:r>
    </w:p>
    <w:p w:rsidR="008F1D05" w:rsidRPr="00E82190" w:rsidRDefault="008F1D05">
      <w:pPr>
        <w:shd w:val="clear" w:color="000000" w:fill="auto"/>
      </w:pPr>
      <w:r w:rsidRPr="00E82190">
        <w:t xml:space="preserve">Regeringen föreslår en utgiftsökning till regeringskansliet på 300 miljoner kronor. Man redovisar inga skäl till varför. Vi säger därför nej till ökningen och minskar därmed anslaget 4:1 med 300 miljoner kronor 2012 jämfört med regeringens förslag. </w:t>
      </w:r>
    </w:p>
    <w:p w:rsidR="008F1D05" w:rsidRPr="00E82190" w:rsidRDefault="008F1D05">
      <w:pPr>
        <w:pStyle w:val="Rubrik1"/>
        <w:shd w:val="clear" w:color="000000" w:fill="auto"/>
      </w:pPr>
      <w:r w:rsidRPr="00E82190">
        <w:t xml:space="preserve">9:1 </w:t>
      </w:r>
      <w:r w:rsidRPr="00E82190">
        <w:rPr>
          <w:bCs/>
          <w:color w:val="000000"/>
        </w:rPr>
        <w:t>Svenska institutet för europapolitiska studier samt EU-information</w:t>
      </w:r>
    </w:p>
    <w:p w:rsidR="008F1D05" w:rsidRPr="00E82190" w:rsidRDefault="008F1D05">
      <w:pPr>
        <w:shd w:val="clear" w:color="000000" w:fill="auto"/>
      </w:pPr>
      <w:r w:rsidRPr="00E82190">
        <w:t xml:space="preserve">Svenska institutet för europapolitiska studier (Sieps) bör läggas ned. Sieps fyller inte funktionen att stimulera en bred och folkligt förankrad EU-debatt i Sverige. </w:t>
      </w:r>
    </w:p>
    <w:p w:rsidR="008F1D05" w:rsidRPr="00E82190" w:rsidRDefault="008F1D05">
      <w:pPr>
        <w:pStyle w:val="Normaltindrag"/>
        <w:shd w:val="clear" w:color="000000" w:fill="auto"/>
      </w:pPr>
      <w:r w:rsidRPr="00E82190">
        <w:t xml:space="preserve">Detta bör riksdagen som sin mening ge regeringen till känna. </w:t>
      </w:r>
    </w:p>
    <w:p w:rsidR="008F1D05" w:rsidRPr="00E82190" w:rsidRDefault="008F1D05">
      <w:pPr>
        <w:pStyle w:val="Normaltindrag"/>
        <w:shd w:val="clear" w:color="000000" w:fill="auto"/>
      </w:pPr>
      <w:r w:rsidRPr="00E82190">
        <w:t xml:space="preserve">Detta innebär förstås att vi även anser att anslaget 9:1 helt ska tas bort.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190">
        <w:trPr>
          <w:cantSplit/>
        </w:trPr>
        <w:tc>
          <w:tcPr>
            <w:tcW w:w="3046" w:type="dxa"/>
          </w:tcPr>
          <w:p w:rsidR="008F1D05" w:rsidRPr="00E82190" w:rsidRDefault="008F1D05">
            <w:pPr>
              <w:pStyle w:val="UnderskriftDatum"/>
              <w:shd w:val="clear" w:color="000000" w:fill="auto"/>
              <w:spacing w:before="240"/>
            </w:pPr>
            <w:r w:rsidRPr="00E82190">
              <w:t>Stockholm den 4 oktober 2011</w:t>
            </w:r>
          </w:p>
        </w:tc>
        <w:tc>
          <w:tcPr>
            <w:tcW w:w="3047" w:type="dxa"/>
          </w:tcPr>
          <w:p w:rsidR="008F1D05" w:rsidRPr="00E82190" w:rsidRDefault="008F1D05">
            <w:pPr>
              <w:pStyle w:val="Underskrifter"/>
              <w:shd w:val="clear" w:color="000000" w:fill="auto"/>
              <w:spacing w:before="240"/>
            </w:pPr>
          </w:p>
        </w:tc>
      </w:tr>
      <w:tr w:rsidR="00000000" w:rsidRPr="00E82190">
        <w:trPr>
          <w:cantSplit/>
        </w:trPr>
        <w:tc>
          <w:tcPr>
            <w:tcW w:w="3046" w:type="dxa"/>
          </w:tcPr>
          <w:p w:rsidR="008F1D05" w:rsidRPr="00E82190" w:rsidRDefault="008F1D05">
            <w:pPr>
              <w:pStyle w:val="Underskrifter"/>
              <w:shd w:val="clear" w:color="000000" w:fill="auto"/>
            </w:pPr>
            <w:r w:rsidRPr="00E82190">
              <w:t>Lars Ohly (V)</w:t>
            </w:r>
          </w:p>
        </w:tc>
        <w:tc>
          <w:tcPr>
            <w:tcW w:w="3046" w:type="dxa"/>
          </w:tcPr>
          <w:p w:rsidR="008F1D05" w:rsidRPr="00E82190" w:rsidRDefault="008F1D05">
            <w:pPr>
              <w:pStyle w:val="Underskrifter"/>
              <w:shd w:val="clear" w:color="000000" w:fill="auto"/>
            </w:pPr>
          </w:p>
        </w:tc>
      </w:tr>
      <w:tr w:rsidR="00000000" w:rsidRPr="00E82190">
        <w:trPr>
          <w:cantSplit/>
        </w:trPr>
        <w:tc>
          <w:tcPr>
            <w:tcW w:w="3046" w:type="dxa"/>
          </w:tcPr>
          <w:p w:rsidR="008F1D05" w:rsidRPr="00E82190" w:rsidRDefault="008F1D05">
            <w:pPr>
              <w:pStyle w:val="Underskrifter"/>
              <w:shd w:val="clear" w:color="000000" w:fill="auto"/>
            </w:pPr>
            <w:r w:rsidRPr="00E82190">
              <w:t>Ulla Andersson (V)</w:t>
            </w:r>
          </w:p>
        </w:tc>
        <w:tc>
          <w:tcPr>
            <w:tcW w:w="3046" w:type="dxa"/>
          </w:tcPr>
          <w:p w:rsidR="008F1D05" w:rsidRPr="00E82190" w:rsidRDefault="008F1D05">
            <w:pPr>
              <w:pStyle w:val="Underskrifter"/>
              <w:shd w:val="clear" w:color="000000" w:fill="auto"/>
            </w:pPr>
            <w:r w:rsidRPr="00E82190">
              <w:t>Hans Linde (V)</w:t>
            </w:r>
          </w:p>
        </w:tc>
      </w:tr>
      <w:tr w:rsidR="00000000" w:rsidRPr="00E82190">
        <w:trPr>
          <w:cantSplit/>
        </w:trPr>
        <w:tc>
          <w:tcPr>
            <w:tcW w:w="3046" w:type="dxa"/>
          </w:tcPr>
          <w:p w:rsidR="008F1D05" w:rsidRPr="00E82190" w:rsidRDefault="008F1D05">
            <w:pPr>
              <w:pStyle w:val="Underskrifter"/>
              <w:shd w:val="clear" w:color="000000" w:fill="auto"/>
            </w:pPr>
            <w:r w:rsidRPr="00E82190">
              <w:t>Eva Olofsson (V)</w:t>
            </w:r>
          </w:p>
        </w:tc>
        <w:tc>
          <w:tcPr>
            <w:tcW w:w="3046" w:type="dxa"/>
          </w:tcPr>
          <w:p w:rsidR="008F1D05" w:rsidRPr="00E82190" w:rsidRDefault="008F1D05">
            <w:pPr>
              <w:pStyle w:val="Underskrifter"/>
              <w:shd w:val="clear" w:color="000000" w:fill="auto"/>
            </w:pPr>
            <w:r w:rsidRPr="00E82190">
              <w:t>Jonas Sjöstedt (V)</w:t>
            </w:r>
          </w:p>
        </w:tc>
      </w:tr>
      <w:tr w:rsidR="00000000" w:rsidRPr="00E82190">
        <w:trPr>
          <w:cantSplit/>
        </w:trPr>
        <w:tc>
          <w:tcPr>
            <w:tcW w:w="3046" w:type="dxa"/>
          </w:tcPr>
          <w:p w:rsidR="008F1D05" w:rsidRPr="00E82190" w:rsidRDefault="008F1D05">
            <w:pPr>
              <w:pStyle w:val="Underskrifter"/>
              <w:shd w:val="clear" w:color="000000" w:fill="auto"/>
            </w:pPr>
            <w:r w:rsidRPr="00E82190">
              <w:t>Mia Sydow Mölleby (V)</w:t>
            </w:r>
          </w:p>
        </w:tc>
        <w:tc>
          <w:tcPr>
            <w:tcW w:w="3046" w:type="dxa"/>
          </w:tcPr>
          <w:p w:rsidR="008F1D05" w:rsidRPr="00E82190" w:rsidRDefault="008F1D05">
            <w:pPr>
              <w:pStyle w:val="Underskrifter"/>
              <w:shd w:val="clear" w:color="000000" w:fill="auto"/>
            </w:pPr>
          </w:p>
        </w:tc>
      </w:tr>
    </w:tbl>
    <w:p w:rsidR="008F1D05" w:rsidRPr="00E82190" w:rsidRDefault="008F1D05">
      <w:pPr>
        <w:pStyle w:val="Normaltindrag"/>
        <w:shd w:val="clear" w:color="000000" w:fill="auto"/>
      </w:pPr>
    </w:p>
    <w:sectPr w:rsidR="008F1D05" w:rsidRPr="00E821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D05" w:rsidRPr="00E82190" w:rsidRDefault="008F1D05">
      <w:r w:rsidRPr="00E82190">
        <w:separator/>
      </w:r>
    </w:p>
  </w:endnote>
  <w:endnote w:type="continuationSeparator" w:id="0">
    <w:p w:rsidR="008F1D05" w:rsidRPr="00E82190" w:rsidRDefault="008F1D05">
      <w:r w:rsidRPr="00E82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5" w:rsidRPr="00E82190" w:rsidRDefault="00E82190">
    <w:pPr>
      <w:pStyle w:val="Sidfot"/>
    </w:pPr>
    <w:r w:rsidRPr="00E82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216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05" w:rsidRDefault="008F1D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D05" w:rsidRDefault="008F1D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5" w:rsidRPr="00E82190" w:rsidRDefault="00E82190">
    <w:pPr>
      <w:pStyle w:val="Sidfot"/>
    </w:pPr>
    <w:r w:rsidRPr="00E82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824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05" w:rsidRDefault="008F1D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D05" w:rsidRDefault="008F1D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5" w:rsidRPr="00E82190" w:rsidRDefault="00E82190">
    <w:pPr>
      <w:pStyle w:val="Sidfot"/>
    </w:pPr>
    <w:r w:rsidRPr="00E82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043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05" w:rsidRDefault="008F1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D05" w:rsidRDefault="008F1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D05" w:rsidRPr="00E82190" w:rsidRDefault="008F1D05">
      <w:r w:rsidRPr="00E82190">
        <w:separator/>
      </w:r>
    </w:p>
  </w:footnote>
  <w:footnote w:type="continuationSeparator" w:id="0">
    <w:p w:rsidR="008F1D05" w:rsidRPr="00E82190" w:rsidRDefault="008F1D05">
      <w:r w:rsidRPr="00E82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5" w:rsidRPr="00E82190" w:rsidRDefault="00E82190">
    <w:pPr>
      <w:pStyle w:val="Sidhuvud"/>
    </w:pPr>
    <w:r w:rsidRPr="00E82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553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05" w:rsidRDefault="008F1D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D05" w:rsidRDefault="008F1D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5" w:rsidRPr="00E82190" w:rsidRDefault="00E82190">
    <w:pPr>
      <w:pStyle w:val="Sidhuvud"/>
    </w:pPr>
    <w:r w:rsidRPr="00E82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893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05" w:rsidRDefault="008F1D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D05" w:rsidRDefault="008F1D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05" w:rsidRPr="00E82190" w:rsidRDefault="008F1D05">
    <w:pPr>
      <w:pStyle w:val="FSHNormal"/>
      <w:tabs>
        <w:tab w:val="right" w:pos="5840"/>
      </w:tabs>
    </w:pPr>
    <w:r w:rsidRPr="00E82190">
      <w:br/>
    </w:r>
    <w:r w:rsidRPr="00E82190">
      <w:fldChar w:fldCharType="begin" w:fldLock="1"/>
    </w:r>
    <w:r w:rsidRPr="00E82190">
      <w:instrText xml:space="preserve"> DOCPROPERTY</w:instrText>
    </w:r>
    <w:r w:rsidRPr="00E82190">
      <w:rPr>
        <w:sz w:val="18"/>
      </w:rPr>
      <w:instrText xml:space="preserve"> "YearUser" *\charformat </w:instrText>
    </w:r>
    <w:r w:rsidRPr="00E82190">
      <w:fldChar w:fldCharType="separate"/>
    </w:r>
    <w:r w:rsidRPr="00E82190">
      <w:t>2011/12</w:t>
    </w:r>
    <w:r w:rsidRPr="00E82190">
      <w:fldChar w:fldCharType="end"/>
    </w:r>
    <w:r w:rsidRPr="00E82190">
      <w:t xml:space="preserve"> </w:t>
    </w:r>
    <w:r w:rsidRPr="00E82190">
      <w:tab/>
      <w:t xml:space="preserve">mnr: </w:t>
    </w:r>
    <w:r w:rsidRPr="00E82190">
      <w:fldChar w:fldCharType="begin" w:fldLock="1"/>
    </w:r>
    <w:r w:rsidRPr="00E82190">
      <w:instrText xml:space="preserve"> DOCPROPERTY</w:instrText>
    </w:r>
    <w:r w:rsidRPr="00E82190">
      <w:rPr>
        <w:sz w:val="18"/>
      </w:rPr>
      <w:instrText xml:space="preserve"> "Motionsnummer" *\charformat </w:instrText>
    </w:r>
    <w:r w:rsidRPr="00E82190">
      <w:fldChar w:fldCharType="separate"/>
    </w:r>
    <w:r w:rsidRPr="00E82190">
      <w:t>K313</w:t>
    </w:r>
    <w:r w:rsidRPr="00E82190">
      <w:fldChar w:fldCharType="end"/>
    </w:r>
    <w:r w:rsidRPr="00E82190">
      <w:br/>
    </w:r>
    <w:r w:rsidRPr="00E82190">
      <w:fldChar w:fldCharType="begin" w:fldLock="1"/>
    </w:r>
    <w:r w:rsidRPr="00E82190">
      <w:instrText xml:space="preserve"> DOCPROPERTY</w:instrText>
    </w:r>
    <w:r w:rsidRPr="00E82190">
      <w:rPr>
        <w:sz w:val="18"/>
      </w:rPr>
      <w:instrText xml:space="preserve"> "Samling" *\charformat </w:instrText>
    </w:r>
    <w:r w:rsidRPr="00E82190">
      <w:fldChar w:fldCharType="end"/>
    </w:r>
    <w:r w:rsidRPr="00E82190">
      <w:tab/>
      <w:t xml:space="preserve">pnr: </w:t>
    </w:r>
    <w:r w:rsidRPr="00E82190">
      <w:fldChar w:fldCharType="begin" w:fldLock="1"/>
    </w:r>
    <w:r w:rsidRPr="00E82190">
      <w:instrText xml:space="preserve"> DOCPROPERTY</w:instrText>
    </w:r>
    <w:r w:rsidRPr="00E82190">
      <w:rPr>
        <w:sz w:val="18"/>
      </w:rPr>
      <w:instrText xml:space="preserve"> "Partinummer" *\charformat </w:instrText>
    </w:r>
    <w:r w:rsidRPr="00E82190">
      <w:fldChar w:fldCharType="separate"/>
    </w:r>
    <w:r w:rsidRPr="00E82190">
      <w:t>V560</w:t>
    </w:r>
    <w:r w:rsidRPr="00E82190">
      <w:fldChar w:fldCharType="end"/>
    </w:r>
  </w:p>
  <w:p w:rsidR="008F1D05" w:rsidRPr="00E82190" w:rsidRDefault="008F1D05">
    <w:pPr>
      <w:pStyle w:val="FSHRub1"/>
    </w:pPr>
    <w:r w:rsidRPr="00E82190">
      <w:t>Motion till riksdagen</w:t>
    </w:r>
    <w:r w:rsidRPr="00E82190">
      <w:br/>
    </w:r>
    <w:r w:rsidRPr="00E82190">
      <w:fldChar w:fldCharType="begin" w:fldLock="1"/>
    </w:r>
    <w:r w:rsidRPr="00E82190">
      <w:instrText xml:space="preserve"> DOCPROPERTY "YearUser" *\charformat </w:instrText>
    </w:r>
    <w:r w:rsidRPr="00E82190">
      <w:fldChar w:fldCharType="separate"/>
    </w:r>
    <w:r w:rsidRPr="00E82190">
      <w:t>2011/12</w:t>
    </w:r>
    <w:r w:rsidRPr="00E82190">
      <w:fldChar w:fldCharType="end"/>
    </w:r>
    <w:r w:rsidRPr="00E82190">
      <w:t>:</w:t>
    </w:r>
    <w:r w:rsidRPr="00E82190">
      <w:fldChar w:fldCharType="begin" w:fldLock="1"/>
    </w:r>
    <w:r w:rsidRPr="00E82190">
      <w:instrText xml:space="preserve"> DOCPROPERTY "Motionsnummer" *\charformat </w:instrText>
    </w:r>
    <w:r w:rsidRPr="00E82190">
      <w:fldChar w:fldCharType="separate"/>
    </w:r>
    <w:r w:rsidRPr="00E82190">
      <w:t>K313</w:t>
    </w:r>
    <w:r w:rsidRPr="00E82190">
      <w:fldChar w:fldCharType="end"/>
    </w:r>
  </w:p>
  <w:p w:rsidR="008F1D05" w:rsidRPr="00E82190" w:rsidRDefault="008F1D05">
    <w:pPr>
      <w:pStyle w:val="FSHNormalS5"/>
    </w:pPr>
    <w:r w:rsidRPr="00E82190">
      <w:fldChar w:fldCharType="begin" w:fldLock="1"/>
    </w:r>
    <w:r w:rsidRPr="00E82190">
      <w:instrText xml:space="preserve"> DOCPROPERTY "MotionarText" *\charformat </w:instrText>
    </w:r>
    <w:r w:rsidRPr="00E82190">
      <w:fldChar w:fldCharType="separate"/>
    </w:r>
    <w:r w:rsidRPr="00E82190">
      <w:t>av Lars Ohly m.fl. (V)</w:t>
    </w:r>
    <w:r w:rsidRPr="00E82190">
      <w:fldChar w:fldCharType="end"/>
    </w:r>
    <w:r w:rsidRPr="00E82190">
      <w:br/>
    </w:r>
    <w:r w:rsidRPr="00E82190">
      <w:fldChar w:fldCharType="begin" w:fldLock="1"/>
    </w:r>
    <w:r w:rsidRPr="00E82190">
      <w:instrText xml:space="preserve"> DOCPROPERTY "SvarFrasKort" *\charformat </w:instrText>
    </w:r>
    <w:r w:rsidRPr="00E82190">
      <w:fldChar w:fldCharType="end"/>
    </w:r>
  </w:p>
  <w:p w:rsidR="008F1D05" w:rsidRPr="00E82190" w:rsidRDefault="008F1D05">
    <w:pPr>
      <w:pStyle w:val="FSHTitel"/>
    </w:pPr>
    <w:r w:rsidRPr="00E82190">
      <w:fldChar w:fldCharType="begin" w:fldLock="1"/>
    </w:r>
    <w:r w:rsidRPr="00E82190">
      <w:instrText xml:space="preserve"> DOCPROPERTY</w:instrText>
    </w:r>
    <w:r w:rsidRPr="00E82190">
      <w:rPr>
        <w:sz w:val="18"/>
      </w:rPr>
      <w:instrText xml:space="preserve"> "RubrikSvar" *\charformat </w:instrText>
    </w:r>
    <w:r w:rsidRPr="00E82190">
      <w:fldChar w:fldCharType="separate"/>
    </w:r>
    <w:r w:rsidRPr="00E82190">
      <w:t>Utgiftsområde 1 Rikets styrelse</w:t>
    </w:r>
    <w:r w:rsidRPr="00E82190">
      <w:fldChar w:fldCharType="end"/>
    </w:r>
  </w:p>
  <w:p w:rsidR="008F1D05" w:rsidRPr="00E82190" w:rsidRDefault="008F1D05">
    <w:pPr>
      <w:pStyle w:val="Normal00"/>
    </w:pPr>
  </w:p>
  <w:p w:rsidR="008F1D05" w:rsidRPr="00E82190" w:rsidRDefault="008F1D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90AB0"/>
    <w:multiLevelType w:val="hybridMultilevel"/>
    <w:tmpl w:val="19CC2934"/>
    <w:lvl w:ilvl="0" w:tplc="22904A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1A5512"/>
    <w:multiLevelType w:val="hybridMultilevel"/>
    <w:tmpl w:val="9E3015E0"/>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DEC612F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B75B05"/>
    <w:multiLevelType w:val="hybridMultilevel"/>
    <w:tmpl w:val="505071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35116737">
    <w:abstractNumId w:val="8"/>
  </w:num>
  <w:num w:numId="2" w16cid:durableId="679428761">
    <w:abstractNumId w:val="9"/>
  </w:num>
  <w:num w:numId="3" w16cid:durableId="597563135">
    <w:abstractNumId w:val="8"/>
  </w:num>
  <w:num w:numId="4" w16cid:durableId="1818912128">
    <w:abstractNumId w:val="9"/>
  </w:num>
  <w:num w:numId="5" w16cid:durableId="498236973">
    <w:abstractNumId w:val="15"/>
  </w:num>
  <w:num w:numId="6" w16cid:durableId="1677147362">
    <w:abstractNumId w:val="11"/>
  </w:num>
  <w:num w:numId="7" w16cid:durableId="1937594749">
    <w:abstractNumId w:val="12"/>
  </w:num>
  <w:num w:numId="8" w16cid:durableId="1392389504">
    <w:abstractNumId w:val="13"/>
  </w:num>
  <w:num w:numId="9" w16cid:durableId="909660110">
    <w:abstractNumId w:val="8"/>
  </w:num>
  <w:num w:numId="10" w16cid:durableId="1530683088">
    <w:abstractNumId w:val="3"/>
  </w:num>
  <w:num w:numId="11" w16cid:durableId="450515514">
    <w:abstractNumId w:val="2"/>
  </w:num>
  <w:num w:numId="12" w16cid:durableId="1392650201">
    <w:abstractNumId w:val="1"/>
  </w:num>
  <w:num w:numId="13" w16cid:durableId="1832796634">
    <w:abstractNumId w:val="0"/>
  </w:num>
  <w:num w:numId="14" w16cid:durableId="148987974">
    <w:abstractNumId w:val="9"/>
  </w:num>
  <w:num w:numId="15" w16cid:durableId="959798062">
    <w:abstractNumId w:val="7"/>
  </w:num>
  <w:num w:numId="16" w16cid:durableId="1184788297">
    <w:abstractNumId w:val="6"/>
  </w:num>
  <w:num w:numId="17" w16cid:durableId="435757177">
    <w:abstractNumId w:val="5"/>
  </w:num>
  <w:num w:numId="18" w16cid:durableId="194346842">
    <w:abstractNumId w:val="4"/>
  </w:num>
  <w:num w:numId="19" w16cid:durableId="1740445334">
    <w:abstractNumId w:val="14"/>
  </w:num>
  <w:num w:numId="20" w16cid:durableId="933130853">
    <w:abstractNumId w:val="12"/>
  </w:num>
  <w:num w:numId="21" w16cid:durableId="1669945735">
    <w:abstractNumId w:val="11"/>
  </w:num>
  <w:num w:numId="22" w16cid:durableId="1566799640">
    <w:abstractNumId w:val="13"/>
  </w:num>
  <w:num w:numId="23" w16cid:durableId="869342700">
    <w:abstractNumId w:val="10"/>
  </w:num>
  <w:num w:numId="24" w16cid:durableId="613941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
  </w:docVars>
  <w:rsids>
    <w:rsidRoot w:val="007D4013"/>
    <w:rsid w:val="007D4013"/>
    <w:rsid w:val="008F1D05"/>
    <w:rsid w:val="00E82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ECBA2D-FA52-4D39-BFB5-02424681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2997</Characters>
  <Application>Microsoft Office Word</Application>
  <DocSecurity>4</DocSecurity>
  <Lines>93</Lines>
  <Paragraphs>57</Paragraphs>
  <ScaleCrop>false</ScaleCrop>
  <HeadingPairs>
    <vt:vector size="2" baseType="variant">
      <vt:variant>
        <vt:lpstr>Rubrik</vt:lpstr>
      </vt:variant>
      <vt:variant>
        <vt:i4>1</vt:i4>
      </vt:variant>
    </vt:vector>
  </HeadingPairs>
  <TitlesOfParts>
    <vt:vector size="1" baseType="lpstr">
      <vt:lpstr>V560</vt:lpstr>
    </vt:vector>
  </TitlesOfParts>
  <Company>Riksdagen</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V560</dc:title>
  <dc:subject>V560</dc:subject>
  <dc:creator>Riksdagen</dc:creator>
  <cp:keywords>Riksdagen</cp:keywords>
  <dc:description>Nya formatmallshantering för förslag+urix bakåtkomp+könamn</dc:description>
  <cp:lastModifiedBy>Lars Brink</cp:lastModifiedBy>
  <cp:revision>2</cp:revision>
  <cp:lastPrinted>2011-10-27T14:53:00Z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vt:lpwstr>
  </property>
  <property fmtid="{D5CDD505-2E9C-101B-9397-08002B2CF9AE}" pid="35" name="Samling">
    <vt:lpwstr/>
  </property>
  <property fmtid="{D5CDD505-2E9C-101B-9397-08002B2CF9AE}" pid="36" name="SamlingPrint">
    <vt:lpwstr/>
  </property>
  <property fmtid="{D5CDD505-2E9C-101B-9397-08002B2CF9AE}" pid="37" name="Motionsnummer">
    <vt:lpwstr>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20112012000000000086000005600080</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20112012000000000086000005600080</vt:lpwstr>
  </property>
  <property fmtid="{D5CDD505-2E9C-101B-9397-08002B2CF9AE}" pid="50" name="nummer">
    <vt:lpwstr>313</vt:lpwstr>
  </property>
  <property fmtid="{D5CDD505-2E9C-101B-9397-08002B2CF9AE}" pid="51" name="utskottsbeteckning">
    <vt:lpwstr>K</vt:lpwstr>
  </property>
  <property fmtid="{D5CDD505-2E9C-101B-9397-08002B2CF9AE}" pid="52" name="GlobalUID">
    <vt:lpwstr>{4F20B7B1-5702-4429-844C-CCD262333BDF}</vt:lpwstr>
  </property>
  <property fmtid="{D5CDD505-2E9C-101B-9397-08002B2CF9AE}" pid="53" name="Överföringar">
    <vt:i4>0</vt:i4>
  </property>
  <property fmtid="{D5CDD505-2E9C-101B-9397-08002B2CF9AE}" pid="54" name="Checksum">
    <vt:lpwstr>*1012834475700*</vt:lpwstr>
  </property>
  <property fmtid="{D5CDD505-2E9C-101B-9397-08002B2CF9AE}" pid="55" name="skuggnummer">
    <vt:lpwstr>1919</vt:lpwstr>
  </property>
  <property fmtid="{D5CDD505-2E9C-101B-9397-08002B2CF9AE}" pid="56" name="urixVersion">
    <vt:lpwstr>4.5.0.25</vt:lpwstr>
  </property>
  <property fmtid="{D5CDD505-2E9C-101B-9397-08002B2CF9AE}" pid="57" name="urixOrigin">
    <vt:lpwstr>111027 16:53:32.450</vt:lpwstr>
  </property>
  <property fmtid="{D5CDD505-2E9C-101B-9397-08002B2CF9AE}" pid="58" name="urixGuid">
    <vt:lpwstr>{9DFB56E7-A5B5-47CB-AE10-078213C2FB78}</vt:lpwstr>
  </property>
</Properties>
</file>