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style3.xml" ContentType="application/vnd.ms-office.chart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7.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4.xml" ContentType="application/vnd.openxmlformats-officedocument.themeOverride+xml"/>
  <Override PartName="/word/charts/chart12.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5352" w:rsidR="000663E5" w:rsidP="00FA5352" w:rsidRDefault="00232770" w14:paraId="56A6998D" w14:textId="6C13FD16">
      <w:pPr>
        <w:pStyle w:val="Rubrik1numrerat"/>
      </w:pPr>
      <w:bookmarkStart w:name="_Toc149814505" w:id="0"/>
      <w:r w:rsidRPr="00FA5352">
        <w:t>Sammanfattning</w:t>
      </w:r>
      <w:bookmarkEnd w:id="0"/>
    </w:p>
    <w:p w:rsidR="00705708" w:rsidP="000B578A" w:rsidRDefault="00BF4DD7" w14:paraId="21E046D3" w14:textId="51AC2216">
      <w:pPr>
        <w:pStyle w:val="Normalutanindragellerluft"/>
        <w:rPr>
          <w:lang w:eastAsia="sv-SE"/>
        </w:rPr>
      </w:pPr>
      <w:r>
        <w:rPr>
          <w:lang w:eastAsia="sv-SE"/>
        </w:rPr>
        <w:t xml:space="preserve">Vänsterpartiet vill återupprätta det välfärdssamhälle som tidigare generationer har byggt upp och eftersträvar en samhällsutveckling med goda och jämlika förutsättningar för alla som bor och verkar i vårt land. </w:t>
      </w:r>
      <w:r w:rsidR="00FB21BA">
        <w:rPr>
          <w:lang w:eastAsia="sv-SE"/>
        </w:rPr>
        <w:t>Den ekonomiska politiken ska inriktas mot full sysselsättning och ekonomisk jämlikhet. Samtidigt måste klimatomställningsarbetet accelereras betydligt för att vi ska nå våra klimatmål.</w:t>
      </w:r>
    </w:p>
    <w:p w:rsidR="00705708" w:rsidP="004515D2" w:rsidRDefault="00BF4DD7" w14:paraId="30A56A8F" w14:textId="18758BBC">
      <w:r>
        <w:t>Det ekonomiska läget präglas i dagsläget av hög inflation, stigande räntor och effekter av Rysslands krig i Ukraina.</w:t>
      </w:r>
      <w:r w:rsidR="004515D2">
        <w:t xml:space="preserve"> </w:t>
      </w:r>
      <w:r w:rsidR="00705708">
        <w:rPr>
          <w:lang w:eastAsia="sv-SE"/>
        </w:rPr>
        <w:t>Vänsterpartiet värnar de svenska hushållens ekonomi. Vi föreslår därför i denna motion ett omfattade paket för att hushållen ska skyddas mot prischocker, kraftiga kostnadsökningar för energi och på sikt en ökande arbetslöshet.</w:t>
      </w:r>
    </w:p>
    <w:p w:rsidRPr="000663E5" w:rsidR="00BF4DD7" w:rsidP="00BF4DD7" w:rsidRDefault="00BF4DD7" w14:paraId="5819F436" w14:textId="0F26DAE4">
      <w:r w:rsidRPr="000663E5">
        <w:t>Arbetsmarknaden utvecklades starkt under första halvan av 2022 och syssel</w:t>
      </w:r>
      <w:r w:rsidR="00DF05B5">
        <w:softHyphen/>
      </w:r>
      <w:r w:rsidRPr="000663E5">
        <w:t xml:space="preserve">sättningsgraden ligger på historiskt höga nivåer. </w:t>
      </w:r>
      <w:r w:rsidR="00DE467C">
        <w:t>Mycket talar</w:t>
      </w:r>
      <w:r w:rsidRPr="000663E5">
        <w:t xml:space="preserve"> dock </w:t>
      </w:r>
      <w:r w:rsidR="00DE467C">
        <w:t xml:space="preserve">för </w:t>
      </w:r>
      <w:r w:rsidRPr="000663E5">
        <w:t>att en omsväng</w:t>
      </w:r>
      <w:r w:rsidR="00DF05B5">
        <w:softHyphen/>
      </w:r>
      <w:r w:rsidRPr="000663E5">
        <w:t>ning är på väg, inte minst inom handeln och byggbranschen. Under nästkommande år väntas sysselsättningen minska på bred front i näringslivet och arbetslösheten beräknas öka till närmare 8</w:t>
      </w:r>
      <w:r w:rsidR="001B2688">
        <w:t> </w:t>
      </w:r>
      <w:r w:rsidRPr="000663E5">
        <w:t xml:space="preserve">procent under slutet av året. </w:t>
      </w:r>
    </w:p>
    <w:p w:rsidR="007C7DDF" w:rsidP="007C7DDF" w:rsidRDefault="007C7DDF" w14:paraId="69C5C0A6" w14:textId="55BB6BC9">
      <w:pPr>
        <w:rPr>
          <w:lang w:eastAsia="sv-SE"/>
        </w:rPr>
      </w:pPr>
      <w:r>
        <w:rPr>
          <w:lang w:eastAsia="sv-SE"/>
        </w:rPr>
        <w:t xml:space="preserve">Vänsterpartiet förespråkar den positiva arbetslinjen. Det innebär en politik för full sysselsättning i kombination med </w:t>
      </w:r>
      <w:r>
        <w:t>starka trygghetssystem</w:t>
      </w:r>
      <w:r w:rsidR="001B2688">
        <w:t xml:space="preserve"> som</w:t>
      </w:r>
      <w:r>
        <w:t xml:space="preserve"> ger ett skydd för individer vid tillfälliga perioder av arbetslöshet, sjukdom, föräldraledighet samt när arbetslivet är slut. Ett sådant system måste understödjas av en ekonomisk politik med stora satsningar på välfärden, utbildning och investeringar.</w:t>
      </w:r>
    </w:p>
    <w:p w:rsidR="00BF4DD7" w:rsidP="008C41F1" w:rsidRDefault="00DC752F" w14:paraId="19192C98" w14:textId="60A81253">
      <w:pPr>
        <w:rPr>
          <w:lang w:eastAsia="sv-SE"/>
        </w:rPr>
      </w:pPr>
      <w:r w:rsidRPr="000663E5">
        <w:t xml:space="preserve">Den höga inflationen sätter också Sveriges kommuner och regioner under stark ekonomisk press via höga priser på </w:t>
      </w:r>
      <w:r>
        <w:t>energi, varor</w:t>
      </w:r>
      <w:r w:rsidR="001B2688">
        <w:t xml:space="preserve"> och</w:t>
      </w:r>
      <w:r>
        <w:t xml:space="preserve"> räntor</w:t>
      </w:r>
      <w:r w:rsidRPr="000663E5">
        <w:t xml:space="preserve"> och </w:t>
      </w:r>
      <w:r>
        <w:t>ökade pensions</w:t>
      </w:r>
      <w:r w:rsidR="00DF05B5">
        <w:softHyphen/>
      </w:r>
      <w:r>
        <w:t>kostnader</w:t>
      </w:r>
      <w:r w:rsidRPr="000663E5">
        <w:t>.</w:t>
      </w:r>
      <w:r w:rsidR="008C41F1">
        <w:t xml:space="preserve"> </w:t>
      </w:r>
      <w:r w:rsidR="008920CA">
        <w:rPr>
          <w:lang w:eastAsia="sv-SE"/>
        </w:rPr>
        <w:t xml:space="preserve">Vänsterpartiet driver ökade statsbidrag till kommuner och regioner som en prioriterad fråga. </w:t>
      </w:r>
      <w:r w:rsidR="00BF4DD7">
        <w:rPr>
          <w:lang w:eastAsia="sv-SE"/>
        </w:rPr>
        <w:t xml:space="preserve">Välfärdssektorn har under lång tid varit underfinansierad. Samhället behöver förnya sitt åtagande att säkerställa en god arbetsmiljö och goda arbetsvillkor för de som söker sig till förskolan, sjukvården, skolan och äldreomsorgen och för de som redan arbetar där. För Vänsterpartiet är det vidare en självklarhet att resurserna som är </w:t>
      </w:r>
      <w:r w:rsidR="00BF4DD7">
        <w:rPr>
          <w:lang w:eastAsia="sv-SE"/>
        </w:rPr>
        <w:lastRenderedPageBreak/>
        <w:t xml:space="preserve">avsatta för att finansiera den gemensamma välfärden ska gå till </w:t>
      </w:r>
      <w:r w:rsidR="00AD619D">
        <w:rPr>
          <w:lang w:eastAsia="sv-SE"/>
        </w:rPr>
        <w:t>utbildning, vård och omsorg</w:t>
      </w:r>
      <w:r w:rsidR="00BF4DD7">
        <w:rPr>
          <w:lang w:eastAsia="sv-SE"/>
        </w:rPr>
        <w:t xml:space="preserve"> och inte till kommersiella bolag som etablerat sig i sektorn.</w:t>
      </w:r>
    </w:p>
    <w:p w:rsidR="000F1B85" w:rsidP="000F1B85" w:rsidRDefault="000F1B85" w14:paraId="15224AC4" w14:textId="2AD3EE85">
      <w:pPr>
        <w:rPr>
          <w:lang w:eastAsia="sv-SE"/>
        </w:rPr>
      </w:pPr>
      <w:r>
        <w:rPr>
          <w:lang w:eastAsia="sv-SE"/>
        </w:rPr>
        <w:t xml:space="preserve">Världen befinner sig i ett klimatnödläge. Det står bortom allt tvivel att mer behöver göras såväl globalt som nationellt och lokalt. När samhället ställer om ska det ske på ett socialt hållbart sätt. </w:t>
      </w:r>
      <w:r w:rsidR="00342613">
        <w:rPr>
          <w:lang w:eastAsia="sv-SE"/>
        </w:rPr>
        <w:t>S</w:t>
      </w:r>
      <w:r>
        <w:rPr>
          <w:lang w:eastAsia="sv-SE"/>
        </w:rPr>
        <w:t xml:space="preserve">amhället behöver framför allt bygga hållbara alternativ till dagens klimatskadliga verksamheter. Vänsterpartiet </w:t>
      </w:r>
      <w:r w:rsidR="00342613">
        <w:rPr>
          <w:lang w:eastAsia="sv-SE"/>
        </w:rPr>
        <w:t>vill därför sjösätta</w:t>
      </w:r>
      <w:r>
        <w:rPr>
          <w:lang w:eastAsia="sv-SE"/>
        </w:rPr>
        <w:t xml:space="preserve"> ett historiskt omfattande investeringspaket för klimatet. Genom investeringar på 700 miljarder kronor vill vi de kommande tio åren se till att klimatomställningen accelereras.</w:t>
      </w:r>
      <w:r w:rsidR="00342613">
        <w:rPr>
          <w:lang w:eastAsia="sv-SE"/>
        </w:rPr>
        <w:t xml:space="preserve"> </w:t>
      </w:r>
      <w:r>
        <w:rPr>
          <w:lang w:eastAsia="sv-SE"/>
        </w:rPr>
        <w:t>Vänsterpartiets före</w:t>
      </w:r>
      <w:r w:rsidR="00DF05B5">
        <w:rPr>
          <w:lang w:eastAsia="sv-SE"/>
        </w:rPr>
        <w:softHyphen/>
      </w:r>
      <w:r>
        <w:rPr>
          <w:lang w:eastAsia="sv-SE"/>
        </w:rPr>
        <w:t>slagna investeringsprogram kommer att innebära ökad jämlikhet, stärkt produktivitet, minskad arbetslöshet och en modernisering av det svenska samhället.</w:t>
      </w:r>
    </w:p>
    <w:p w:rsidR="00BF4DD7" w:rsidP="000F1B85" w:rsidRDefault="00BF4DD7" w14:paraId="75D09543" w14:textId="1F721B2B">
      <w:pPr>
        <w:rPr>
          <w:lang w:eastAsia="sv-SE"/>
        </w:rPr>
      </w:pPr>
      <w:r>
        <w:rPr>
          <w:lang w:eastAsia="sv-SE"/>
        </w:rPr>
        <w:t>Ojämlikheten i Sverige har ökat sedan mitten av 1980-talet. En viktig orsak till de ökade klyftorna är hur det svenska skattesystemet utvecklats. Skattekvoten har sänkts från 49,8</w:t>
      </w:r>
      <w:r w:rsidR="00DB788A">
        <w:rPr>
          <w:lang w:eastAsia="sv-SE"/>
        </w:rPr>
        <w:t> </w:t>
      </w:r>
      <w:r>
        <w:rPr>
          <w:lang w:eastAsia="sv-SE"/>
        </w:rPr>
        <w:t>procent 1990 till 42,1</w:t>
      </w:r>
      <w:r w:rsidR="00DB788A">
        <w:rPr>
          <w:lang w:eastAsia="sv-SE"/>
        </w:rPr>
        <w:t> </w:t>
      </w:r>
      <w:r>
        <w:rPr>
          <w:lang w:eastAsia="sv-SE"/>
        </w:rPr>
        <w:t>procent 2022, vilket motsvarar ca</w:t>
      </w:r>
      <w:r w:rsidR="00DB788A">
        <w:rPr>
          <w:lang w:eastAsia="sv-SE"/>
        </w:rPr>
        <w:t> </w:t>
      </w:r>
      <w:r>
        <w:rPr>
          <w:lang w:eastAsia="sv-SE"/>
        </w:rPr>
        <w:t xml:space="preserve">440 miljarder kronor i mindre skatteinkomster varje år. Vänsterpartiet </w:t>
      </w:r>
      <w:r w:rsidR="000F1B85">
        <w:rPr>
          <w:lang w:eastAsia="sv-SE"/>
        </w:rPr>
        <w:t>efterlyser</w:t>
      </w:r>
      <w:r>
        <w:rPr>
          <w:lang w:eastAsia="sv-SE"/>
        </w:rPr>
        <w:t xml:space="preserve"> en genomgripande skatte</w:t>
      </w:r>
      <w:r w:rsidR="00DF05B5">
        <w:rPr>
          <w:lang w:eastAsia="sv-SE"/>
        </w:rPr>
        <w:softHyphen/>
      </w:r>
      <w:r>
        <w:rPr>
          <w:lang w:eastAsia="sv-SE"/>
        </w:rPr>
        <w:t>reform som ska skapa ett enhetligt, rättvist och legitimt skattesystem som kan bidra till en långsiktig finansiering av välfärden.</w:t>
      </w:r>
    </w:p>
    <w:p w:rsidR="00982C02" w:rsidP="00D253AA" w:rsidRDefault="00BF4DD7" w14:paraId="1324CE40" w14:textId="0C5975B1">
      <w:r>
        <w:rPr>
          <w:lang w:eastAsia="sv-SE"/>
        </w:rPr>
        <w:t xml:space="preserve">Sverige har bland de starkaste offentliga finanserna i västvärlden och löpande och stora överskott i bytesbalansen. </w:t>
      </w:r>
      <w:r w:rsidR="006A6C1A">
        <w:t xml:space="preserve">Den svenska ekonomin </w:t>
      </w:r>
      <w:r w:rsidR="00F958AD">
        <w:t xml:space="preserve">är </w:t>
      </w:r>
      <w:r w:rsidR="006A6C1A">
        <w:t>på väg in i en lågkonjunktur, vilket motiverar en finanspolitik i expansiv riktning. Finanspolitiken bör samtidigt inte utformas på ett sätt som motverkar Riksbankens arbete. I vårt budgetalternativ lägger vi därför en budget i balans.</w:t>
      </w:r>
      <w:r w:rsidR="008478C1">
        <w:t xml:space="preserve"> </w:t>
      </w:r>
    </w:p>
    <w:p w:rsidR="00BF4DD7" w:rsidP="00D253AA" w:rsidRDefault="00BF4DD7" w14:paraId="53BC4035" w14:textId="127AED95">
      <w:pPr>
        <w:rPr>
          <w:lang w:eastAsia="sv-SE"/>
        </w:rPr>
      </w:pPr>
      <w:r>
        <w:rPr>
          <w:lang w:eastAsia="sv-SE"/>
        </w:rPr>
        <w:t>Den ekonomiska politiken bör styras av reala mål om ökad sysselsättning, rättvis fördelning, investeringar och klimatomställning – där offentligfinansiella mål och inflationsmål blir verktyg för att uppnå de reala målen. Vänsterpartiet föreslår därför att det finanspolitiska ramverket kompletteras med mål för arbetsmarknaden om full sysselsättning och ett mål för offentliga investeringar i linje med våra klimatåtaganden.</w:t>
      </w:r>
    </w:p>
    <w:p w:rsidR="00B50CBA" w:rsidRDefault="00B50CBA" w14:paraId="10F91631" w14:textId="25D56A72">
      <w:pPr>
        <w:tabs>
          <w:tab w:val="clear" w:pos="284"/>
          <w:tab w:val="clear" w:pos="567"/>
          <w:tab w:val="clear" w:pos="851"/>
          <w:tab w:val="clear" w:pos="1134"/>
          <w:tab w:val="clear" w:pos="1701"/>
          <w:tab w:val="clear" w:pos="2268"/>
          <w:tab w:val="clear" w:pos="4536"/>
          <w:tab w:val="clear" w:pos="9072"/>
        </w:tabs>
        <w:spacing w:after="240" w:line="240" w:lineRule="auto"/>
        <w:ind w:firstLine="284"/>
        <w:rPr>
          <w:lang w:eastAsia="sv-SE"/>
        </w:rPr>
      </w:pPr>
      <w:r>
        <w:rPr>
          <w:lang w:eastAsia="sv-SE"/>
        </w:rPr>
        <w:br w:type="page"/>
      </w:r>
    </w:p>
    <w:bookmarkStart w:name="_Toc149814506"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FA5352" w:rsidR="00D60AE5" w:rsidP="00FA5352" w:rsidRDefault="00D60AE5" w14:paraId="38904BAD" w14:textId="5495D0DF">
          <w:pPr>
            <w:pStyle w:val="Rubrik1numrerat"/>
          </w:pPr>
          <w:r w:rsidRPr="00FA5352">
            <w:t>Innehåll</w:t>
          </w:r>
          <w:r w:rsidR="00B50CBA">
            <w:t>sförteckning</w:t>
          </w:r>
          <w:bookmarkEnd w:id="1"/>
        </w:p>
        <w:p w:rsidR="00FF6C83" w:rsidRDefault="00FF6C83" w14:paraId="027DA70D" w14:textId="4799307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9814505">
            <w:r w:rsidRPr="002F48A6">
              <w:rPr>
                <w:rStyle w:val="Hyperlnk"/>
                <w:noProof/>
              </w:rPr>
              <w:t>1 Sammanfattning</w:t>
            </w:r>
            <w:r>
              <w:rPr>
                <w:noProof/>
                <w:webHidden/>
              </w:rPr>
              <w:tab/>
            </w:r>
            <w:r>
              <w:rPr>
                <w:noProof/>
                <w:webHidden/>
              </w:rPr>
              <w:fldChar w:fldCharType="begin"/>
            </w:r>
            <w:r>
              <w:rPr>
                <w:noProof/>
                <w:webHidden/>
              </w:rPr>
              <w:instrText xml:space="preserve"> PAGEREF _Toc149814505 \h </w:instrText>
            </w:r>
            <w:r>
              <w:rPr>
                <w:noProof/>
                <w:webHidden/>
              </w:rPr>
            </w:r>
            <w:r>
              <w:rPr>
                <w:noProof/>
                <w:webHidden/>
              </w:rPr>
              <w:fldChar w:fldCharType="separate"/>
            </w:r>
            <w:r>
              <w:rPr>
                <w:noProof/>
                <w:webHidden/>
              </w:rPr>
              <w:t>1</w:t>
            </w:r>
            <w:r>
              <w:rPr>
                <w:noProof/>
                <w:webHidden/>
              </w:rPr>
              <w:fldChar w:fldCharType="end"/>
            </w:r>
          </w:hyperlink>
        </w:p>
        <w:p w:rsidR="00FF6C83" w:rsidRDefault="00FF6C83" w14:paraId="297E3E8B" w14:textId="70508845">
          <w:pPr>
            <w:pStyle w:val="Innehll1"/>
            <w:tabs>
              <w:tab w:val="right" w:leader="dot" w:pos="8494"/>
            </w:tabs>
            <w:rPr>
              <w:rFonts w:eastAsiaTheme="minorEastAsia"/>
              <w:noProof/>
              <w:kern w:val="0"/>
              <w:sz w:val="22"/>
              <w:szCs w:val="22"/>
              <w:lang w:eastAsia="sv-SE"/>
              <w14:numSpacing w14:val="default"/>
            </w:rPr>
          </w:pPr>
          <w:hyperlink w:history="1" w:anchor="_Toc149814506">
            <w:r w:rsidRPr="002F48A6">
              <w:rPr>
                <w:rStyle w:val="Hyperlnk"/>
                <w:noProof/>
              </w:rPr>
              <w:t>2 Innehållsförteckning</w:t>
            </w:r>
            <w:r>
              <w:rPr>
                <w:noProof/>
                <w:webHidden/>
              </w:rPr>
              <w:tab/>
            </w:r>
            <w:r>
              <w:rPr>
                <w:noProof/>
                <w:webHidden/>
              </w:rPr>
              <w:fldChar w:fldCharType="begin"/>
            </w:r>
            <w:r>
              <w:rPr>
                <w:noProof/>
                <w:webHidden/>
              </w:rPr>
              <w:instrText xml:space="preserve"> PAGEREF _Toc149814506 \h </w:instrText>
            </w:r>
            <w:r>
              <w:rPr>
                <w:noProof/>
                <w:webHidden/>
              </w:rPr>
            </w:r>
            <w:r>
              <w:rPr>
                <w:noProof/>
                <w:webHidden/>
              </w:rPr>
              <w:fldChar w:fldCharType="separate"/>
            </w:r>
            <w:r>
              <w:rPr>
                <w:noProof/>
                <w:webHidden/>
              </w:rPr>
              <w:t>3</w:t>
            </w:r>
            <w:r>
              <w:rPr>
                <w:noProof/>
                <w:webHidden/>
              </w:rPr>
              <w:fldChar w:fldCharType="end"/>
            </w:r>
          </w:hyperlink>
        </w:p>
        <w:p w:rsidR="00FF6C83" w:rsidRDefault="00FF6C83" w14:paraId="6B322367" w14:textId="31604929">
          <w:pPr>
            <w:pStyle w:val="Innehll1"/>
            <w:tabs>
              <w:tab w:val="right" w:leader="dot" w:pos="8494"/>
            </w:tabs>
            <w:rPr>
              <w:rFonts w:eastAsiaTheme="minorEastAsia"/>
              <w:noProof/>
              <w:kern w:val="0"/>
              <w:sz w:val="22"/>
              <w:szCs w:val="22"/>
              <w:lang w:eastAsia="sv-SE"/>
              <w14:numSpacing w14:val="default"/>
            </w:rPr>
          </w:pPr>
          <w:hyperlink w:history="1" w:anchor="_Toc149814507">
            <w:r w:rsidRPr="002F48A6">
              <w:rPr>
                <w:rStyle w:val="Hyperlnk"/>
                <w:noProof/>
              </w:rPr>
              <w:t>3 Förslag till riksdagsbeslut</w:t>
            </w:r>
            <w:r>
              <w:rPr>
                <w:noProof/>
                <w:webHidden/>
              </w:rPr>
              <w:tab/>
            </w:r>
            <w:r>
              <w:rPr>
                <w:noProof/>
                <w:webHidden/>
              </w:rPr>
              <w:fldChar w:fldCharType="begin"/>
            </w:r>
            <w:r>
              <w:rPr>
                <w:noProof/>
                <w:webHidden/>
              </w:rPr>
              <w:instrText xml:space="preserve"> PAGEREF _Toc149814507 \h </w:instrText>
            </w:r>
            <w:r>
              <w:rPr>
                <w:noProof/>
                <w:webHidden/>
              </w:rPr>
            </w:r>
            <w:r>
              <w:rPr>
                <w:noProof/>
                <w:webHidden/>
              </w:rPr>
              <w:fldChar w:fldCharType="separate"/>
            </w:r>
            <w:r>
              <w:rPr>
                <w:noProof/>
                <w:webHidden/>
              </w:rPr>
              <w:t>6</w:t>
            </w:r>
            <w:r>
              <w:rPr>
                <w:noProof/>
                <w:webHidden/>
              </w:rPr>
              <w:fldChar w:fldCharType="end"/>
            </w:r>
          </w:hyperlink>
        </w:p>
        <w:p w:rsidR="00FF6C83" w:rsidRDefault="00FF6C83" w14:paraId="7D850D24" w14:textId="4B406D93">
          <w:pPr>
            <w:pStyle w:val="Innehll1"/>
            <w:tabs>
              <w:tab w:val="right" w:leader="dot" w:pos="8494"/>
            </w:tabs>
            <w:rPr>
              <w:rFonts w:eastAsiaTheme="minorEastAsia"/>
              <w:noProof/>
              <w:kern w:val="0"/>
              <w:sz w:val="22"/>
              <w:szCs w:val="22"/>
              <w:lang w:eastAsia="sv-SE"/>
              <w14:numSpacing w14:val="default"/>
            </w:rPr>
          </w:pPr>
          <w:hyperlink w:history="1" w:anchor="_Toc149814508">
            <w:r w:rsidRPr="002F48A6">
              <w:rPr>
                <w:rStyle w:val="Hyperlnk"/>
                <w:noProof/>
              </w:rPr>
              <w:t>4 Det ekonomiska läget</w:t>
            </w:r>
            <w:r>
              <w:rPr>
                <w:noProof/>
                <w:webHidden/>
              </w:rPr>
              <w:tab/>
            </w:r>
            <w:r>
              <w:rPr>
                <w:noProof/>
                <w:webHidden/>
              </w:rPr>
              <w:fldChar w:fldCharType="begin"/>
            </w:r>
            <w:r>
              <w:rPr>
                <w:noProof/>
                <w:webHidden/>
              </w:rPr>
              <w:instrText xml:space="preserve"> PAGEREF _Toc149814508 \h </w:instrText>
            </w:r>
            <w:r>
              <w:rPr>
                <w:noProof/>
                <w:webHidden/>
              </w:rPr>
            </w:r>
            <w:r>
              <w:rPr>
                <w:noProof/>
                <w:webHidden/>
              </w:rPr>
              <w:fldChar w:fldCharType="separate"/>
            </w:r>
            <w:r>
              <w:rPr>
                <w:noProof/>
                <w:webHidden/>
              </w:rPr>
              <w:t>6</w:t>
            </w:r>
            <w:r>
              <w:rPr>
                <w:noProof/>
                <w:webHidden/>
              </w:rPr>
              <w:fldChar w:fldCharType="end"/>
            </w:r>
          </w:hyperlink>
        </w:p>
        <w:p w:rsidR="00FF6C83" w:rsidRDefault="00FF6C83" w14:paraId="74561F7A" w14:textId="38985086">
          <w:pPr>
            <w:pStyle w:val="Innehll2"/>
            <w:tabs>
              <w:tab w:val="right" w:leader="dot" w:pos="8494"/>
            </w:tabs>
            <w:rPr>
              <w:rFonts w:eastAsiaTheme="minorEastAsia"/>
              <w:noProof/>
              <w:kern w:val="0"/>
              <w:sz w:val="22"/>
              <w:szCs w:val="22"/>
              <w:lang w:eastAsia="sv-SE"/>
              <w14:numSpacing w14:val="default"/>
            </w:rPr>
          </w:pPr>
          <w:hyperlink w:history="1" w:anchor="_Toc149814509">
            <w:r w:rsidRPr="002F48A6">
              <w:rPr>
                <w:rStyle w:val="Hyperlnk"/>
                <w:noProof/>
                <w:lang w:eastAsia="sv-SE"/>
              </w:rPr>
              <w:t>4.1 Det svikna Sverige</w:t>
            </w:r>
            <w:r>
              <w:rPr>
                <w:noProof/>
                <w:webHidden/>
              </w:rPr>
              <w:tab/>
            </w:r>
            <w:r>
              <w:rPr>
                <w:noProof/>
                <w:webHidden/>
              </w:rPr>
              <w:fldChar w:fldCharType="begin"/>
            </w:r>
            <w:r>
              <w:rPr>
                <w:noProof/>
                <w:webHidden/>
              </w:rPr>
              <w:instrText xml:space="preserve"> PAGEREF _Toc149814509 \h </w:instrText>
            </w:r>
            <w:r>
              <w:rPr>
                <w:noProof/>
                <w:webHidden/>
              </w:rPr>
            </w:r>
            <w:r>
              <w:rPr>
                <w:noProof/>
                <w:webHidden/>
              </w:rPr>
              <w:fldChar w:fldCharType="separate"/>
            </w:r>
            <w:r>
              <w:rPr>
                <w:noProof/>
                <w:webHidden/>
              </w:rPr>
              <w:t>8</w:t>
            </w:r>
            <w:r>
              <w:rPr>
                <w:noProof/>
                <w:webHidden/>
              </w:rPr>
              <w:fldChar w:fldCharType="end"/>
            </w:r>
          </w:hyperlink>
        </w:p>
        <w:p w:rsidR="00FF6C83" w:rsidRDefault="00FF6C83" w14:paraId="27027FD6" w14:textId="5491AB7F">
          <w:pPr>
            <w:pStyle w:val="Innehll3"/>
            <w:tabs>
              <w:tab w:val="right" w:leader="dot" w:pos="8494"/>
            </w:tabs>
            <w:rPr>
              <w:rFonts w:eastAsiaTheme="minorEastAsia"/>
              <w:noProof/>
              <w:kern w:val="0"/>
              <w:sz w:val="22"/>
              <w:szCs w:val="22"/>
              <w:lang w:eastAsia="sv-SE"/>
              <w14:numSpacing w14:val="default"/>
            </w:rPr>
          </w:pPr>
          <w:hyperlink w:history="1" w:anchor="_Toc149814510">
            <w:r w:rsidRPr="002F48A6">
              <w:rPr>
                <w:rStyle w:val="Hyperlnk"/>
                <w:noProof/>
              </w:rPr>
              <w:t>4.1.1 Den negativa arbetslinjen</w:t>
            </w:r>
            <w:r>
              <w:rPr>
                <w:noProof/>
                <w:webHidden/>
              </w:rPr>
              <w:tab/>
            </w:r>
            <w:r>
              <w:rPr>
                <w:noProof/>
                <w:webHidden/>
              </w:rPr>
              <w:fldChar w:fldCharType="begin"/>
            </w:r>
            <w:r>
              <w:rPr>
                <w:noProof/>
                <w:webHidden/>
              </w:rPr>
              <w:instrText xml:space="preserve"> PAGEREF _Toc149814510 \h </w:instrText>
            </w:r>
            <w:r>
              <w:rPr>
                <w:noProof/>
                <w:webHidden/>
              </w:rPr>
            </w:r>
            <w:r>
              <w:rPr>
                <w:noProof/>
                <w:webHidden/>
              </w:rPr>
              <w:fldChar w:fldCharType="separate"/>
            </w:r>
            <w:r>
              <w:rPr>
                <w:noProof/>
                <w:webHidden/>
              </w:rPr>
              <w:t>9</w:t>
            </w:r>
            <w:r>
              <w:rPr>
                <w:noProof/>
                <w:webHidden/>
              </w:rPr>
              <w:fldChar w:fldCharType="end"/>
            </w:r>
          </w:hyperlink>
        </w:p>
        <w:p w:rsidR="00FF6C83" w:rsidRDefault="00FF6C83" w14:paraId="25EEF99A" w14:textId="50F96C27">
          <w:pPr>
            <w:pStyle w:val="Innehll3"/>
            <w:tabs>
              <w:tab w:val="right" w:leader="dot" w:pos="8494"/>
            </w:tabs>
            <w:rPr>
              <w:rFonts w:eastAsiaTheme="minorEastAsia"/>
              <w:noProof/>
              <w:kern w:val="0"/>
              <w:sz w:val="22"/>
              <w:szCs w:val="22"/>
              <w:lang w:eastAsia="sv-SE"/>
              <w14:numSpacing w14:val="default"/>
            </w:rPr>
          </w:pPr>
          <w:hyperlink w:history="1" w:anchor="_Toc149814511">
            <w:r w:rsidRPr="002F48A6">
              <w:rPr>
                <w:rStyle w:val="Hyperlnk"/>
                <w:noProof/>
              </w:rPr>
              <w:t>4.1.2 Brott, straff och skjutvapenvåld</w:t>
            </w:r>
            <w:r>
              <w:rPr>
                <w:noProof/>
                <w:webHidden/>
              </w:rPr>
              <w:tab/>
            </w:r>
            <w:r>
              <w:rPr>
                <w:noProof/>
                <w:webHidden/>
              </w:rPr>
              <w:fldChar w:fldCharType="begin"/>
            </w:r>
            <w:r>
              <w:rPr>
                <w:noProof/>
                <w:webHidden/>
              </w:rPr>
              <w:instrText xml:space="preserve"> PAGEREF _Toc149814511 \h </w:instrText>
            </w:r>
            <w:r>
              <w:rPr>
                <w:noProof/>
                <w:webHidden/>
              </w:rPr>
            </w:r>
            <w:r>
              <w:rPr>
                <w:noProof/>
                <w:webHidden/>
              </w:rPr>
              <w:fldChar w:fldCharType="separate"/>
            </w:r>
            <w:r>
              <w:rPr>
                <w:noProof/>
                <w:webHidden/>
              </w:rPr>
              <w:t>13</w:t>
            </w:r>
            <w:r>
              <w:rPr>
                <w:noProof/>
                <w:webHidden/>
              </w:rPr>
              <w:fldChar w:fldCharType="end"/>
            </w:r>
          </w:hyperlink>
        </w:p>
        <w:p w:rsidR="00FF6C83" w:rsidRDefault="00FF6C83" w14:paraId="5BEA6003" w14:textId="1AFC02E4">
          <w:pPr>
            <w:pStyle w:val="Innehll3"/>
            <w:tabs>
              <w:tab w:val="right" w:leader="dot" w:pos="8494"/>
            </w:tabs>
            <w:rPr>
              <w:rFonts w:eastAsiaTheme="minorEastAsia"/>
              <w:noProof/>
              <w:kern w:val="0"/>
              <w:sz w:val="22"/>
              <w:szCs w:val="22"/>
              <w:lang w:eastAsia="sv-SE"/>
              <w14:numSpacing w14:val="default"/>
            </w:rPr>
          </w:pPr>
          <w:hyperlink w:history="1" w:anchor="_Toc149814512">
            <w:r w:rsidRPr="002F48A6">
              <w:rPr>
                <w:rStyle w:val="Hyperlnk"/>
                <w:noProof/>
              </w:rPr>
              <w:t>4.1.3 Underbara dagar framför oss?</w:t>
            </w:r>
            <w:r>
              <w:rPr>
                <w:noProof/>
                <w:webHidden/>
              </w:rPr>
              <w:tab/>
            </w:r>
            <w:r>
              <w:rPr>
                <w:noProof/>
                <w:webHidden/>
              </w:rPr>
              <w:fldChar w:fldCharType="begin"/>
            </w:r>
            <w:r>
              <w:rPr>
                <w:noProof/>
                <w:webHidden/>
              </w:rPr>
              <w:instrText xml:space="preserve"> PAGEREF _Toc149814512 \h </w:instrText>
            </w:r>
            <w:r>
              <w:rPr>
                <w:noProof/>
                <w:webHidden/>
              </w:rPr>
            </w:r>
            <w:r>
              <w:rPr>
                <w:noProof/>
                <w:webHidden/>
              </w:rPr>
              <w:fldChar w:fldCharType="separate"/>
            </w:r>
            <w:r>
              <w:rPr>
                <w:noProof/>
                <w:webHidden/>
              </w:rPr>
              <w:t>16</w:t>
            </w:r>
            <w:r>
              <w:rPr>
                <w:noProof/>
                <w:webHidden/>
              </w:rPr>
              <w:fldChar w:fldCharType="end"/>
            </w:r>
          </w:hyperlink>
        </w:p>
        <w:p w:rsidR="00FF6C83" w:rsidRDefault="00FF6C83" w14:paraId="49722F7A" w14:textId="1DD910DA">
          <w:pPr>
            <w:pStyle w:val="Innehll2"/>
            <w:tabs>
              <w:tab w:val="right" w:leader="dot" w:pos="8494"/>
            </w:tabs>
            <w:rPr>
              <w:rFonts w:eastAsiaTheme="minorEastAsia"/>
              <w:noProof/>
              <w:kern w:val="0"/>
              <w:sz w:val="22"/>
              <w:szCs w:val="22"/>
              <w:lang w:eastAsia="sv-SE"/>
              <w14:numSpacing w14:val="default"/>
            </w:rPr>
          </w:pPr>
          <w:hyperlink w:history="1" w:anchor="_Toc149814513">
            <w:r w:rsidRPr="002F48A6">
              <w:rPr>
                <w:rStyle w:val="Hyperlnk"/>
                <w:noProof/>
              </w:rPr>
              <w:t>4.2 Marknaden hör inte hemma i välfärden</w:t>
            </w:r>
            <w:r>
              <w:rPr>
                <w:noProof/>
                <w:webHidden/>
              </w:rPr>
              <w:tab/>
            </w:r>
            <w:r>
              <w:rPr>
                <w:noProof/>
                <w:webHidden/>
              </w:rPr>
              <w:fldChar w:fldCharType="begin"/>
            </w:r>
            <w:r>
              <w:rPr>
                <w:noProof/>
                <w:webHidden/>
              </w:rPr>
              <w:instrText xml:space="preserve"> PAGEREF _Toc149814513 \h </w:instrText>
            </w:r>
            <w:r>
              <w:rPr>
                <w:noProof/>
                <w:webHidden/>
              </w:rPr>
            </w:r>
            <w:r>
              <w:rPr>
                <w:noProof/>
                <w:webHidden/>
              </w:rPr>
              <w:fldChar w:fldCharType="separate"/>
            </w:r>
            <w:r>
              <w:rPr>
                <w:noProof/>
                <w:webHidden/>
              </w:rPr>
              <w:t>17</w:t>
            </w:r>
            <w:r>
              <w:rPr>
                <w:noProof/>
                <w:webHidden/>
              </w:rPr>
              <w:fldChar w:fldCharType="end"/>
            </w:r>
          </w:hyperlink>
        </w:p>
        <w:p w:rsidR="00FF6C83" w:rsidRDefault="00FF6C83" w14:paraId="3C9433BC" w14:textId="38AA4C99">
          <w:pPr>
            <w:pStyle w:val="Innehll3"/>
            <w:tabs>
              <w:tab w:val="right" w:leader="dot" w:pos="8494"/>
            </w:tabs>
            <w:rPr>
              <w:rFonts w:eastAsiaTheme="minorEastAsia"/>
              <w:noProof/>
              <w:kern w:val="0"/>
              <w:sz w:val="22"/>
              <w:szCs w:val="22"/>
              <w:lang w:eastAsia="sv-SE"/>
              <w14:numSpacing w14:val="default"/>
            </w:rPr>
          </w:pPr>
          <w:hyperlink w:history="1" w:anchor="_Toc149814514">
            <w:r w:rsidRPr="002F48A6">
              <w:rPr>
                <w:rStyle w:val="Hyperlnk"/>
                <w:noProof/>
              </w:rPr>
              <w:t>4.2.1 Vinstförbud i välfärden</w:t>
            </w:r>
            <w:r>
              <w:rPr>
                <w:noProof/>
                <w:webHidden/>
              </w:rPr>
              <w:tab/>
            </w:r>
            <w:r>
              <w:rPr>
                <w:noProof/>
                <w:webHidden/>
              </w:rPr>
              <w:fldChar w:fldCharType="begin"/>
            </w:r>
            <w:r>
              <w:rPr>
                <w:noProof/>
                <w:webHidden/>
              </w:rPr>
              <w:instrText xml:space="preserve"> PAGEREF _Toc149814514 \h </w:instrText>
            </w:r>
            <w:r>
              <w:rPr>
                <w:noProof/>
                <w:webHidden/>
              </w:rPr>
            </w:r>
            <w:r>
              <w:rPr>
                <w:noProof/>
                <w:webHidden/>
              </w:rPr>
              <w:fldChar w:fldCharType="separate"/>
            </w:r>
            <w:r>
              <w:rPr>
                <w:noProof/>
                <w:webHidden/>
              </w:rPr>
              <w:t>18</w:t>
            </w:r>
            <w:r>
              <w:rPr>
                <w:noProof/>
                <w:webHidden/>
              </w:rPr>
              <w:fldChar w:fldCharType="end"/>
            </w:r>
          </w:hyperlink>
        </w:p>
        <w:p w:rsidR="00FF6C83" w:rsidRDefault="00FF6C83" w14:paraId="1C919A07" w14:textId="4B14CD9D">
          <w:pPr>
            <w:pStyle w:val="Innehll3"/>
            <w:tabs>
              <w:tab w:val="right" w:leader="dot" w:pos="8494"/>
            </w:tabs>
            <w:rPr>
              <w:rFonts w:eastAsiaTheme="minorEastAsia"/>
              <w:noProof/>
              <w:kern w:val="0"/>
              <w:sz w:val="22"/>
              <w:szCs w:val="22"/>
              <w:lang w:eastAsia="sv-SE"/>
              <w14:numSpacing w14:val="default"/>
            </w:rPr>
          </w:pPr>
          <w:hyperlink w:history="1" w:anchor="_Toc149814515">
            <w:r w:rsidRPr="002F48A6">
              <w:rPr>
                <w:rStyle w:val="Hyperlnk"/>
                <w:noProof/>
              </w:rPr>
              <w:t>4.2.2 Valfrihet för brukare, inte företag</w:t>
            </w:r>
            <w:r>
              <w:rPr>
                <w:noProof/>
                <w:webHidden/>
              </w:rPr>
              <w:tab/>
            </w:r>
            <w:r>
              <w:rPr>
                <w:noProof/>
                <w:webHidden/>
              </w:rPr>
              <w:fldChar w:fldCharType="begin"/>
            </w:r>
            <w:r>
              <w:rPr>
                <w:noProof/>
                <w:webHidden/>
              </w:rPr>
              <w:instrText xml:space="preserve"> PAGEREF _Toc149814515 \h </w:instrText>
            </w:r>
            <w:r>
              <w:rPr>
                <w:noProof/>
                <w:webHidden/>
              </w:rPr>
            </w:r>
            <w:r>
              <w:rPr>
                <w:noProof/>
                <w:webHidden/>
              </w:rPr>
              <w:fldChar w:fldCharType="separate"/>
            </w:r>
            <w:r>
              <w:rPr>
                <w:noProof/>
                <w:webHidden/>
              </w:rPr>
              <w:t>19</w:t>
            </w:r>
            <w:r>
              <w:rPr>
                <w:noProof/>
                <w:webHidden/>
              </w:rPr>
              <w:fldChar w:fldCharType="end"/>
            </w:r>
          </w:hyperlink>
        </w:p>
        <w:p w:rsidR="00FF6C83" w:rsidRDefault="00FF6C83" w14:paraId="18CEB325" w14:textId="0305B47A">
          <w:pPr>
            <w:pStyle w:val="Innehll3"/>
            <w:tabs>
              <w:tab w:val="right" w:leader="dot" w:pos="8494"/>
            </w:tabs>
            <w:rPr>
              <w:rFonts w:eastAsiaTheme="minorEastAsia"/>
              <w:noProof/>
              <w:kern w:val="0"/>
              <w:sz w:val="22"/>
              <w:szCs w:val="22"/>
              <w:lang w:eastAsia="sv-SE"/>
              <w14:numSpacing w14:val="default"/>
            </w:rPr>
          </w:pPr>
          <w:hyperlink w:history="1" w:anchor="_Toc149814516">
            <w:r w:rsidRPr="002F48A6">
              <w:rPr>
                <w:rStyle w:val="Hyperlnk"/>
                <w:noProof/>
              </w:rPr>
              <w:t>4.2.3 En stopplag för utförsäljning av samhällsfastigheter</w:t>
            </w:r>
            <w:r>
              <w:rPr>
                <w:noProof/>
                <w:webHidden/>
              </w:rPr>
              <w:tab/>
            </w:r>
            <w:r>
              <w:rPr>
                <w:noProof/>
                <w:webHidden/>
              </w:rPr>
              <w:fldChar w:fldCharType="begin"/>
            </w:r>
            <w:r>
              <w:rPr>
                <w:noProof/>
                <w:webHidden/>
              </w:rPr>
              <w:instrText xml:space="preserve"> PAGEREF _Toc149814516 \h </w:instrText>
            </w:r>
            <w:r>
              <w:rPr>
                <w:noProof/>
                <w:webHidden/>
              </w:rPr>
            </w:r>
            <w:r>
              <w:rPr>
                <w:noProof/>
                <w:webHidden/>
              </w:rPr>
              <w:fldChar w:fldCharType="separate"/>
            </w:r>
            <w:r>
              <w:rPr>
                <w:noProof/>
                <w:webHidden/>
              </w:rPr>
              <w:t>19</w:t>
            </w:r>
            <w:r>
              <w:rPr>
                <w:noProof/>
                <w:webHidden/>
              </w:rPr>
              <w:fldChar w:fldCharType="end"/>
            </w:r>
          </w:hyperlink>
        </w:p>
        <w:p w:rsidR="00FF6C83" w:rsidRDefault="00FF6C83" w14:paraId="4CBB598C" w14:textId="212F8C21">
          <w:pPr>
            <w:pStyle w:val="Innehll1"/>
            <w:tabs>
              <w:tab w:val="right" w:leader="dot" w:pos="8494"/>
            </w:tabs>
            <w:rPr>
              <w:rFonts w:eastAsiaTheme="minorEastAsia"/>
              <w:noProof/>
              <w:kern w:val="0"/>
              <w:sz w:val="22"/>
              <w:szCs w:val="22"/>
              <w:lang w:eastAsia="sv-SE"/>
              <w14:numSpacing w14:val="default"/>
            </w:rPr>
          </w:pPr>
          <w:hyperlink w:history="1" w:anchor="_Toc149814517">
            <w:r w:rsidRPr="002F48A6">
              <w:rPr>
                <w:rStyle w:val="Hyperlnk"/>
                <w:noProof/>
              </w:rPr>
              <w:t>5 Regeringens ekonomiska politik</w:t>
            </w:r>
            <w:r>
              <w:rPr>
                <w:noProof/>
                <w:webHidden/>
              </w:rPr>
              <w:tab/>
            </w:r>
            <w:r>
              <w:rPr>
                <w:noProof/>
                <w:webHidden/>
              </w:rPr>
              <w:fldChar w:fldCharType="begin"/>
            </w:r>
            <w:r>
              <w:rPr>
                <w:noProof/>
                <w:webHidden/>
              </w:rPr>
              <w:instrText xml:space="preserve"> PAGEREF _Toc149814517 \h </w:instrText>
            </w:r>
            <w:r>
              <w:rPr>
                <w:noProof/>
                <w:webHidden/>
              </w:rPr>
            </w:r>
            <w:r>
              <w:rPr>
                <w:noProof/>
                <w:webHidden/>
              </w:rPr>
              <w:fldChar w:fldCharType="separate"/>
            </w:r>
            <w:r>
              <w:rPr>
                <w:noProof/>
                <w:webHidden/>
              </w:rPr>
              <w:t>20</w:t>
            </w:r>
            <w:r>
              <w:rPr>
                <w:noProof/>
                <w:webHidden/>
              </w:rPr>
              <w:fldChar w:fldCharType="end"/>
            </w:r>
          </w:hyperlink>
        </w:p>
        <w:p w:rsidR="00FF6C83" w:rsidRDefault="00FF6C83" w14:paraId="4A673829" w14:textId="45D7335C">
          <w:pPr>
            <w:pStyle w:val="Innehll2"/>
            <w:tabs>
              <w:tab w:val="right" w:leader="dot" w:pos="8494"/>
            </w:tabs>
            <w:rPr>
              <w:rFonts w:eastAsiaTheme="minorEastAsia"/>
              <w:noProof/>
              <w:kern w:val="0"/>
              <w:sz w:val="22"/>
              <w:szCs w:val="22"/>
              <w:lang w:eastAsia="sv-SE"/>
              <w14:numSpacing w14:val="default"/>
            </w:rPr>
          </w:pPr>
          <w:hyperlink w:history="1" w:anchor="_Toc149814518">
            <w:r w:rsidRPr="002F48A6">
              <w:rPr>
                <w:rStyle w:val="Hyperlnk"/>
                <w:noProof/>
              </w:rPr>
              <w:t>5.1 Åtstramningar i välfärden</w:t>
            </w:r>
            <w:r>
              <w:rPr>
                <w:noProof/>
                <w:webHidden/>
              </w:rPr>
              <w:tab/>
            </w:r>
            <w:r>
              <w:rPr>
                <w:noProof/>
                <w:webHidden/>
              </w:rPr>
              <w:fldChar w:fldCharType="begin"/>
            </w:r>
            <w:r>
              <w:rPr>
                <w:noProof/>
                <w:webHidden/>
              </w:rPr>
              <w:instrText xml:space="preserve"> PAGEREF _Toc149814518 \h </w:instrText>
            </w:r>
            <w:r>
              <w:rPr>
                <w:noProof/>
                <w:webHidden/>
              </w:rPr>
            </w:r>
            <w:r>
              <w:rPr>
                <w:noProof/>
                <w:webHidden/>
              </w:rPr>
              <w:fldChar w:fldCharType="separate"/>
            </w:r>
            <w:r>
              <w:rPr>
                <w:noProof/>
                <w:webHidden/>
              </w:rPr>
              <w:t>20</w:t>
            </w:r>
            <w:r>
              <w:rPr>
                <w:noProof/>
                <w:webHidden/>
              </w:rPr>
              <w:fldChar w:fldCharType="end"/>
            </w:r>
          </w:hyperlink>
        </w:p>
        <w:p w:rsidR="00FF6C83" w:rsidRDefault="00FF6C83" w14:paraId="74E250BD" w14:textId="5AA8C090">
          <w:pPr>
            <w:pStyle w:val="Innehll2"/>
            <w:tabs>
              <w:tab w:val="right" w:leader="dot" w:pos="8494"/>
            </w:tabs>
            <w:rPr>
              <w:rFonts w:eastAsiaTheme="minorEastAsia"/>
              <w:noProof/>
              <w:kern w:val="0"/>
              <w:sz w:val="22"/>
              <w:szCs w:val="22"/>
              <w:lang w:eastAsia="sv-SE"/>
              <w14:numSpacing w14:val="default"/>
            </w:rPr>
          </w:pPr>
          <w:hyperlink w:history="1" w:anchor="_Toc149814519">
            <w:r w:rsidRPr="002F48A6">
              <w:rPr>
                <w:rStyle w:val="Hyperlnk"/>
                <w:noProof/>
              </w:rPr>
              <w:t>5.2 Orättvis fördelning av krisens bördor</w:t>
            </w:r>
            <w:r>
              <w:rPr>
                <w:noProof/>
                <w:webHidden/>
              </w:rPr>
              <w:tab/>
            </w:r>
            <w:r>
              <w:rPr>
                <w:noProof/>
                <w:webHidden/>
              </w:rPr>
              <w:fldChar w:fldCharType="begin"/>
            </w:r>
            <w:r>
              <w:rPr>
                <w:noProof/>
                <w:webHidden/>
              </w:rPr>
              <w:instrText xml:space="preserve"> PAGEREF _Toc149814519 \h </w:instrText>
            </w:r>
            <w:r>
              <w:rPr>
                <w:noProof/>
                <w:webHidden/>
              </w:rPr>
            </w:r>
            <w:r>
              <w:rPr>
                <w:noProof/>
                <w:webHidden/>
              </w:rPr>
              <w:fldChar w:fldCharType="separate"/>
            </w:r>
            <w:r>
              <w:rPr>
                <w:noProof/>
                <w:webHidden/>
              </w:rPr>
              <w:t>21</w:t>
            </w:r>
            <w:r>
              <w:rPr>
                <w:noProof/>
                <w:webHidden/>
              </w:rPr>
              <w:fldChar w:fldCharType="end"/>
            </w:r>
          </w:hyperlink>
        </w:p>
        <w:p w:rsidR="00FF6C83" w:rsidRDefault="00FF6C83" w14:paraId="29404651" w14:textId="6E09FACF">
          <w:pPr>
            <w:pStyle w:val="Innehll2"/>
            <w:tabs>
              <w:tab w:val="right" w:leader="dot" w:pos="8494"/>
            </w:tabs>
            <w:rPr>
              <w:rFonts w:eastAsiaTheme="minorEastAsia"/>
              <w:noProof/>
              <w:kern w:val="0"/>
              <w:sz w:val="22"/>
              <w:szCs w:val="22"/>
              <w:lang w:eastAsia="sv-SE"/>
              <w14:numSpacing w14:val="default"/>
            </w:rPr>
          </w:pPr>
          <w:hyperlink w:history="1" w:anchor="_Toc149814520">
            <w:r w:rsidRPr="002F48A6">
              <w:rPr>
                <w:rStyle w:val="Hyperlnk"/>
                <w:noProof/>
              </w:rPr>
              <w:t>5.3 Sänkta klimatambitioner</w:t>
            </w:r>
            <w:r>
              <w:rPr>
                <w:noProof/>
                <w:webHidden/>
              </w:rPr>
              <w:tab/>
            </w:r>
            <w:r>
              <w:rPr>
                <w:noProof/>
                <w:webHidden/>
              </w:rPr>
              <w:fldChar w:fldCharType="begin"/>
            </w:r>
            <w:r>
              <w:rPr>
                <w:noProof/>
                <w:webHidden/>
              </w:rPr>
              <w:instrText xml:space="preserve"> PAGEREF _Toc149814520 \h </w:instrText>
            </w:r>
            <w:r>
              <w:rPr>
                <w:noProof/>
                <w:webHidden/>
              </w:rPr>
            </w:r>
            <w:r>
              <w:rPr>
                <w:noProof/>
                <w:webHidden/>
              </w:rPr>
              <w:fldChar w:fldCharType="separate"/>
            </w:r>
            <w:r>
              <w:rPr>
                <w:noProof/>
                <w:webHidden/>
              </w:rPr>
              <w:t>21</w:t>
            </w:r>
            <w:r>
              <w:rPr>
                <w:noProof/>
                <w:webHidden/>
              </w:rPr>
              <w:fldChar w:fldCharType="end"/>
            </w:r>
          </w:hyperlink>
        </w:p>
        <w:p w:rsidR="00FF6C83" w:rsidRDefault="00FF6C83" w14:paraId="21D65B62" w14:textId="1AD5C80D">
          <w:pPr>
            <w:pStyle w:val="Innehll2"/>
            <w:tabs>
              <w:tab w:val="right" w:leader="dot" w:pos="8494"/>
            </w:tabs>
            <w:rPr>
              <w:rFonts w:eastAsiaTheme="minorEastAsia"/>
              <w:noProof/>
              <w:kern w:val="0"/>
              <w:sz w:val="22"/>
              <w:szCs w:val="22"/>
              <w:lang w:eastAsia="sv-SE"/>
              <w14:numSpacing w14:val="default"/>
            </w:rPr>
          </w:pPr>
          <w:hyperlink w:history="1" w:anchor="_Toc149814521">
            <w:r w:rsidRPr="002F48A6">
              <w:rPr>
                <w:rStyle w:val="Hyperlnk"/>
                <w:noProof/>
              </w:rPr>
              <w:t>5.4 Sveriges roll i världen</w:t>
            </w:r>
            <w:r>
              <w:rPr>
                <w:noProof/>
                <w:webHidden/>
              </w:rPr>
              <w:tab/>
            </w:r>
            <w:r>
              <w:rPr>
                <w:noProof/>
                <w:webHidden/>
              </w:rPr>
              <w:fldChar w:fldCharType="begin"/>
            </w:r>
            <w:r>
              <w:rPr>
                <w:noProof/>
                <w:webHidden/>
              </w:rPr>
              <w:instrText xml:space="preserve"> PAGEREF _Toc149814521 \h </w:instrText>
            </w:r>
            <w:r>
              <w:rPr>
                <w:noProof/>
                <w:webHidden/>
              </w:rPr>
            </w:r>
            <w:r>
              <w:rPr>
                <w:noProof/>
                <w:webHidden/>
              </w:rPr>
              <w:fldChar w:fldCharType="separate"/>
            </w:r>
            <w:r>
              <w:rPr>
                <w:noProof/>
                <w:webHidden/>
              </w:rPr>
              <w:t>22</w:t>
            </w:r>
            <w:r>
              <w:rPr>
                <w:noProof/>
                <w:webHidden/>
              </w:rPr>
              <w:fldChar w:fldCharType="end"/>
            </w:r>
          </w:hyperlink>
        </w:p>
        <w:p w:rsidR="00FF6C83" w:rsidRDefault="00FF6C83" w14:paraId="377C7CCB" w14:textId="42EEF619">
          <w:pPr>
            <w:pStyle w:val="Innehll1"/>
            <w:tabs>
              <w:tab w:val="right" w:leader="dot" w:pos="8494"/>
            </w:tabs>
            <w:rPr>
              <w:rFonts w:eastAsiaTheme="minorEastAsia"/>
              <w:noProof/>
              <w:kern w:val="0"/>
              <w:sz w:val="22"/>
              <w:szCs w:val="22"/>
              <w:lang w:eastAsia="sv-SE"/>
              <w14:numSpacing w14:val="default"/>
            </w:rPr>
          </w:pPr>
          <w:hyperlink w:history="1" w:anchor="_Toc149814522">
            <w:r w:rsidRPr="002F48A6">
              <w:rPr>
                <w:rStyle w:val="Hyperlnk"/>
                <w:noProof/>
              </w:rPr>
              <w:t>6 Vänsterpartiets riktlinjer för den ekonomiska politiken</w:t>
            </w:r>
            <w:r>
              <w:rPr>
                <w:noProof/>
                <w:webHidden/>
              </w:rPr>
              <w:tab/>
            </w:r>
            <w:r>
              <w:rPr>
                <w:noProof/>
                <w:webHidden/>
              </w:rPr>
              <w:fldChar w:fldCharType="begin"/>
            </w:r>
            <w:r>
              <w:rPr>
                <w:noProof/>
                <w:webHidden/>
              </w:rPr>
              <w:instrText xml:space="preserve"> PAGEREF _Toc149814522 \h </w:instrText>
            </w:r>
            <w:r>
              <w:rPr>
                <w:noProof/>
                <w:webHidden/>
              </w:rPr>
            </w:r>
            <w:r>
              <w:rPr>
                <w:noProof/>
                <w:webHidden/>
              </w:rPr>
              <w:fldChar w:fldCharType="separate"/>
            </w:r>
            <w:r>
              <w:rPr>
                <w:noProof/>
                <w:webHidden/>
              </w:rPr>
              <w:t>23</w:t>
            </w:r>
            <w:r>
              <w:rPr>
                <w:noProof/>
                <w:webHidden/>
              </w:rPr>
              <w:fldChar w:fldCharType="end"/>
            </w:r>
          </w:hyperlink>
        </w:p>
        <w:p w:rsidR="00FF6C83" w:rsidRDefault="00FF6C83" w14:paraId="3DCC4872" w14:textId="6F042FB6">
          <w:pPr>
            <w:pStyle w:val="Innehll2"/>
            <w:tabs>
              <w:tab w:val="right" w:leader="dot" w:pos="8494"/>
            </w:tabs>
            <w:rPr>
              <w:rFonts w:eastAsiaTheme="minorEastAsia"/>
              <w:noProof/>
              <w:kern w:val="0"/>
              <w:sz w:val="22"/>
              <w:szCs w:val="22"/>
              <w:lang w:eastAsia="sv-SE"/>
              <w14:numSpacing w14:val="default"/>
            </w:rPr>
          </w:pPr>
          <w:hyperlink w:history="1" w:anchor="_Toc149814523">
            <w:r w:rsidRPr="002F48A6">
              <w:rPr>
                <w:rStyle w:val="Hyperlnk"/>
                <w:noProof/>
              </w:rPr>
              <w:t>6.1 Den svenska modellen</w:t>
            </w:r>
            <w:r>
              <w:rPr>
                <w:noProof/>
                <w:webHidden/>
              </w:rPr>
              <w:tab/>
            </w:r>
            <w:r>
              <w:rPr>
                <w:noProof/>
                <w:webHidden/>
              </w:rPr>
              <w:fldChar w:fldCharType="begin"/>
            </w:r>
            <w:r>
              <w:rPr>
                <w:noProof/>
                <w:webHidden/>
              </w:rPr>
              <w:instrText xml:space="preserve"> PAGEREF _Toc149814523 \h </w:instrText>
            </w:r>
            <w:r>
              <w:rPr>
                <w:noProof/>
                <w:webHidden/>
              </w:rPr>
            </w:r>
            <w:r>
              <w:rPr>
                <w:noProof/>
                <w:webHidden/>
              </w:rPr>
              <w:fldChar w:fldCharType="separate"/>
            </w:r>
            <w:r>
              <w:rPr>
                <w:noProof/>
                <w:webHidden/>
              </w:rPr>
              <w:t>23</w:t>
            </w:r>
            <w:r>
              <w:rPr>
                <w:noProof/>
                <w:webHidden/>
              </w:rPr>
              <w:fldChar w:fldCharType="end"/>
            </w:r>
          </w:hyperlink>
        </w:p>
        <w:p w:rsidR="00FF6C83" w:rsidRDefault="00FF6C83" w14:paraId="610408F1" w14:textId="14AD14E3">
          <w:pPr>
            <w:pStyle w:val="Innehll2"/>
            <w:tabs>
              <w:tab w:val="right" w:leader="dot" w:pos="8494"/>
            </w:tabs>
            <w:rPr>
              <w:rFonts w:eastAsiaTheme="minorEastAsia"/>
              <w:noProof/>
              <w:kern w:val="0"/>
              <w:sz w:val="22"/>
              <w:szCs w:val="22"/>
              <w:lang w:eastAsia="sv-SE"/>
              <w14:numSpacing w14:val="default"/>
            </w:rPr>
          </w:pPr>
          <w:hyperlink w:history="1" w:anchor="_Toc149814524">
            <w:r w:rsidRPr="002F48A6">
              <w:rPr>
                <w:rStyle w:val="Hyperlnk"/>
                <w:noProof/>
              </w:rPr>
              <w:t>6.2 Bryt med normpolitiken</w:t>
            </w:r>
            <w:r>
              <w:rPr>
                <w:noProof/>
                <w:webHidden/>
              </w:rPr>
              <w:tab/>
            </w:r>
            <w:r>
              <w:rPr>
                <w:noProof/>
                <w:webHidden/>
              </w:rPr>
              <w:fldChar w:fldCharType="begin"/>
            </w:r>
            <w:r>
              <w:rPr>
                <w:noProof/>
                <w:webHidden/>
              </w:rPr>
              <w:instrText xml:space="preserve"> PAGEREF _Toc149814524 \h </w:instrText>
            </w:r>
            <w:r>
              <w:rPr>
                <w:noProof/>
                <w:webHidden/>
              </w:rPr>
            </w:r>
            <w:r>
              <w:rPr>
                <w:noProof/>
                <w:webHidden/>
              </w:rPr>
              <w:fldChar w:fldCharType="separate"/>
            </w:r>
            <w:r>
              <w:rPr>
                <w:noProof/>
                <w:webHidden/>
              </w:rPr>
              <w:t>24</w:t>
            </w:r>
            <w:r>
              <w:rPr>
                <w:noProof/>
                <w:webHidden/>
              </w:rPr>
              <w:fldChar w:fldCharType="end"/>
            </w:r>
          </w:hyperlink>
        </w:p>
        <w:p w:rsidR="00FF6C83" w:rsidRDefault="00FF6C83" w14:paraId="72D7E2FC" w14:textId="0DEAC9D2">
          <w:pPr>
            <w:pStyle w:val="Innehll2"/>
            <w:tabs>
              <w:tab w:val="right" w:leader="dot" w:pos="8494"/>
            </w:tabs>
            <w:rPr>
              <w:rFonts w:eastAsiaTheme="minorEastAsia"/>
              <w:noProof/>
              <w:kern w:val="0"/>
              <w:sz w:val="22"/>
              <w:szCs w:val="22"/>
              <w:lang w:eastAsia="sv-SE"/>
              <w14:numSpacing w14:val="default"/>
            </w:rPr>
          </w:pPr>
          <w:hyperlink w:history="1" w:anchor="_Toc149814525">
            <w:r w:rsidRPr="002F48A6">
              <w:rPr>
                <w:rStyle w:val="Hyperlnk"/>
                <w:noProof/>
              </w:rPr>
              <w:t>6.3 En aktiv arbetsmarknadspolitik och trygga försäkringar</w:t>
            </w:r>
            <w:r>
              <w:rPr>
                <w:noProof/>
                <w:webHidden/>
              </w:rPr>
              <w:tab/>
            </w:r>
            <w:r>
              <w:rPr>
                <w:noProof/>
                <w:webHidden/>
              </w:rPr>
              <w:fldChar w:fldCharType="begin"/>
            </w:r>
            <w:r>
              <w:rPr>
                <w:noProof/>
                <w:webHidden/>
              </w:rPr>
              <w:instrText xml:space="preserve"> PAGEREF _Toc149814525 \h </w:instrText>
            </w:r>
            <w:r>
              <w:rPr>
                <w:noProof/>
                <w:webHidden/>
              </w:rPr>
            </w:r>
            <w:r>
              <w:rPr>
                <w:noProof/>
                <w:webHidden/>
              </w:rPr>
              <w:fldChar w:fldCharType="separate"/>
            </w:r>
            <w:r>
              <w:rPr>
                <w:noProof/>
                <w:webHidden/>
              </w:rPr>
              <w:t>25</w:t>
            </w:r>
            <w:r>
              <w:rPr>
                <w:noProof/>
                <w:webHidden/>
              </w:rPr>
              <w:fldChar w:fldCharType="end"/>
            </w:r>
          </w:hyperlink>
        </w:p>
        <w:p w:rsidR="00FF6C83" w:rsidRDefault="00FF6C83" w14:paraId="5F2BCACA" w14:textId="78352AF5">
          <w:pPr>
            <w:pStyle w:val="Innehll2"/>
            <w:tabs>
              <w:tab w:val="right" w:leader="dot" w:pos="8494"/>
            </w:tabs>
            <w:rPr>
              <w:rFonts w:eastAsiaTheme="minorEastAsia"/>
              <w:noProof/>
              <w:kern w:val="0"/>
              <w:sz w:val="22"/>
              <w:szCs w:val="22"/>
              <w:lang w:eastAsia="sv-SE"/>
              <w14:numSpacing w14:val="default"/>
            </w:rPr>
          </w:pPr>
          <w:hyperlink w:history="1" w:anchor="_Toc149814526">
            <w:r w:rsidRPr="002F48A6">
              <w:rPr>
                <w:rStyle w:val="Hyperlnk"/>
                <w:noProof/>
              </w:rPr>
              <w:t>6.4 Generell välfärd en del i arbetslinjen</w:t>
            </w:r>
            <w:r>
              <w:rPr>
                <w:noProof/>
                <w:webHidden/>
              </w:rPr>
              <w:tab/>
            </w:r>
            <w:r>
              <w:rPr>
                <w:noProof/>
                <w:webHidden/>
              </w:rPr>
              <w:fldChar w:fldCharType="begin"/>
            </w:r>
            <w:r>
              <w:rPr>
                <w:noProof/>
                <w:webHidden/>
              </w:rPr>
              <w:instrText xml:space="preserve"> PAGEREF _Toc149814526 \h </w:instrText>
            </w:r>
            <w:r>
              <w:rPr>
                <w:noProof/>
                <w:webHidden/>
              </w:rPr>
            </w:r>
            <w:r>
              <w:rPr>
                <w:noProof/>
                <w:webHidden/>
              </w:rPr>
              <w:fldChar w:fldCharType="separate"/>
            </w:r>
            <w:r>
              <w:rPr>
                <w:noProof/>
                <w:webHidden/>
              </w:rPr>
              <w:t>26</w:t>
            </w:r>
            <w:r>
              <w:rPr>
                <w:noProof/>
                <w:webHidden/>
              </w:rPr>
              <w:fldChar w:fldCharType="end"/>
            </w:r>
          </w:hyperlink>
        </w:p>
        <w:p w:rsidR="00FF6C83" w:rsidRDefault="00FF6C83" w14:paraId="2E0FA14B" w14:textId="1D9DCC84">
          <w:pPr>
            <w:pStyle w:val="Innehll2"/>
            <w:tabs>
              <w:tab w:val="right" w:leader="dot" w:pos="8494"/>
            </w:tabs>
            <w:rPr>
              <w:rFonts w:eastAsiaTheme="minorEastAsia"/>
              <w:noProof/>
              <w:kern w:val="0"/>
              <w:sz w:val="22"/>
              <w:szCs w:val="22"/>
              <w:lang w:eastAsia="sv-SE"/>
              <w14:numSpacing w14:val="default"/>
            </w:rPr>
          </w:pPr>
          <w:hyperlink w:history="1" w:anchor="_Toc149814527">
            <w:r w:rsidRPr="002F48A6">
              <w:rPr>
                <w:rStyle w:val="Hyperlnk"/>
                <w:rFonts w:eastAsia="Calibri"/>
                <w:noProof/>
              </w:rPr>
              <w:t>6.5 En kunskapsnation i världsklass</w:t>
            </w:r>
            <w:r>
              <w:rPr>
                <w:noProof/>
                <w:webHidden/>
              </w:rPr>
              <w:tab/>
            </w:r>
            <w:r>
              <w:rPr>
                <w:noProof/>
                <w:webHidden/>
              </w:rPr>
              <w:fldChar w:fldCharType="begin"/>
            </w:r>
            <w:r>
              <w:rPr>
                <w:noProof/>
                <w:webHidden/>
              </w:rPr>
              <w:instrText xml:space="preserve"> PAGEREF _Toc149814527 \h </w:instrText>
            </w:r>
            <w:r>
              <w:rPr>
                <w:noProof/>
                <w:webHidden/>
              </w:rPr>
            </w:r>
            <w:r>
              <w:rPr>
                <w:noProof/>
                <w:webHidden/>
              </w:rPr>
              <w:fldChar w:fldCharType="separate"/>
            </w:r>
            <w:r>
              <w:rPr>
                <w:noProof/>
                <w:webHidden/>
              </w:rPr>
              <w:t>26</w:t>
            </w:r>
            <w:r>
              <w:rPr>
                <w:noProof/>
                <w:webHidden/>
              </w:rPr>
              <w:fldChar w:fldCharType="end"/>
            </w:r>
          </w:hyperlink>
        </w:p>
        <w:p w:rsidR="00FF6C83" w:rsidRDefault="00FF6C83" w14:paraId="28AB8207" w14:textId="2D45AB66">
          <w:pPr>
            <w:pStyle w:val="Innehll2"/>
            <w:tabs>
              <w:tab w:val="right" w:leader="dot" w:pos="8494"/>
            </w:tabs>
            <w:rPr>
              <w:rFonts w:eastAsiaTheme="minorEastAsia"/>
              <w:noProof/>
              <w:kern w:val="0"/>
              <w:sz w:val="22"/>
              <w:szCs w:val="22"/>
              <w:lang w:eastAsia="sv-SE"/>
              <w14:numSpacing w14:val="default"/>
            </w:rPr>
          </w:pPr>
          <w:hyperlink w:history="1" w:anchor="_Toc149814528">
            <w:r w:rsidRPr="002F48A6">
              <w:rPr>
                <w:rStyle w:val="Hyperlnk"/>
                <w:rFonts w:eastAsia="Calibri"/>
                <w:noProof/>
              </w:rPr>
              <w:t>6.6 Klimat</w:t>
            </w:r>
            <w:r>
              <w:rPr>
                <w:noProof/>
                <w:webHidden/>
              </w:rPr>
              <w:tab/>
            </w:r>
            <w:r>
              <w:rPr>
                <w:noProof/>
                <w:webHidden/>
              </w:rPr>
              <w:fldChar w:fldCharType="begin"/>
            </w:r>
            <w:r>
              <w:rPr>
                <w:noProof/>
                <w:webHidden/>
              </w:rPr>
              <w:instrText xml:space="preserve"> PAGEREF _Toc149814528 \h </w:instrText>
            </w:r>
            <w:r>
              <w:rPr>
                <w:noProof/>
                <w:webHidden/>
              </w:rPr>
            </w:r>
            <w:r>
              <w:rPr>
                <w:noProof/>
                <w:webHidden/>
              </w:rPr>
              <w:fldChar w:fldCharType="separate"/>
            </w:r>
            <w:r>
              <w:rPr>
                <w:noProof/>
                <w:webHidden/>
              </w:rPr>
              <w:t>27</w:t>
            </w:r>
            <w:r>
              <w:rPr>
                <w:noProof/>
                <w:webHidden/>
              </w:rPr>
              <w:fldChar w:fldCharType="end"/>
            </w:r>
          </w:hyperlink>
        </w:p>
        <w:p w:rsidR="00FF6C83" w:rsidRDefault="00FF6C83" w14:paraId="56A820D5" w14:textId="37472FF6">
          <w:pPr>
            <w:pStyle w:val="Innehll2"/>
            <w:tabs>
              <w:tab w:val="right" w:leader="dot" w:pos="8494"/>
            </w:tabs>
            <w:rPr>
              <w:rFonts w:eastAsiaTheme="minorEastAsia"/>
              <w:noProof/>
              <w:kern w:val="0"/>
              <w:sz w:val="22"/>
              <w:szCs w:val="22"/>
              <w:lang w:eastAsia="sv-SE"/>
              <w14:numSpacing w14:val="default"/>
            </w:rPr>
          </w:pPr>
          <w:hyperlink w:history="1" w:anchor="_Toc149814529">
            <w:r w:rsidRPr="002F48A6">
              <w:rPr>
                <w:rStyle w:val="Hyperlnk"/>
                <w:noProof/>
              </w:rPr>
              <w:t>6.7 Lägre skatter ger inte högre skatteintäkter</w:t>
            </w:r>
            <w:r>
              <w:rPr>
                <w:noProof/>
                <w:webHidden/>
              </w:rPr>
              <w:tab/>
            </w:r>
            <w:r>
              <w:rPr>
                <w:noProof/>
                <w:webHidden/>
              </w:rPr>
              <w:fldChar w:fldCharType="begin"/>
            </w:r>
            <w:r>
              <w:rPr>
                <w:noProof/>
                <w:webHidden/>
              </w:rPr>
              <w:instrText xml:space="preserve"> PAGEREF _Toc149814529 \h </w:instrText>
            </w:r>
            <w:r>
              <w:rPr>
                <w:noProof/>
                <w:webHidden/>
              </w:rPr>
            </w:r>
            <w:r>
              <w:rPr>
                <w:noProof/>
                <w:webHidden/>
              </w:rPr>
              <w:fldChar w:fldCharType="separate"/>
            </w:r>
            <w:r>
              <w:rPr>
                <w:noProof/>
                <w:webHidden/>
              </w:rPr>
              <w:t>28</w:t>
            </w:r>
            <w:r>
              <w:rPr>
                <w:noProof/>
                <w:webHidden/>
              </w:rPr>
              <w:fldChar w:fldCharType="end"/>
            </w:r>
          </w:hyperlink>
        </w:p>
        <w:p w:rsidR="00FF6C83" w:rsidRDefault="00FF6C83" w14:paraId="0B006080" w14:textId="395BC303">
          <w:pPr>
            <w:pStyle w:val="Innehll2"/>
            <w:tabs>
              <w:tab w:val="right" w:leader="dot" w:pos="8494"/>
            </w:tabs>
            <w:rPr>
              <w:rFonts w:eastAsiaTheme="minorEastAsia"/>
              <w:noProof/>
              <w:kern w:val="0"/>
              <w:sz w:val="22"/>
              <w:szCs w:val="22"/>
              <w:lang w:eastAsia="sv-SE"/>
              <w14:numSpacing w14:val="default"/>
            </w:rPr>
          </w:pPr>
          <w:hyperlink w:history="1" w:anchor="_Toc149814530">
            <w:r w:rsidRPr="002F48A6">
              <w:rPr>
                <w:rStyle w:val="Hyperlnk"/>
                <w:noProof/>
              </w:rPr>
              <w:t>6.8 Enhetliga skatter är omfördelande</w:t>
            </w:r>
            <w:r>
              <w:rPr>
                <w:noProof/>
                <w:webHidden/>
              </w:rPr>
              <w:tab/>
            </w:r>
            <w:r>
              <w:rPr>
                <w:noProof/>
                <w:webHidden/>
              </w:rPr>
              <w:fldChar w:fldCharType="begin"/>
            </w:r>
            <w:r>
              <w:rPr>
                <w:noProof/>
                <w:webHidden/>
              </w:rPr>
              <w:instrText xml:space="preserve"> PAGEREF _Toc149814530 \h </w:instrText>
            </w:r>
            <w:r>
              <w:rPr>
                <w:noProof/>
                <w:webHidden/>
              </w:rPr>
            </w:r>
            <w:r>
              <w:rPr>
                <w:noProof/>
                <w:webHidden/>
              </w:rPr>
              <w:fldChar w:fldCharType="separate"/>
            </w:r>
            <w:r>
              <w:rPr>
                <w:noProof/>
                <w:webHidden/>
              </w:rPr>
              <w:t>30</w:t>
            </w:r>
            <w:r>
              <w:rPr>
                <w:noProof/>
                <w:webHidden/>
              </w:rPr>
              <w:fldChar w:fldCharType="end"/>
            </w:r>
          </w:hyperlink>
        </w:p>
        <w:p w:rsidR="00FF6C83" w:rsidRDefault="00FF6C83" w14:paraId="2882CF2A" w14:textId="00784471">
          <w:pPr>
            <w:pStyle w:val="Innehll2"/>
            <w:tabs>
              <w:tab w:val="right" w:leader="dot" w:pos="8494"/>
            </w:tabs>
            <w:rPr>
              <w:rFonts w:eastAsiaTheme="minorEastAsia"/>
              <w:noProof/>
              <w:kern w:val="0"/>
              <w:sz w:val="22"/>
              <w:szCs w:val="22"/>
              <w:lang w:eastAsia="sv-SE"/>
              <w14:numSpacing w14:val="default"/>
            </w:rPr>
          </w:pPr>
          <w:hyperlink w:history="1" w:anchor="_Toc149814531">
            <w:r w:rsidRPr="002F48A6">
              <w:rPr>
                <w:rStyle w:val="Hyperlnk"/>
                <w:noProof/>
                <w:lang w:eastAsia="sv-SE"/>
              </w:rPr>
              <w:t>6.9 Finanspolitiska överväganden</w:t>
            </w:r>
            <w:r>
              <w:rPr>
                <w:noProof/>
                <w:webHidden/>
              </w:rPr>
              <w:tab/>
            </w:r>
            <w:r>
              <w:rPr>
                <w:noProof/>
                <w:webHidden/>
              </w:rPr>
              <w:fldChar w:fldCharType="begin"/>
            </w:r>
            <w:r>
              <w:rPr>
                <w:noProof/>
                <w:webHidden/>
              </w:rPr>
              <w:instrText xml:space="preserve"> PAGEREF _Toc149814531 \h </w:instrText>
            </w:r>
            <w:r>
              <w:rPr>
                <w:noProof/>
                <w:webHidden/>
              </w:rPr>
            </w:r>
            <w:r>
              <w:rPr>
                <w:noProof/>
                <w:webHidden/>
              </w:rPr>
              <w:fldChar w:fldCharType="separate"/>
            </w:r>
            <w:r>
              <w:rPr>
                <w:noProof/>
                <w:webHidden/>
              </w:rPr>
              <w:t>31</w:t>
            </w:r>
            <w:r>
              <w:rPr>
                <w:noProof/>
                <w:webHidden/>
              </w:rPr>
              <w:fldChar w:fldCharType="end"/>
            </w:r>
          </w:hyperlink>
        </w:p>
        <w:p w:rsidR="00FF6C83" w:rsidRDefault="00FF6C83" w14:paraId="3D524EBB" w14:textId="1D3BABAF">
          <w:pPr>
            <w:pStyle w:val="Innehll1"/>
            <w:tabs>
              <w:tab w:val="right" w:leader="dot" w:pos="8494"/>
            </w:tabs>
            <w:rPr>
              <w:rFonts w:eastAsiaTheme="minorEastAsia"/>
              <w:noProof/>
              <w:kern w:val="0"/>
              <w:sz w:val="22"/>
              <w:szCs w:val="22"/>
              <w:lang w:eastAsia="sv-SE"/>
              <w14:numSpacing w14:val="default"/>
            </w:rPr>
          </w:pPr>
          <w:hyperlink w:history="1" w:anchor="_Toc149814532">
            <w:r w:rsidRPr="002F48A6">
              <w:rPr>
                <w:rStyle w:val="Hyperlnk"/>
                <w:noProof/>
              </w:rPr>
              <w:t>7 Starka och trygga löntagare</w:t>
            </w:r>
            <w:r>
              <w:rPr>
                <w:noProof/>
                <w:webHidden/>
              </w:rPr>
              <w:tab/>
            </w:r>
            <w:r>
              <w:rPr>
                <w:noProof/>
                <w:webHidden/>
              </w:rPr>
              <w:fldChar w:fldCharType="begin"/>
            </w:r>
            <w:r>
              <w:rPr>
                <w:noProof/>
                <w:webHidden/>
              </w:rPr>
              <w:instrText xml:space="preserve"> PAGEREF _Toc149814532 \h </w:instrText>
            </w:r>
            <w:r>
              <w:rPr>
                <w:noProof/>
                <w:webHidden/>
              </w:rPr>
            </w:r>
            <w:r>
              <w:rPr>
                <w:noProof/>
                <w:webHidden/>
              </w:rPr>
              <w:fldChar w:fldCharType="separate"/>
            </w:r>
            <w:r>
              <w:rPr>
                <w:noProof/>
                <w:webHidden/>
              </w:rPr>
              <w:t>31</w:t>
            </w:r>
            <w:r>
              <w:rPr>
                <w:noProof/>
                <w:webHidden/>
              </w:rPr>
              <w:fldChar w:fldCharType="end"/>
            </w:r>
          </w:hyperlink>
        </w:p>
        <w:p w:rsidR="00FF6C83" w:rsidRDefault="00FF6C83" w14:paraId="19A338EC" w14:textId="6B1EEB25">
          <w:pPr>
            <w:pStyle w:val="Innehll2"/>
            <w:tabs>
              <w:tab w:val="right" w:leader="dot" w:pos="8494"/>
            </w:tabs>
            <w:rPr>
              <w:rFonts w:eastAsiaTheme="minorEastAsia"/>
              <w:noProof/>
              <w:kern w:val="0"/>
              <w:sz w:val="22"/>
              <w:szCs w:val="22"/>
              <w:lang w:eastAsia="sv-SE"/>
              <w14:numSpacing w14:val="default"/>
            </w:rPr>
          </w:pPr>
          <w:hyperlink w:history="1" w:anchor="_Toc149814533">
            <w:r w:rsidRPr="002F48A6">
              <w:rPr>
                <w:rStyle w:val="Hyperlnk"/>
                <w:noProof/>
              </w:rPr>
              <w:t>7.1 Inför ett arbetslöshetsmål</w:t>
            </w:r>
            <w:r>
              <w:rPr>
                <w:noProof/>
                <w:webHidden/>
              </w:rPr>
              <w:tab/>
            </w:r>
            <w:r>
              <w:rPr>
                <w:noProof/>
                <w:webHidden/>
              </w:rPr>
              <w:fldChar w:fldCharType="begin"/>
            </w:r>
            <w:r>
              <w:rPr>
                <w:noProof/>
                <w:webHidden/>
              </w:rPr>
              <w:instrText xml:space="preserve"> PAGEREF _Toc149814533 \h </w:instrText>
            </w:r>
            <w:r>
              <w:rPr>
                <w:noProof/>
                <w:webHidden/>
              </w:rPr>
            </w:r>
            <w:r>
              <w:rPr>
                <w:noProof/>
                <w:webHidden/>
              </w:rPr>
              <w:fldChar w:fldCharType="separate"/>
            </w:r>
            <w:r>
              <w:rPr>
                <w:noProof/>
                <w:webHidden/>
              </w:rPr>
              <w:t>32</w:t>
            </w:r>
            <w:r>
              <w:rPr>
                <w:noProof/>
                <w:webHidden/>
              </w:rPr>
              <w:fldChar w:fldCharType="end"/>
            </w:r>
          </w:hyperlink>
        </w:p>
        <w:p w:rsidR="00FF6C83" w:rsidRDefault="00FF6C83" w14:paraId="25CB792C" w14:textId="52D42D36">
          <w:pPr>
            <w:pStyle w:val="Innehll2"/>
            <w:tabs>
              <w:tab w:val="right" w:leader="dot" w:pos="8494"/>
            </w:tabs>
            <w:rPr>
              <w:rFonts w:eastAsiaTheme="minorEastAsia"/>
              <w:noProof/>
              <w:kern w:val="0"/>
              <w:sz w:val="22"/>
              <w:szCs w:val="22"/>
              <w:lang w:eastAsia="sv-SE"/>
              <w14:numSpacing w14:val="default"/>
            </w:rPr>
          </w:pPr>
          <w:hyperlink w:history="1" w:anchor="_Toc149814534">
            <w:r w:rsidRPr="002F48A6">
              <w:rPr>
                <w:rStyle w:val="Hyperlnk"/>
                <w:noProof/>
              </w:rPr>
              <w:t>7.2 Sysselsättningsgraden kan bli 84 procent</w:t>
            </w:r>
            <w:r>
              <w:rPr>
                <w:noProof/>
                <w:webHidden/>
              </w:rPr>
              <w:tab/>
            </w:r>
            <w:r>
              <w:rPr>
                <w:noProof/>
                <w:webHidden/>
              </w:rPr>
              <w:fldChar w:fldCharType="begin"/>
            </w:r>
            <w:r>
              <w:rPr>
                <w:noProof/>
                <w:webHidden/>
              </w:rPr>
              <w:instrText xml:space="preserve"> PAGEREF _Toc149814534 \h </w:instrText>
            </w:r>
            <w:r>
              <w:rPr>
                <w:noProof/>
                <w:webHidden/>
              </w:rPr>
            </w:r>
            <w:r>
              <w:rPr>
                <w:noProof/>
                <w:webHidden/>
              </w:rPr>
              <w:fldChar w:fldCharType="separate"/>
            </w:r>
            <w:r>
              <w:rPr>
                <w:noProof/>
                <w:webHidden/>
              </w:rPr>
              <w:t>32</w:t>
            </w:r>
            <w:r>
              <w:rPr>
                <w:noProof/>
                <w:webHidden/>
              </w:rPr>
              <w:fldChar w:fldCharType="end"/>
            </w:r>
          </w:hyperlink>
        </w:p>
        <w:p w:rsidR="00FF6C83" w:rsidRDefault="00FF6C83" w14:paraId="09F452BF" w14:textId="159040E5">
          <w:pPr>
            <w:pStyle w:val="Innehll2"/>
            <w:tabs>
              <w:tab w:val="right" w:leader="dot" w:pos="8494"/>
            </w:tabs>
            <w:rPr>
              <w:rFonts w:eastAsiaTheme="minorEastAsia"/>
              <w:noProof/>
              <w:kern w:val="0"/>
              <w:sz w:val="22"/>
              <w:szCs w:val="22"/>
              <w:lang w:eastAsia="sv-SE"/>
              <w14:numSpacing w14:val="default"/>
            </w:rPr>
          </w:pPr>
          <w:hyperlink w:history="1" w:anchor="_Toc149814535">
            <w:r w:rsidRPr="002F48A6">
              <w:rPr>
                <w:rStyle w:val="Hyperlnk"/>
                <w:noProof/>
              </w:rPr>
              <w:t>7.3 En investeringsplan för klimatet ger ökad sysselsättning</w:t>
            </w:r>
            <w:r>
              <w:rPr>
                <w:noProof/>
                <w:webHidden/>
              </w:rPr>
              <w:tab/>
            </w:r>
            <w:r>
              <w:rPr>
                <w:noProof/>
                <w:webHidden/>
              </w:rPr>
              <w:fldChar w:fldCharType="begin"/>
            </w:r>
            <w:r>
              <w:rPr>
                <w:noProof/>
                <w:webHidden/>
              </w:rPr>
              <w:instrText xml:space="preserve"> PAGEREF _Toc149814535 \h </w:instrText>
            </w:r>
            <w:r>
              <w:rPr>
                <w:noProof/>
                <w:webHidden/>
              </w:rPr>
            </w:r>
            <w:r>
              <w:rPr>
                <w:noProof/>
                <w:webHidden/>
              </w:rPr>
              <w:fldChar w:fldCharType="separate"/>
            </w:r>
            <w:r>
              <w:rPr>
                <w:noProof/>
                <w:webHidden/>
              </w:rPr>
              <w:t>33</w:t>
            </w:r>
            <w:r>
              <w:rPr>
                <w:noProof/>
                <w:webHidden/>
              </w:rPr>
              <w:fldChar w:fldCharType="end"/>
            </w:r>
          </w:hyperlink>
        </w:p>
        <w:p w:rsidR="00FF6C83" w:rsidRDefault="00FF6C83" w14:paraId="7D1720FB" w14:textId="5D2ECA94">
          <w:pPr>
            <w:pStyle w:val="Innehll2"/>
            <w:tabs>
              <w:tab w:val="right" w:leader="dot" w:pos="8494"/>
            </w:tabs>
            <w:rPr>
              <w:rFonts w:eastAsiaTheme="minorEastAsia"/>
              <w:noProof/>
              <w:kern w:val="0"/>
              <w:sz w:val="22"/>
              <w:szCs w:val="22"/>
              <w:lang w:eastAsia="sv-SE"/>
              <w14:numSpacing w14:val="default"/>
            </w:rPr>
          </w:pPr>
          <w:hyperlink w:history="1" w:anchor="_Toc149814536">
            <w:r w:rsidRPr="002F48A6">
              <w:rPr>
                <w:rStyle w:val="Hyperlnk"/>
                <w:noProof/>
              </w:rPr>
              <w:t>7.4 Kompetenslyft för omställning</w:t>
            </w:r>
            <w:r>
              <w:rPr>
                <w:noProof/>
                <w:webHidden/>
              </w:rPr>
              <w:tab/>
            </w:r>
            <w:r>
              <w:rPr>
                <w:noProof/>
                <w:webHidden/>
              </w:rPr>
              <w:fldChar w:fldCharType="begin"/>
            </w:r>
            <w:r>
              <w:rPr>
                <w:noProof/>
                <w:webHidden/>
              </w:rPr>
              <w:instrText xml:space="preserve"> PAGEREF _Toc149814536 \h </w:instrText>
            </w:r>
            <w:r>
              <w:rPr>
                <w:noProof/>
                <w:webHidden/>
              </w:rPr>
            </w:r>
            <w:r>
              <w:rPr>
                <w:noProof/>
                <w:webHidden/>
              </w:rPr>
              <w:fldChar w:fldCharType="separate"/>
            </w:r>
            <w:r>
              <w:rPr>
                <w:noProof/>
                <w:webHidden/>
              </w:rPr>
              <w:t>34</w:t>
            </w:r>
            <w:r>
              <w:rPr>
                <w:noProof/>
                <w:webHidden/>
              </w:rPr>
              <w:fldChar w:fldCharType="end"/>
            </w:r>
          </w:hyperlink>
        </w:p>
        <w:p w:rsidR="00FF6C83" w:rsidRDefault="00FF6C83" w14:paraId="7B5934D7" w14:textId="7D835527">
          <w:pPr>
            <w:pStyle w:val="Innehll2"/>
            <w:tabs>
              <w:tab w:val="right" w:leader="dot" w:pos="8494"/>
            </w:tabs>
            <w:rPr>
              <w:rFonts w:eastAsiaTheme="minorEastAsia"/>
              <w:noProof/>
              <w:kern w:val="0"/>
              <w:sz w:val="22"/>
              <w:szCs w:val="22"/>
              <w:lang w:eastAsia="sv-SE"/>
              <w14:numSpacing w14:val="default"/>
            </w:rPr>
          </w:pPr>
          <w:hyperlink w:history="1" w:anchor="_Toc149814537">
            <w:r w:rsidRPr="002F48A6">
              <w:rPr>
                <w:rStyle w:val="Hyperlnk"/>
                <w:noProof/>
              </w:rPr>
              <w:t>7.5 En aktiv arbetsmarknadspolitik</w:t>
            </w:r>
            <w:r>
              <w:rPr>
                <w:noProof/>
                <w:webHidden/>
              </w:rPr>
              <w:tab/>
            </w:r>
            <w:r>
              <w:rPr>
                <w:noProof/>
                <w:webHidden/>
              </w:rPr>
              <w:fldChar w:fldCharType="begin"/>
            </w:r>
            <w:r>
              <w:rPr>
                <w:noProof/>
                <w:webHidden/>
              </w:rPr>
              <w:instrText xml:space="preserve"> PAGEREF _Toc149814537 \h </w:instrText>
            </w:r>
            <w:r>
              <w:rPr>
                <w:noProof/>
                <w:webHidden/>
              </w:rPr>
            </w:r>
            <w:r>
              <w:rPr>
                <w:noProof/>
                <w:webHidden/>
              </w:rPr>
              <w:fldChar w:fldCharType="separate"/>
            </w:r>
            <w:r>
              <w:rPr>
                <w:noProof/>
                <w:webHidden/>
              </w:rPr>
              <w:t>35</w:t>
            </w:r>
            <w:r>
              <w:rPr>
                <w:noProof/>
                <w:webHidden/>
              </w:rPr>
              <w:fldChar w:fldCharType="end"/>
            </w:r>
          </w:hyperlink>
        </w:p>
        <w:p w:rsidR="00FF6C83" w:rsidRDefault="00FF6C83" w14:paraId="284D1F75" w14:textId="41EE3234">
          <w:pPr>
            <w:pStyle w:val="Innehll3"/>
            <w:tabs>
              <w:tab w:val="right" w:leader="dot" w:pos="8494"/>
            </w:tabs>
            <w:rPr>
              <w:rFonts w:eastAsiaTheme="minorEastAsia"/>
              <w:noProof/>
              <w:kern w:val="0"/>
              <w:sz w:val="22"/>
              <w:szCs w:val="22"/>
              <w:lang w:eastAsia="sv-SE"/>
              <w14:numSpacing w14:val="default"/>
            </w:rPr>
          </w:pPr>
          <w:hyperlink w:history="1" w:anchor="_Toc149814538">
            <w:r w:rsidRPr="002F48A6">
              <w:rPr>
                <w:rStyle w:val="Hyperlnk"/>
                <w:noProof/>
                <w:lang w:eastAsia="sv-SE"/>
              </w:rPr>
              <w:t>7.5.1 Arbetsförmedlingen</w:t>
            </w:r>
            <w:r>
              <w:rPr>
                <w:noProof/>
                <w:webHidden/>
              </w:rPr>
              <w:tab/>
            </w:r>
            <w:r>
              <w:rPr>
                <w:noProof/>
                <w:webHidden/>
              </w:rPr>
              <w:fldChar w:fldCharType="begin"/>
            </w:r>
            <w:r>
              <w:rPr>
                <w:noProof/>
                <w:webHidden/>
              </w:rPr>
              <w:instrText xml:space="preserve"> PAGEREF _Toc149814538 \h </w:instrText>
            </w:r>
            <w:r>
              <w:rPr>
                <w:noProof/>
                <w:webHidden/>
              </w:rPr>
            </w:r>
            <w:r>
              <w:rPr>
                <w:noProof/>
                <w:webHidden/>
              </w:rPr>
              <w:fldChar w:fldCharType="separate"/>
            </w:r>
            <w:r>
              <w:rPr>
                <w:noProof/>
                <w:webHidden/>
              </w:rPr>
              <w:t>35</w:t>
            </w:r>
            <w:r>
              <w:rPr>
                <w:noProof/>
                <w:webHidden/>
              </w:rPr>
              <w:fldChar w:fldCharType="end"/>
            </w:r>
          </w:hyperlink>
        </w:p>
        <w:p w:rsidR="00FF6C83" w:rsidRDefault="00FF6C83" w14:paraId="31BC8F04" w14:textId="09A486C0">
          <w:pPr>
            <w:pStyle w:val="Innehll3"/>
            <w:tabs>
              <w:tab w:val="right" w:leader="dot" w:pos="8494"/>
            </w:tabs>
            <w:rPr>
              <w:rFonts w:eastAsiaTheme="minorEastAsia"/>
              <w:noProof/>
              <w:kern w:val="0"/>
              <w:sz w:val="22"/>
              <w:szCs w:val="22"/>
              <w:lang w:eastAsia="sv-SE"/>
              <w14:numSpacing w14:val="default"/>
            </w:rPr>
          </w:pPr>
          <w:hyperlink w:history="1" w:anchor="_Toc149814539">
            <w:r w:rsidRPr="002F48A6">
              <w:rPr>
                <w:rStyle w:val="Hyperlnk"/>
                <w:noProof/>
                <w:lang w:eastAsia="sv-SE"/>
              </w:rPr>
              <w:t>7.5.2 Höj och indexera lönetaken för subventionerade anställningar</w:t>
            </w:r>
            <w:r>
              <w:rPr>
                <w:noProof/>
                <w:webHidden/>
              </w:rPr>
              <w:tab/>
            </w:r>
            <w:r>
              <w:rPr>
                <w:noProof/>
                <w:webHidden/>
              </w:rPr>
              <w:fldChar w:fldCharType="begin"/>
            </w:r>
            <w:r>
              <w:rPr>
                <w:noProof/>
                <w:webHidden/>
              </w:rPr>
              <w:instrText xml:space="preserve"> PAGEREF _Toc149814539 \h </w:instrText>
            </w:r>
            <w:r>
              <w:rPr>
                <w:noProof/>
                <w:webHidden/>
              </w:rPr>
            </w:r>
            <w:r>
              <w:rPr>
                <w:noProof/>
                <w:webHidden/>
              </w:rPr>
              <w:fldChar w:fldCharType="separate"/>
            </w:r>
            <w:r>
              <w:rPr>
                <w:noProof/>
                <w:webHidden/>
              </w:rPr>
              <w:t>37</w:t>
            </w:r>
            <w:r>
              <w:rPr>
                <w:noProof/>
                <w:webHidden/>
              </w:rPr>
              <w:fldChar w:fldCharType="end"/>
            </w:r>
          </w:hyperlink>
        </w:p>
        <w:p w:rsidR="00FF6C83" w:rsidRDefault="00FF6C83" w14:paraId="29C7592E" w14:textId="513A524D">
          <w:pPr>
            <w:pStyle w:val="Innehll3"/>
            <w:tabs>
              <w:tab w:val="right" w:leader="dot" w:pos="8494"/>
            </w:tabs>
            <w:rPr>
              <w:rFonts w:eastAsiaTheme="minorEastAsia"/>
              <w:noProof/>
              <w:kern w:val="0"/>
              <w:sz w:val="22"/>
              <w:szCs w:val="22"/>
              <w:lang w:eastAsia="sv-SE"/>
              <w14:numSpacing w14:val="default"/>
            </w:rPr>
          </w:pPr>
          <w:hyperlink w:history="1" w:anchor="_Toc149814540">
            <w:r w:rsidRPr="002F48A6">
              <w:rPr>
                <w:rStyle w:val="Hyperlnk"/>
                <w:noProof/>
                <w:lang w:eastAsia="sv-SE"/>
              </w:rPr>
              <w:t>7.5.3 Arbetsmarknadsutbildning</w:t>
            </w:r>
            <w:r>
              <w:rPr>
                <w:noProof/>
                <w:webHidden/>
              </w:rPr>
              <w:tab/>
            </w:r>
            <w:r>
              <w:rPr>
                <w:noProof/>
                <w:webHidden/>
              </w:rPr>
              <w:fldChar w:fldCharType="begin"/>
            </w:r>
            <w:r>
              <w:rPr>
                <w:noProof/>
                <w:webHidden/>
              </w:rPr>
              <w:instrText xml:space="preserve"> PAGEREF _Toc149814540 \h </w:instrText>
            </w:r>
            <w:r>
              <w:rPr>
                <w:noProof/>
                <w:webHidden/>
              </w:rPr>
            </w:r>
            <w:r>
              <w:rPr>
                <w:noProof/>
                <w:webHidden/>
              </w:rPr>
              <w:fldChar w:fldCharType="separate"/>
            </w:r>
            <w:r>
              <w:rPr>
                <w:noProof/>
                <w:webHidden/>
              </w:rPr>
              <w:t>37</w:t>
            </w:r>
            <w:r>
              <w:rPr>
                <w:noProof/>
                <w:webHidden/>
              </w:rPr>
              <w:fldChar w:fldCharType="end"/>
            </w:r>
          </w:hyperlink>
        </w:p>
        <w:p w:rsidR="00FF6C83" w:rsidRDefault="00FF6C83" w14:paraId="5FB5138C" w14:textId="0C8A82FE">
          <w:pPr>
            <w:pStyle w:val="Innehll3"/>
            <w:tabs>
              <w:tab w:val="right" w:leader="dot" w:pos="8494"/>
            </w:tabs>
            <w:rPr>
              <w:rFonts w:eastAsiaTheme="minorEastAsia"/>
              <w:noProof/>
              <w:kern w:val="0"/>
              <w:sz w:val="22"/>
              <w:szCs w:val="22"/>
              <w:lang w:eastAsia="sv-SE"/>
              <w14:numSpacing w14:val="default"/>
            </w:rPr>
          </w:pPr>
          <w:hyperlink w:history="1" w:anchor="_Toc149814541">
            <w:r w:rsidRPr="002F48A6">
              <w:rPr>
                <w:rStyle w:val="Hyperlnk"/>
                <w:noProof/>
                <w:lang w:eastAsia="sv-SE"/>
              </w:rPr>
              <w:t>7.5.4 Reguljär utbildning</w:t>
            </w:r>
            <w:r>
              <w:rPr>
                <w:noProof/>
                <w:webHidden/>
              </w:rPr>
              <w:tab/>
            </w:r>
            <w:r>
              <w:rPr>
                <w:noProof/>
                <w:webHidden/>
              </w:rPr>
              <w:fldChar w:fldCharType="begin"/>
            </w:r>
            <w:r>
              <w:rPr>
                <w:noProof/>
                <w:webHidden/>
              </w:rPr>
              <w:instrText xml:space="preserve"> PAGEREF _Toc149814541 \h </w:instrText>
            </w:r>
            <w:r>
              <w:rPr>
                <w:noProof/>
                <w:webHidden/>
              </w:rPr>
            </w:r>
            <w:r>
              <w:rPr>
                <w:noProof/>
                <w:webHidden/>
              </w:rPr>
              <w:fldChar w:fldCharType="separate"/>
            </w:r>
            <w:r>
              <w:rPr>
                <w:noProof/>
                <w:webHidden/>
              </w:rPr>
              <w:t>38</w:t>
            </w:r>
            <w:r>
              <w:rPr>
                <w:noProof/>
                <w:webHidden/>
              </w:rPr>
              <w:fldChar w:fldCharType="end"/>
            </w:r>
          </w:hyperlink>
        </w:p>
        <w:p w:rsidR="00FF6C83" w:rsidRDefault="00FF6C83" w14:paraId="40BBD9E5" w14:textId="50BD26B2">
          <w:pPr>
            <w:pStyle w:val="Innehll3"/>
            <w:tabs>
              <w:tab w:val="right" w:leader="dot" w:pos="8494"/>
            </w:tabs>
            <w:rPr>
              <w:rFonts w:eastAsiaTheme="minorEastAsia"/>
              <w:noProof/>
              <w:kern w:val="0"/>
              <w:sz w:val="22"/>
              <w:szCs w:val="22"/>
              <w:lang w:eastAsia="sv-SE"/>
              <w14:numSpacing w14:val="default"/>
            </w:rPr>
          </w:pPr>
          <w:hyperlink w:history="1" w:anchor="_Toc149814542">
            <w:r w:rsidRPr="002F48A6">
              <w:rPr>
                <w:rStyle w:val="Hyperlnk"/>
                <w:noProof/>
                <w:lang w:eastAsia="sv-SE"/>
              </w:rPr>
              <w:t>7.5.5 Särskilda insatser för långtidsarbetslösa</w:t>
            </w:r>
            <w:r>
              <w:rPr>
                <w:noProof/>
                <w:webHidden/>
              </w:rPr>
              <w:tab/>
            </w:r>
            <w:r>
              <w:rPr>
                <w:noProof/>
                <w:webHidden/>
              </w:rPr>
              <w:fldChar w:fldCharType="begin"/>
            </w:r>
            <w:r>
              <w:rPr>
                <w:noProof/>
                <w:webHidden/>
              </w:rPr>
              <w:instrText xml:space="preserve"> PAGEREF _Toc149814542 \h </w:instrText>
            </w:r>
            <w:r>
              <w:rPr>
                <w:noProof/>
                <w:webHidden/>
              </w:rPr>
            </w:r>
            <w:r>
              <w:rPr>
                <w:noProof/>
                <w:webHidden/>
              </w:rPr>
              <w:fldChar w:fldCharType="separate"/>
            </w:r>
            <w:r>
              <w:rPr>
                <w:noProof/>
                <w:webHidden/>
              </w:rPr>
              <w:t>39</w:t>
            </w:r>
            <w:r>
              <w:rPr>
                <w:noProof/>
                <w:webHidden/>
              </w:rPr>
              <w:fldChar w:fldCharType="end"/>
            </w:r>
          </w:hyperlink>
        </w:p>
        <w:p w:rsidR="00FF6C83" w:rsidRDefault="00FF6C83" w14:paraId="01A2FF96" w14:textId="0D71F1F5">
          <w:pPr>
            <w:pStyle w:val="Innehll2"/>
            <w:tabs>
              <w:tab w:val="right" w:leader="dot" w:pos="8494"/>
            </w:tabs>
            <w:rPr>
              <w:rFonts w:eastAsiaTheme="minorEastAsia"/>
              <w:noProof/>
              <w:kern w:val="0"/>
              <w:sz w:val="22"/>
              <w:szCs w:val="22"/>
              <w:lang w:eastAsia="sv-SE"/>
              <w14:numSpacing w14:val="default"/>
            </w:rPr>
          </w:pPr>
          <w:hyperlink w:history="1" w:anchor="_Toc149814543">
            <w:r w:rsidRPr="002F48A6">
              <w:rPr>
                <w:rStyle w:val="Hyperlnk"/>
                <w:noProof/>
              </w:rPr>
              <w:t>7.6 Arbetslöshetsförsäkringen</w:t>
            </w:r>
            <w:r>
              <w:rPr>
                <w:noProof/>
                <w:webHidden/>
              </w:rPr>
              <w:tab/>
            </w:r>
            <w:r>
              <w:rPr>
                <w:noProof/>
                <w:webHidden/>
              </w:rPr>
              <w:fldChar w:fldCharType="begin"/>
            </w:r>
            <w:r>
              <w:rPr>
                <w:noProof/>
                <w:webHidden/>
              </w:rPr>
              <w:instrText xml:space="preserve"> PAGEREF _Toc149814543 \h </w:instrText>
            </w:r>
            <w:r>
              <w:rPr>
                <w:noProof/>
                <w:webHidden/>
              </w:rPr>
            </w:r>
            <w:r>
              <w:rPr>
                <w:noProof/>
                <w:webHidden/>
              </w:rPr>
              <w:fldChar w:fldCharType="separate"/>
            </w:r>
            <w:r>
              <w:rPr>
                <w:noProof/>
                <w:webHidden/>
              </w:rPr>
              <w:t>39</w:t>
            </w:r>
            <w:r>
              <w:rPr>
                <w:noProof/>
                <w:webHidden/>
              </w:rPr>
              <w:fldChar w:fldCharType="end"/>
            </w:r>
          </w:hyperlink>
        </w:p>
        <w:p w:rsidR="00FF6C83" w:rsidRDefault="00FF6C83" w14:paraId="6533C55A" w14:textId="77C7666E">
          <w:pPr>
            <w:pStyle w:val="Innehll2"/>
            <w:tabs>
              <w:tab w:val="right" w:leader="dot" w:pos="8494"/>
            </w:tabs>
            <w:rPr>
              <w:rFonts w:eastAsiaTheme="minorEastAsia"/>
              <w:noProof/>
              <w:kern w:val="0"/>
              <w:sz w:val="22"/>
              <w:szCs w:val="22"/>
              <w:lang w:eastAsia="sv-SE"/>
              <w14:numSpacing w14:val="default"/>
            </w:rPr>
          </w:pPr>
          <w:hyperlink w:history="1" w:anchor="_Toc149814544">
            <w:r w:rsidRPr="002F48A6">
              <w:rPr>
                <w:rStyle w:val="Hyperlnk"/>
                <w:noProof/>
                <w:lang w:eastAsia="sv-SE"/>
              </w:rPr>
              <w:t>7.7 En positiv arbetslinje kräver en stark socialförsäkring</w:t>
            </w:r>
            <w:r>
              <w:rPr>
                <w:noProof/>
                <w:webHidden/>
              </w:rPr>
              <w:tab/>
            </w:r>
            <w:r>
              <w:rPr>
                <w:noProof/>
                <w:webHidden/>
              </w:rPr>
              <w:fldChar w:fldCharType="begin"/>
            </w:r>
            <w:r>
              <w:rPr>
                <w:noProof/>
                <w:webHidden/>
              </w:rPr>
              <w:instrText xml:space="preserve"> PAGEREF _Toc149814544 \h </w:instrText>
            </w:r>
            <w:r>
              <w:rPr>
                <w:noProof/>
                <w:webHidden/>
              </w:rPr>
            </w:r>
            <w:r>
              <w:rPr>
                <w:noProof/>
                <w:webHidden/>
              </w:rPr>
              <w:fldChar w:fldCharType="separate"/>
            </w:r>
            <w:r>
              <w:rPr>
                <w:noProof/>
                <w:webHidden/>
              </w:rPr>
              <w:t>41</w:t>
            </w:r>
            <w:r>
              <w:rPr>
                <w:noProof/>
                <w:webHidden/>
              </w:rPr>
              <w:fldChar w:fldCharType="end"/>
            </w:r>
          </w:hyperlink>
        </w:p>
        <w:p w:rsidR="00FF6C83" w:rsidRDefault="00FF6C83" w14:paraId="0E26FFD1" w14:textId="21807942">
          <w:pPr>
            <w:pStyle w:val="Innehll2"/>
            <w:tabs>
              <w:tab w:val="right" w:leader="dot" w:pos="8494"/>
            </w:tabs>
            <w:rPr>
              <w:rFonts w:eastAsiaTheme="minorEastAsia"/>
              <w:noProof/>
              <w:kern w:val="0"/>
              <w:sz w:val="22"/>
              <w:szCs w:val="22"/>
              <w:lang w:eastAsia="sv-SE"/>
              <w14:numSpacing w14:val="default"/>
            </w:rPr>
          </w:pPr>
          <w:hyperlink w:history="1" w:anchor="_Toc149814545">
            <w:r w:rsidRPr="002F48A6">
              <w:rPr>
                <w:rStyle w:val="Hyperlnk"/>
                <w:noProof/>
                <w:lang w:eastAsia="sv-SE"/>
              </w:rPr>
              <w:t>7.8 Sjukförsäkringen</w:t>
            </w:r>
            <w:r>
              <w:rPr>
                <w:noProof/>
                <w:webHidden/>
              </w:rPr>
              <w:tab/>
            </w:r>
            <w:r>
              <w:rPr>
                <w:noProof/>
                <w:webHidden/>
              </w:rPr>
              <w:fldChar w:fldCharType="begin"/>
            </w:r>
            <w:r>
              <w:rPr>
                <w:noProof/>
                <w:webHidden/>
              </w:rPr>
              <w:instrText xml:space="preserve"> PAGEREF _Toc149814545 \h </w:instrText>
            </w:r>
            <w:r>
              <w:rPr>
                <w:noProof/>
                <w:webHidden/>
              </w:rPr>
            </w:r>
            <w:r>
              <w:rPr>
                <w:noProof/>
                <w:webHidden/>
              </w:rPr>
              <w:fldChar w:fldCharType="separate"/>
            </w:r>
            <w:r>
              <w:rPr>
                <w:noProof/>
                <w:webHidden/>
              </w:rPr>
              <w:t>42</w:t>
            </w:r>
            <w:r>
              <w:rPr>
                <w:noProof/>
                <w:webHidden/>
              </w:rPr>
              <w:fldChar w:fldCharType="end"/>
            </w:r>
          </w:hyperlink>
        </w:p>
        <w:p w:rsidR="00FF6C83" w:rsidRDefault="00FF6C83" w14:paraId="0930A602" w14:textId="2DE9F728">
          <w:pPr>
            <w:pStyle w:val="Innehll2"/>
            <w:tabs>
              <w:tab w:val="right" w:leader="dot" w:pos="8494"/>
            </w:tabs>
            <w:rPr>
              <w:rFonts w:eastAsiaTheme="minorEastAsia"/>
              <w:noProof/>
              <w:kern w:val="0"/>
              <w:sz w:val="22"/>
              <w:szCs w:val="22"/>
              <w:lang w:eastAsia="sv-SE"/>
              <w14:numSpacing w14:val="default"/>
            </w:rPr>
          </w:pPr>
          <w:hyperlink w:history="1" w:anchor="_Toc149814546">
            <w:r w:rsidRPr="002F48A6">
              <w:rPr>
                <w:rStyle w:val="Hyperlnk"/>
                <w:noProof/>
                <w:lang w:eastAsia="sv-SE"/>
              </w:rPr>
              <w:t>7.9 Pensionssystemet</w:t>
            </w:r>
            <w:r>
              <w:rPr>
                <w:noProof/>
                <w:webHidden/>
              </w:rPr>
              <w:tab/>
            </w:r>
            <w:r>
              <w:rPr>
                <w:noProof/>
                <w:webHidden/>
              </w:rPr>
              <w:fldChar w:fldCharType="begin"/>
            </w:r>
            <w:r>
              <w:rPr>
                <w:noProof/>
                <w:webHidden/>
              </w:rPr>
              <w:instrText xml:space="preserve"> PAGEREF _Toc149814546 \h </w:instrText>
            </w:r>
            <w:r>
              <w:rPr>
                <w:noProof/>
                <w:webHidden/>
              </w:rPr>
            </w:r>
            <w:r>
              <w:rPr>
                <w:noProof/>
                <w:webHidden/>
              </w:rPr>
              <w:fldChar w:fldCharType="separate"/>
            </w:r>
            <w:r>
              <w:rPr>
                <w:noProof/>
                <w:webHidden/>
              </w:rPr>
              <w:t>43</w:t>
            </w:r>
            <w:r>
              <w:rPr>
                <w:noProof/>
                <w:webHidden/>
              </w:rPr>
              <w:fldChar w:fldCharType="end"/>
            </w:r>
          </w:hyperlink>
        </w:p>
        <w:p w:rsidR="00FF6C83" w:rsidRDefault="00FF6C83" w14:paraId="2A5D4D3B" w14:textId="2612D445">
          <w:pPr>
            <w:pStyle w:val="Innehll3"/>
            <w:tabs>
              <w:tab w:val="right" w:leader="dot" w:pos="8494"/>
            </w:tabs>
            <w:rPr>
              <w:rFonts w:eastAsiaTheme="minorEastAsia"/>
              <w:noProof/>
              <w:kern w:val="0"/>
              <w:sz w:val="22"/>
              <w:szCs w:val="22"/>
              <w:lang w:eastAsia="sv-SE"/>
              <w14:numSpacing w14:val="default"/>
            </w:rPr>
          </w:pPr>
          <w:hyperlink w:history="1" w:anchor="_Toc149814547">
            <w:r w:rsidRPr="002F48A6">
              <w:rPr>
                <w:rStyle w:val="Hyperlnk"/>
                <w:noProof/>
                <w:lang w:eastAsia="sv-SE"/>
              </w:rPr>
              <w:t>7.9.1 Höj pensionerna</w:t>
            </w:r>
            <w:r>
              <w:rPr>
                <w:noProof/>
                <w:webHidden/>
              </w:rPr>
              <w:tab/>
            </w:r>
            <w:r>
              <w:rPr>
                <w:noProof/>
                <w:webHidden/>
              </w:rPr>
              <w:fldChar w:fldCharType="begin"/>
            </w:r>
            <w:r>
              <w:rPr>
                <w:noProof/>
                <w:webHidden/>
              </w:rPr>
              <w:instrText xml:space="preserve"> PAGEREF _Toc149814547 \h </w:instrText>
            </w:r>
            <w:r>
              <w:rPr>
                <w:noProof/>
                <w:webHidden/>
              </w:rPr>
            </w:r>
            <w:r>
              <w:rPr>
                <w:noProof/>
                <w:webHidden/>
              </w:rPr>
              <w:fldChar w:fldCharType="separate"/>
            </w:r>
            <w:r>
              <w:rPr>
                <w:noProof/>
                <w:webHidden/>
              </w:rPr>
              <w:t>44</w:t>
            </w:r>
            <w:r>
              <w:rPr>
                <w:noProof/>
                <w:webHidden/>
              </w:rPr>
              <w:fldChar w:fldCharType="end"/>
            </w:r>
          </w:hyperlink>
        </w:p>
        <w:p w:rsidR="00FF6C83" w:rsidRDefault="00FF6C83" w14:paraId="5868943E" w14:textId="0CDADF19">
          <w:pPr>
            <w:pStyle w:val="Innehll3"/>
            <w:tabs>
              <w:tab w:val="right" w:leader="dot" w:pos="8494"/>
            </w:tabs>
            <w:rPr>
              <w:rFonts w:eastAsiaTheme="minorEastAsia"/>
              <w:noProof/>
              <w:kern w:val="0"/>
              <w:sz w:val="22"/>
              <w:szCs w:val="22"/>
              <w:lang w:eastAsia="sv-SE"/>
              <w14:numSpacing w14:val="default"/>
            </w:rPr>
          </w:pPr>
          <w:hyperlink w:history="1" w:anchor="_Toc149814548">
            <w:r w:rsidRPr="002F48A6">
              <w:rPr>
                <w:rStyle w:val="Hyperlnk"/>
                <w:noProof/>
                <w:lang w:eastAsia="sv-SE"/>
              </w:rPr>
              <w:t>7.9.2 Övergångsregler</w:t>
            </w:r>
            <w:r>
              <w:rPr>
                <w:noProof/>
                <w:webHidden/>
              </w:rPr>
              <w:tab/>
            </w:r>
            <w:r>
              <w:rPr>
                <w:noProof/>
                <w:webHidden/>
              </w:rPr>
              <w:fldChar w:fldCharType="begin"/>
            </w:r>
            <w:r>
              <w:rPr>
                <w:noProof/>
                <w:webHidden/>
              </w:rPr>
              <w:instrText xml:space="preserve"> PAGEREF _Toc149814548 \h </w:instrText>
            </w:r>
            <w:r>
              <w:rPr>
                <w:noProof/>
                <w:webHidden/>
              </w:rPr>
            </w:r>
            <w:r>
              <w:rPr>
                <w:noProof/>
                <w:webHidden/>
              </w:rPr>
              <w:fldChar w:fldCharType="separate"/>
            </w:r>
            <w:r>
              <w:rPr>
                <w:noProof/>
                <w:webHidden/>
              </w:rPr>
              <w:t>44</w:t>
            </w:r>
            <w:r>
              <w:rPr>
                <w:noProof/>
                <w:webHidden/>
              </w:rPr>
              <w:fldChar w:fldCharType="end"/>
            </w:r>
          </w:hyperlink>
        </w:p>
        <w:p w:rsidR="00FF6C83" w:rsidRDefault="00FF6C83" w14:paraId="3F0BF720" w14:textId="5B7007D4">
          <w:pPr>
            <w:pStyle w:val="Innehll3"/>
            <w:tabs>
              <w:tab w:val="right" w:leader="dot" w:pos="8494"/>
            </w:tabs>
            <w:rPr>
              <w:rFonts w:eastAsiaTheme="minorEastAsia"/>
              <w:noProof/>
              <w:kern w:val="0"/>
              <w:sz w:val="22"/>
              <w:szCs w:val="22"/>
              <w:lang w:eastAsia="sv-SE"/>
              <w14:numSpacing w14:val="default"/>
            </w:rPr>
          </w:pPr>
          <w:hyperlink w:history="1" w:anchor="_Toc149814549">
            <w:r w:rsidRPr="002F48A6">
              <w:rPr>
                <w:rStyle w:val="Hyperlnk"/>
                <w:noProof/>
                <w:lang w:eastAsia="sv-SE"/>
              </w:rPr>
              <w:t>7.9.3 Offentligfinansiella effekter</w:t>
            </w:r>
            <w:r>
              <w:rPr>
                <w:noProof/>
                <w:webHidden/>
              </w:rPr>
              <w:tab/>
            </w:r>
            <w:r>
              <w:rPr>
                <w:noProof/>
                <w:webHidden/>
              </w:rPr>
              <w:fldChar w:fldCharType="begin"/>
            </w:r>
            <w:r>
              <w:rPr>
                <w:noProof/>
                <w:webHidden/>
              </w:rPr>
              <w:instrText xml:space="preserve"> PAGEREF _Toc149814549 \h </w:instrText>
            </w:r>
            <w:r>
              <w:rPr>
                <w:noProof/>
                <w:webHidden/>
              </w:rPr>
            </w:r>
            <w:r>
              <w:rPr>
                <w:noProof/>
                <w:webHidden/>
              </w:rPr>
              <w:fldChar w:fldCharType="separate"/>
            </w:r>
            <w:r>
              <w:rPr>
                <w:noProof/>
                <w:webHidden/>
              </w:rPr>
              <w:t>45</w:t>
            </w:r>
            <w:r>
              <w:rPr>
                <w:noProof/>
                <w:webHidden/>
              </w:rPr>
              <w:fldChar w:fldCharType="end"/>
            </w:r>
          </w:hyperlink>
        </w:p>
        <w:p w:rsidR="00FF6C83" w:rsidRDefault="00FF6C83" w14:paraId="49144FFB" w14:textId="742EE144">
          <w:pPr>
            <w:pStyle w:val="Innehll3"/>
            <w:tabs>
              <w:tab w:val="right" w:leader="dot" w:pos="8494"/>
            </w:tabs>
            <w:rPr>
              <w:rFonts w:eastAsiaTheme="minorEastAsia"/>
              <w:noProof/>
              <w:kern w:val="0"/>
              <w:sz w:val="22"/>
              <w:szCs w:val="22"/>
              <w:lang w:eastAsia="sv-SE"/>
              <w14:numSpacing w14:val="default"/>
            </w:rPr>
          </w:pPr>
          <w:hyperlink w:history="1" w:anchor="_Toc149814550">
            <w:r w:rsidRPr="002F48A6">
              <w:rPr>
                <w:rStyle w:val="Hyperlnk"/>
                <w:noProof/>
                <w:lang w:eastAsia="sv-SE"/>
              </w:rPr>
              <w:t>7.9.4 Ytterligare förändringar inom pensionssystemet</w:t>
            </w:r>
            <w:r>
              <w:rPr>
                <w:noProof/>
                <w:webHidden/>
              </w:rPr>
              <w:tab/>
            </w:r>
            <w:r>
              <w:rPr>
                <w:noProof/>
                <w:webHidden/>
              </w:rPr>
              <w:fldChar w:fldCharType="begin"/>
            </w:r>
            <w:r>
              <w:rPr>
                <w:noProof/>
                <w:webHidden/>
              </w:rPr>
              <w:instrText xml:space="preserve"> PAGEREF _Toc149814550 \h </w:instrText>
            </w:r>
            <w:r>
              <w:rPr>
                <w:noProof/>
                <w:webHidden/>
              </w:rPr>
            </w:r>
            <w:r>
              <w:rPr>
                <w:noProof/>
                <w:webHidden/>
              </w:rPr>
              <w:fldChar w:fldCharType="separate"/>
            </w:r>
            <w:r>
              <w:rPr>
                <w:noProof/>
                <w:webHidden/>
              </w:rPr>
              <w:t>46</w:t>
            </w:r>
            <w:r>
              <w:rPr>
                <w:noProof/>
                <w:webHidden/>
              </w:rPr>
              <w:fldChar w:fldCharType="end"/>
            </w:r>
          </w:hyperlink>
        </w:p>
        <w:p w:rsidR="00FF6C83" w:rsidRDefault="00FF6C83" w14:paraId="2B4D235B" w14:textId="5C9231A0">
          <w:pPr>
            <w:pStyle w:val="Innehll2"/>
            <w:tabs>
              <w:tab w:val="right" w:leader="dot" w:pos="8494"/>
            </w:tabs>
            <w:rPr>
              <w:rFonts w:eastAsiaTheme="minorEastAsia"/>
              <w:noProof/>
              <w:kern w:val="0"/>
              <w:sz w:val="22"/>
              <w:szCs w:val="22"/>
              <w:lang w:eastAsia="sv-SE"/>
              <w14:numSpacing w14:val="default"/>
            </w:rPr>
          </w:pPr>
          <w:hyperlink w:history="1" w:anchor="_Toc149814551">
            <w:r w:rsidRPr="002F48A6">
              <w:rPr>
                <w:rStyle w:val="Hyperlnk"/>
                <w:noProof/>
                <w:lang w:eastAsia="sv-SE"/>
              </w:rPr>
              <w:t>7.10 Den ekonomiska familjepolitiken</w:t>
            </w:r>
            <w:r>
              <w:rPr>
                <w:noProof/>
                <w:webHidden/>
              </w:rPr>
              <w:tab/>
            </w:r>
            <w:r>
              <w:rPr>
                <w:noProof/>
                <w:webHidden/>
              </w:rPr>
              <w:fldChar w:fldCharType="begin"/>
            </w:r>
            <w:r>
              <w:rPr>
                <w:noProof/>
                <w:webHidden/>
              </w:rPr>
              <w:instrText xml:space="preserve"> PAGEREF _Toc149814551 \h </w:instrText>
            </w:r>
            <w:r>
              <w:rPr>
                <w:noProof/>
                <w:webHidden/>
              </w:rPr>
            </w:r>
            <w:r>
              <w:rPr>
                <w:noProof/>
                <w:webHidden/>
              </w:rPr>
              <w:fldChar w:fldCharType="separate"/>
            </w:r>
            <w:r>
              <w:rPr>
                <w:noProof/>
                <w:webHidden/>
              </w:rPr>
              <w:t>47</w:t>
            </w:r>
            <w:r>
              <w:rPr>
                <w:noProof/>
                <w:webHidden/>
              </w:rPr>
              <w:fldChar w:fldCharType="end"/>
            </w:r>
          </w:hyperlink>
        </w:p>
        <w:p w:rsidR="00FF6C83" w:rsidRDefault="00FF6C83" w14:paraId="4952255C" w14:textId="77CF83EF">
          <w:pPr>
            <w:pStyle w:val="Innehll3"/>
            <w:tabs>
              <w:tab w:val="right" w:leader="dot" w:pos="8494"/>
            </w:tabs>
            <w:rPr>
              <w:rFonts w:eastAsiaTheme="minorEastAsia"/>
              <w:noProof/>
              <w:kern w:val="0"/>
              <w:sz w:val="22"/>
              <w:szCs w:val="22"/>
              <w:lang w:eastAsia="sv-SE"/>
              <w14:numSpacing w14:val="default"/>
            </w:rPr>
          </w:pPr>
          <w:hyperlink w:history="1" w:anchor="_Toc149814552">
            <w:r w:rsidRPr="002F48A6">
              <w:rPr>
                <w:rStyle w:val="Hyperlnk"/>
                <w:noProof/>
                <w:lang w:eastAsia="sv-SE"/>
              </w:rPr>
              <w:t>7.10.1 Inför ett tillfälligt ensamståendetillägg i barnbidraget</w:t>
            </w:r>
            <w:r>
              <w:rPr>
                <w:noProof/>
                <w:webHidden/>
              </w:rPr>
              <w:tab/>
            </w:r>
            <w:r>
              <w:rPr>
                <w:noProof/>
                <w:webHidden/>
              </w:rPr>
              <w:fldChar w:fldCharType="begin"/>
            </w:r>
            <w:r>
              <w:rPr>
                <w:noProof/>
                <w:webHidden/>
              </w:rPr>
              <w:instrText xml:space="preserve"> PAGEREF _Toc149814552 \h </w:instrText>
            </w:r>
            <w:r>
              <w:rPr>
                <w:noProof/>
                <w:webHidden/>
              </w:rPr>
            </w:r>
            <w:r>
              <w:rPr>
                <w:noProof/>
                <w:webHidden/>
              </w:rPr>
              <w:fldChar w:fldCharType="separate"/>
            </w:r>
            <w:r>
              <w:rPr>
                <w:noProof/>
                <w:webHidden/>
              </w:rPr>
              <w:t>47</w:t>
            </w:r>
            <w:r>
              <w:rPr>
                <w:noProof/>
                <w:webHidden/>
              </w:rPr>
              <w:fldChar w:fldCharType="end"/>
            </w:r>
          </w:hyperlink>
        </w:p>
        <w:p w:rsidR="00FF6C83" w:rsidRDefault="00FF6C83" w14:paraId="6F702950" w14:textId="033627BE">
          <w:pPr>
            <w:pStyle w:val="Innehll3"/>
            <w:tabs>
              <w:tab w:val="right" w:leader="dot" w:pos="8494"/>
            </w:tabs>
            <w:rPr>
              <w:rFonts w:eastAsiaTheme="minorEastAsia"/>
              <w:noProof/>
              <w:kern w:val="0"/>
              <w:sz w:val="22"/>
              <w:szCs w:val="22"/>
              <w:lang w:eastAsia="sv-SE"/>
              <w14:numSpacing w14:val="default"/>
            </w:rPr>
          </w:pPr>
          <w:hyperlink w:history="1" w:anchor="_Toc149814553">
            <w:r w:rsidRPr="002F48A6">
              <w:rPr>
                <w:rStyle w:val="Hyperlnk"/>
                <w:noProof/>
                <w:lang w:eastAsia="sv-SE"/>
              </w:rPr>
              <w:t>7.10.2 Höj grundnivån i föräldraförsäkringen</w:t>
            </w:r>
            <w:r>
              <w:rPr>
                <w:noProof/>
                <w:webHidden/>
              </w:rPr>
              <w:tab/>
            </w:r>
            <w:r>
              <w:rPr>
                <w:noProof/>
                <w:webHidden/>
              </w:rPr>
              <w:fldChar w:fldCharType="begin"/>
            </w:r>
            <w:r>
              <w:rPr>
                <w:noProof/>
                <w:webHidden/>
              </w:rPr>
              <w:instrText xml:space="preserve"> PAGEREF _Toc149814553 \h </w:instrText>
            </w:r>
            <w:r>
              <w:rPr>
                <w:noProof/>
                <w:webHidden/>
              </w:rPr>
            </w:r>
            <w:r>
              <w:rPr>
                <w:noProof/>
                <w:webHidden/>
              </w:rPr>
              <w:fldChar w:fldCharType="separate"/>
            </w:r>
            <w:r>
              <w:rPr>
                <w:noProof/>
                <w:webHidden/>
              </w:rPr>
              <w:t>48</w:t>
            </w:r>
            <w:r>
              <w:rPr>
                <w:noProof/>
                <w:webHidden/>
              </w:rPr>
              <w:fldChar w:fldCharType="end"/>
            </w:r>
          </w:hyperlink>
        </w:p>
        <w:p w:rsidR="00FF6C83" w:rsidRDefault="00FF6C83" w14:paraId="3CEDDBAC" w14:textId="153C19BC">
          <w:pPr>
            <w:pStyle w:val="Innehll3"/>
            <w:tabs>
              <w:tab w:val="right" w:leader="dot" w:pos="8494"/>
            </w:tabs>
            <w:rPr>
              <w:rFonts w:eastAsiaTheme="minorEastAsia"/>
              <w:noProof/>
              <w:kern w:val="0"/>
              <w:sz w:val="22"/>
              <w:szCs w:val="22"/>
              <w:lang w:eastAsia="sv-SE"/>
              <w14:numSpacing w14:val="default"/>
            </w:rPr>
          </w:pPr>
          <w:hyperlink w:history="1" w:anchor="_Toc149814554">
            <w:r w:rsidRPr="002F48A6">
              <w:rPr>
                <w:rStyle w:val="Hyperlnk"/>
                <w:noProof/>
                <w:lang w:eastAsia="sv-SE"/>
              </w:rPr>
              <w:t>7.10.3 Höj försörjningsstödet</w:t>
            </w:r>
            <w:r>
              <w:rPr>
                <w:noProof/>
                <w:webHidden/>
              </w:rPr>
              <w:tab/>
            </w:r>
            <w:r>
              <w:rPr>
                <w:noProof/>
                <w:webHidden/>
              </w:rPr>
              <w:fldChar w:fldCharType="begin"/>
            </w:r>
            <w:r>
              <w:rPr>
                <w:noProof/>
                <w:webHidden/>
              </w:rPr>
              <w:instrText xml:space="preserve"> PAGEREF _Toc149814554 \h </w:instrText>
            </w:r>
            <w:r>
              <w:rPr>
                <w:noProof/>
                <w:webHidden/>
              </w:rPr>
            </w:r>
            <w:r>
              <w:rPr>
                <w:noProof/>
                <w:webHidden/>
              </w:rPr>
              <w:fldChar w:fldCharType="separate"/>
            </w:r>
            <w:r>
              <w:rPr>
                <w:noProof/>
                <w:webHidden/>
              </w:rPr>
              <w:t>48</w:t>
            </w:r>
            <w:r>
              <w:rPr>
                <w:noProof/>
                <w:webHidden/>
              </w:rPr>
              <w:fldChar w:fldCharType="end"/>
            </w:r>
          </w:hyperlink>
        </w:p>
        <w:p w:rsidR="00FF6C83" w:rsidRDefault="00FF6C83" w14:paraId="0C1127D6" w14:textId="0F508E08">
          <w:pPr>
            <w:pStyle w:val="Innehll2"/>
            <w:tabs>
              <w:tab w:val="right" w:leader="dot" w:pos="8494"/>
            </w:tabs>
            <w:rPr>
              <w:rFonts w:eastAsiaTheme="minorEastAsia"/>
              <w:noProof/>
              <w:kern w:val="0"/>
              <w:sz w:val="22"/>
              <w:szCs w:val="22"/>
              <w:lang w:eastAsia="sv-SE"/>
              <w14:numSpacing w14:val="default"/>
            </w:rPr>
          </w:pPr>
          <w:hyperlink w:history="1" w:anchor="_Toc149814555">
            <w:r w:rsidRPr="002F48A6">
              <w:rPr>
                <w:rStyle w:val="Hyperlnk"/>
                <w:rFonts w:eastAsia="Times New Roman"/>
                <w:noProof/>
                <w:lang w:eastAsia="sv-SE"/>
              </w:rPr>
              <w:t>7.11 Reformtabell</w:t>
            </w:r>
            <w:r>
              <w:rPr>
                <w:noProof/>
                <w:webHidden/>
              </w:rPr>
              <w:tab/>
            </w:r>
            <w:r>
              <w:rPr>
                <w:noProof/>
                <w:webHidden/>
              </w:rPr>
              <w:fldChar w:fldCharType="begin"/>
            </w:r>
            <w:r>
              <w:rPr>
                <w:noProof/>
                <w:webHidden/>
              </w:rPr>
              <w:instrText xml:space="preserve"> PAGEREF _Toc149814555 \h </w:instrText>
            </w:r>
            <w:r>
              <w:rPr>
                <w:noProof/>
                <w:webHidden/>
              </w:rPr>
            </w:r>
            <w:r>
              <w:rPr>
                <w:noProof/>
                <w:webHidden/>
              </w:rPr>
              <w:fldChar w:fldCharType="separate"/>
            </w:r>
            <w:r>
              <w:rPr>
                <w:noProof/>
                <w:webHidden/>
              </w:rPr>
              <w:t>49</w:t>
            </w:r>
            <w:r>
              <w:rPr>
                <w:noProof/>
                <w:webHidden/>
              </w:rPr>
              <w:fldChar w:fldCharType="end"/>
            </w:r>
          </w:hyperlink>
        </w:p>
        <w:p w:rsidR="00FF6C83" w:rsidRDefault="00FF6C83" w14:paraId="0931E1C3" w14:textId="4CCC4D38">
          <w:pPr>
            <w:pStyle w:val="Innehll1"/>
            <w:tabs>
              <w:tab w:val="right" w:leader="dot" w:pos="8494"/>
            </w:tabs>
            <w:rPr>
              <w:rFonts w:eastAsiaTheme="minorEastAsia"/>
              <w:noProof/>
              <w:kern w:val="0"/>
              <w:sz w:val="22"/>
              <w:szCs w:val="22"/>
              <w:lang w:eastAsia="sv-SE"/>
              <w14:numSpacing w14:val="default"/>
            </w:rPr>
          </w:pPr>
          <w:hyperlink w:history="1" w:anchor="_Toc149814556">
            <w:r w:rsidRPr="002F48A6">
              <w:rPr>
                <w:rStyle w:val="Hyperlnk"/>
                <w:noProof/>
              </w:rPr>
              <w:t>8 Generell välfärd för ett helt samhälle</w:t>
            </w:r>
            <w:r>
              <w:rPr>
                <w:noProof/>
                <w:webHidden/>
              </w:rPr>
              <w:tab/>
            </w:r>
            <w:r>
              <w:rPr>
                <w:noProof/>
                <w:webHidden/>
              </w:rPr>
              <w:fldChar w:fldCharType="begin"/>
            </w:r>
            <w:r>
              <w:rPr>
                <w:noProof/>
                <w:webHidden/>
              </w:rPr>
              <w:instrText xml:space="preserve"> PAGEREF _Toc149814556 \h </w:instrText>
            </w:r>
            <w:r>
              <w:rPr>
                <w:noProof/>
                <w:webHidden/>
              </w:rPr>
            </w:r>
            <w:r>
              <w:rPr>
                <w:noProof/>
                <w:webHidden/>
              </w:rPr>
              <w:fldChar w:fldCharType="separate"/>
            </w:r>
            <w:r>
              <w:rPr>
                <w:noProof/>
                <w:webHidden/>
              </w:rPr>
              <w:t>49</w:t>
            </w:r>
            <w:r>
              <w:rPr>
                <w:noProof/>
                <w:webHidden/>
              </w:rPr>
              <w:fldChar w:fldCharType="end"/>
            </w:r>
          </w:hyperlink>
        </w:p>
        <w:p w:rsidR="00FF6C83" w:rsidRDefault="00FF6C83" w14:paraId="59AE9EF9" w14:textId="35C5613D">
          <w:pPr>
            <w:pStyle w:val="Innehll2"/>
            <w:tabs>
              <w:tab w:val="right" w:leader="dot" w:pos="8494"/>
            </w:tabs>
            <w:rPr>
              <w:rFonts w:eastAsiaTheme="minorEastAsia"/>
              <w:noProof/>
              <w:kern w:val="0"/>
              <w:sz w:val="22"/>
              <w:szCs w:val="22"/>
              <w:lang w:eastAsia="sv-SE"/>
              <w14:numSpacing w14:val="default"/>
            </w:rPr>
          </w:pPr>
          <w:hyperlink w:history="1" w:anchor="_Toc149814557">
            <w:r w:rsidRPr="002F48A6">
              <w:rPr>
                <w:rStyle w:val="Hyperlnk"/>
                <w:noProof/>
              </w:rPr>
              <w:t>8.1 Resurser som följer befolkningstillväxten</w:t>
            </w:r>
            <w:r>
              <w:rPr>
                <w:noProof/>
                <w:webHidden/>
              </w:rPr>
              <w:tab/>
            </w:r>
            <w:r>
              <w:rPr>
                <w:noProof/>
                <w:webHidden/>
              </w:rPr>
              <w:fldChar w:fldCharType="begin"/>
            </w:r>
            <w:r>
              <w:rPr>
                <w:noProof/>
                <w:webHidden/>
              </w:rPr>
              <w:instrText xml:space="preserve"> PAGEREF _Toc149814557 \h </w:instrText>
            </w:r>
            <w:r>
              <w:rPr>
                <w:noProof/>
                <w:webHidden/>
              </w:rPr>
            </w:r>
            <w:r>
              <w:rPr>
                <w:noProof/>
                <w:webHidden/>
              </w:rPr>
              <w:fldChar w:fldCharType="separate"/>
            </w:r>
            <w:r>
              <w:rPr>
                <w:noProof/>
                <w:webHidden/>
              </w:rPr>
              <w:t>49</w:t>
            </w:r>
            <w:r>
              <w:rPr>
                <w:noProof/>
                <w:webHidden/>
              </w:rPr>
              <w:fldChar w:fldCharType="end"/>
            </w:r>
          </w:hyperlink>
        </w:p>
        <w:p w:rsidR="00FF6C83" w:rsidRDefault="00FF6C83" w14:paraId="1B15ABF2" w14:textId="0FBDAF3D">
          <w:pPr>
            <w:pStyle w:val="Innehll2"/>
            <w:tabs>
              <w:tab w:val="right" w:leader="dot" w:pos="8494"/>
            </w:tabs>
            <w:rPr>
              <w:rFonts w:eastAsiaTheme="minorEastAsia"/>
              <w:noProof/>
              <w:kern w:val="0"/>
              <w:sz w:val="22"/>
              <w:szCs w:val="22"/>
              <w:lang w:eastAsia="sv-SE"/>
              <w14:numSpacing w14:val="default"/>
            </w:rPr>
          </w:pPr>
          <w:hyperlink w:history="1" w:anchor="_Toc149814558">
            <w:r w:rsidRPr="002F48A6">
              <w:rPr>
                <w:rStyle w:val="Hyperlnk"/>
                <w:noProof/>
              </w:rPr>
              <w:t>8.2 Ökad personaltäthet och bättre villkor i offentlig sektor</w:t>
            </w:r>
            <w:r>
              <w:rPr>
                <w:noProof/>
                <w:webHidden/>
              </w:rPr>
              <w:tab/>
            </w:r>
            <w:r>
              <w:rPr>
                <w:noProof/>
                <w:webHidden/>
              </w:rPr>
              <w:fldChar w:fldCharType="begin"/>
            </w:r>
            <w:r>
              <w:rPr>
                <w:noProof/>
                <w:webHidden/>
              </w:rPr>
              <w:instrText xml:space="preserve"> PAGEREF _Toc149814558 \h </w:instrText>
            </w:r>
            <w:r>
              <w:rPr>
                <w:noProof/>
                <w:webHidden/>
              </w:rPr>
            </w:r>
            <w:r>
              <w:rPr>
                <w:noProof/>
                <w:webHidden/>
              </w:rPr>
              <w:fldChar w:fldCharType="separate"/>
            </w:r>
            <w:r>
              <w:rPr>
                <w:noProof/>
                <w:webHidden/>
              </w:rPr>
              <w:t>50</w:t>
            </w:r>
            <w:r>
              <w:rPr>
                <w:noProof/>
                <w:webHidden/>
              </w:rPr>
              <w:fldChar w:fldCharType="end"/>
            </w:r>
          </w:hyperlink>
        </w:p>
        <w:p w:rsidR="00FF6C83" w:rsidRDefault="00FF6C83" w14:paraId="29723590" w14:textId="0DECE005">
          <w:pPr>
            <w:pStyle w:val="Innehll2"/>
            <w:tabs>
              <w:tab w:val="right" w:leader="dot" w:pos="8494"/>
            </w:tabs>
            <w:rPr>
              <w:rFonts w:eastAsiaTheme="minorEastAsia"/>
              <w:noProof/>
              <w:kern w:val="0"/>
              <w:sz w:val="22"/>
              <w:szCs w:val="22"/>
              <w:lang w:eastAsia="sv-SE"/>
              <w14:numSpacing w14:val="default"/>
            </w:rPr>
          </w:pPr>
          <w:hyperlink w:history="1" w:anchor="_Toc149814559">
            <w:r w:rsidRPr="002F48A6">
              <w:rPr>
                <w:rStyle w:val="Hyperlnk"/>
                <w:noProof/>
              </w:rPr>
              <w:t>8.3 Kompetensförsörjning inom vård och omsorg</w:t>
            </w:r>
            <w:r>
              <w:rPr>
                <w:noProof/>
                <w:webHidden/>
              </w:rPr>
              <w:tab/>
            </w:r>
            <w:r>
              <w:rPr>
                <w:noProof/>
                <w:webHidden/>
              </w:rPr>
              <w:fldChar w:fldCharType="begin"/>
            </w:r>
            <w:r>
              <w:rPr>
                <w:noProof/>
                <w:webHidden/>
              </w:rPr>
              <w:instrText xml:space="preserve"> PAGEREF _Toc149814559 \h </w:instrText>
            </w:r>
            <w:r>
              <w:rPr>
                <w:noProof/>
                <w:webHidden/>
              </w:rPr>
            </w:r>
            <w:r>
              <w:rPr>
                <w:noProof/>
                <w:webHidden/>
              </w:rPr>
              <w:fldChar w:fldCharType="separate"/>
            </w:r>
            <w:r>
              <w:rPr>
                <w:noProof/>
                <w:webHidden/>
              </w:rPr>
              <w:t>51</w:t>
            </w:r>
            <w:r>
              <w:rPr>
                <w:noProof/>
                <w:webHidden/>
              </w:rPr>
              <w:fldChar w:fldCharType="end"/>
            </w:r>
          </w:hyperlink>
        </w:p>
        <w:p w:rsidR="00FF6C83" w:rsidRDefault="00FF6C83" w14:paraId="1D7D9634" w14:textId="12640768">
          <w:pPr>
            <w:pStyle w:val="Innehll2"/>
            <w:tabs>
              <w:tab w:val="right" w:leader="dot" w:pos="8494"/>
            </w:tabs>
            <w:rPr>
              <w:rFonts w:eastAsiaTheme="minorEastAsia"/>
              <w:noProof/>
              <w:kern w:val="0"/>
              <w:sz w:val="22"/>
              <w:szCs w:val="22"/>
              <w:lang w:eastAsia="sv-SE"/>
              <w14:numSpacing w14:val="default"/>
            </w:rPr>
          </w:pPr>
          <w:hyperlink w:history="1" w:anchor="_Toc149814560">
            <w:r w:rsidRPr="002F48A6">
              <w:rPr>
                <w:rStyle w:val="Hyperlnk"/>
                <w:noProof/>
              </w:rPr>
              <w:t>8.4 Möjlighet till betald specialistutbildning för sjuksköterskor i hela landet</w:t>
            </w:r>
            <w:r>
              <w:rPr>
                <w:noProof/>
                <w:webHidden/>
              </w:rPr>
              <w:tab/>
            </w:r>
            <w:r>
              <w:rPr>
                <w:noProof/>
                <w:webHidden/>
              </w:rPr>
              <w:fldChar w:fldCharType="begin"/>
            </w:r>
            <w:r>
              <w:rPr>
                <w:noProof/>
                <w:webHidden/>
              </w:rPr>
              <w:instrText xml:space="preserve"> PAGEREF _Toc149814560 \h </w:instrText>
            </w:r>
            <w:r>
              <w:rPr>
                <w:noProof/>
                <w:webHidden/>
              </w:rPr>
            </w:r>
            <w:r>
              <w:rPr>
                <w:noProof/>
                <w:webHidden/>
              </w:rPr>
              <w:fldChar w:fldCharType="separate"/>
            </w:r>
            <w:r>
              <w:rPr>
                <w:noProof/>
                <w:webHidden/>
              </w:rPr>
              <w:t>51</w:t>
            </w:r>
            <w:r>
              <w:rPr>
                <w:noProof/>
                <w:webHidden/>
              </w:rPr>
              <w:fldChar w:fldCharType="end"/>
            </w:r>
          </w:hyperlink>
        </w:p>
        <w:p w:rsidR="00FF6C83" w:rsidRDefault="00FF6C83" w14:paraId="75F807E7" w14:textId="6C45DD4B">
          <w:pPr>
            <w:pStyle w:val="Innehll2"/>
            <w:tabs>
              <w:tab w:val="right" w:leader="dot" w:pos="8494"/>
            </w:tabs>
            <w:rPr>
              <w:rFonts w:eastAsiaTheme="minorEastAsia"/>
              <w:noProof/>
              <w:kern w:val="0"/>
              <w:sz w:val="22"/>
              <w:szCs w:val="22"/>
              <w:lang w:eastAsia="sv-SE"/>
              <w14:numSpacing w14:val="default"/>
            </w:rPr>
          </w:pPr>
          <w:hyperlink w:history="1" w:anchor="_Toc149814561">
            <w:r w:rsidRPr="002F48A6">
              <w:rPr>
                <w:rStyle w:val="Hyperlnk"/>
                <w:noProof/>
              </w:rPr>
              <w:t>8.5 Glesbygdstillägg inom sjukvården</w:t>
            </w:r>
            <w:r>
              <w:rPr>
                <w:noProof/>
                <w:webHidden/>
              </w:rPr>
              <w:tab/>
            </w:r>
            <w:r>
              <w:rPr>
                <w:noProof/>
                <w:webHidden/>
              </w:rPr>
              <w:fldChar w:fldCharType="begin"/>
            </w:r>
            <w:r>
              <w:rPr>
                <w:noProof/>
                <w:webHidden/>
              </w:rPr>
              <w:instrText xml:space="preserve"> PAGEREF _Toc149814561 \h </w:instrText>
            </w:r>
            <w:r>
              <w:rPr>
                <w:noProof/>
                <w:webHidden/>
              </w:rPr>
            </w:r>
            <w:r>
              <w:rPr>
                <w:noProof/>
                <w:webHidden/>
              </w:rPr>
              <w:fldChar w:fldCharType="separate"/>
            </w:r>
            <w:r>
              <w:rPr>
                <w:noProof/>
                <w:webHidden/>
              </w:rPr>
              <w:t>52</w:t>
            </w:r>
            <w:r>
              <w:rPr>
                <w:noProof/>
                <w:webHidden/>
              </w:rPr>
              <w:fldChar w:fldCharType="end"/>
            </w:r>
          </w:hyperlink>
        </w:p>
        <w:p w:rsidR="00FF6C83" w:rsidRDefault="00FF6C83" w14:paraId="47541FE7" w14:textId="211F0832">
          <w:pPr>
            <w:pStyle w:val="Innehll2"/>
            <w:tabs>
              <w:tab w:val="right" w:leader="dot" w:pos="8494"/>
            </w:tabs>
            <w:rPr>
              <w:rFonts w:eastAsiaTheme="minorEastAsia"/>
              <w:noProof/>
              <w:kern w:val="0"/>
              <w:sz w:val="22"/>
              <w:szCs w:val="22"/>
              <w:lang w:eastAsia="sv-SE"/>
              <w14:numSpacing w14:val="default"/>
            </w:rPr>
          </w:pPr>
          <w:hyperlink w:history="1" w:anchor="_Toc149814562">
            <w:r w:rsidRPr="002F48A6">
              <w:rPr>
                <w:rStyle w:val="Hyperlnk"/>
                <w:noProof/>
              </w:rPr>
              <w:t>8.6 Ökad tillgång till psykologisk behandling</w:t>
            </w:r>
            <w:r>
              <w:rPr>
                <w:noProof/>
                <w:webHidden/>
              </w:rPr>
              <w:tab/>
            </w:r>
            <w:r>
              <w:rPr>
                <w:noProof/>
                <w:webHidden/>
              </w:rPr>
              <w:fldChar w:fldCharType="begin"/>
            </w:r>
            <w:r>
              <w:rPr>
                <w:noProof/>
                <w:webHidden/>
              </w:rPr>
              <w:instrText xml:space="preserve"> PAGEREF _Toc149814562 \h </w:instrText>
            </w:r>
            <w:r>
              <w:rPr>
                <w:noProof/>
                <w:webHidden/>
              </w:rPr>
            </w:r>
            <w:r>
              <w:rPr>
                <w:noProof/>
                <w:webHidden/>
              </w:rPr>
              <w:fldChar w:fldCharType="separate"/>
            </w:r>
            <w:r>
              <w:rPr>
                <w:noProof/>
                <w:webHidden/>
              </w:rPr>
              <w:t>52</w:t>
            </w:r>
            <w:r>
              <w:rPr>
                <w:noProof/>
                <w:webHidden/>
              </w:rPr>
              <w:fldChar w:fldCharType="end"/>
            </w:r>
          </w:hyperlink>
        </w:p>
        <w:p w:rsidR="00FF6C83" w:rsidRDefault="00FF6C83" w14:paraId="0158CBD8" w14:textId="72A0AC3E">
          <w:pPr>
            <w:pStyle w:val="Innehll2"/>
            <w:tabs>
              <w:tab w:val="right" w:leader="dot" w:pos="8494"/>
            </w:tabs>
            <w:rPr>
              <w:rFonts w:eastAsiaTheme="minorEastAsia"/>
              <w:noProof/>
              <w:kern w:val="0"/>
              <w:sz w:val="22"/>
              <w:szCs w:val="22"/>
              <w:lang w:eastAsia="sv-SE"/>
              <w14:numSpacing w14:val="default"/>
            </w:rPr>
          </w:pPr>
          <w:hyperlink w:history="1" w:anchor="_Toc149814563">
            <w:r w:rsidRPr="002F48A6">
              <w:rPr>
                <w:rStyle w:val="Hyperlnk"/>
                <w:noProof/>
              </w:rPr>
              <w:t>8.7 Tandvård</w:t>
            </w:r>
            <w:r>
              <w:rPr>
                <w:noProof/>
                <w:webHidden/>
              </w:rPr>
              <w:tab/>
            </w:r>
            <w:r>
              <w:rPr>
                <w:noProof/>
                <w:webHidden/>
              </w:rPr>
              <w:fldChar w:fldCharType="begin"/>
            </w:r>
            <w:r>
              <w:rPr>
                <w:noProof/>
                <w:webHidden/>
              </w:rPr>
              <w:instrText xml:space="preserve"> PAGEREF _Toc149814563 \h </w:instrText>
            </w:r>
            <w:r>
              <w:rPr>
                <w:noProof/>
                <w:webHidden/>
              </w:rPr>
            </w:r>
            <w:r>
              <w:rPr>
                <w:noProof/>
                <w:webHidden/>
              </w:rPr>
              <w:fldChar w:fldCharType="separate"/>
            </w:r>
            <w:r>
              <w:rPr>
                <w:noProof/>
                <w:webHidden/>
              </w:rPr>
              <w:t>53</w:t>
            </w:r>
            <w:r>
              <w:rPr>
                <w:noProof/>
                <w:webHidden/>
              </w:rPr>
              <w:fldChar w:fldCharType="end"/>
            </w:r>
          </w:hyperlink>
        </w:p>
        <w:p w:rsidR="00FF6C83" w:rsidRDefault="00FF6C83" w14:paraId="4690D8A9" w14:textId="76BDC4A6">
          <w:pPr>
            <w:pStyle w:val="Innehll2"/>
            <w:tabs>
              <w:tab w:val="right" w:leader="dot" w:pos="8494"/>
            </w:tabs>
            <w:rPr>
              <w:rFonts w:eastAsiaTheme="minorEastAsia"/>
              <w:noProof/>
              <w:kern w:val="0"/>
              <w:sz w:val="22"/>
              <w:szCs w:val="22"/>
              <w:lang w:eastAsia="sv-SE"/>
              <w14:numSpacing w14:val="default"/>
            </w:rPr>
          </w:pPr>
          <w:hyperlink w:history="1" w:anchor="_Toc149814564">
            <w:r w:rsidRPr="002F48A6">
              <w:rPr>
                <w:rStyle w:val="Hyperlnk"/>
                <w:noProof/>
                <w:lang w:eastAsia="sv-SE"/>
              </w:rPr>
              <w:t>8.8 Förbättrad arbetsmiljö i statlig sektor</w:t>
            </w:r>
            <w:r>
              <w:rPr>
                <w:noProof/>
                <w:webHidden/>
              </w:rPr>
              <w:tab/>
            </w:r>
            <w:r>
              <w:rPr>
                <w:noProof/>
                <w:webHidden/>
              </w:rPr>
              <w:fldChar w:fldCharType="begin"/>
            </w:r>
            <w:r>
              <w:rPr>
                <w:noProof/>
                <w:webHidden/>
              </w:rPr>
              <w:instrText xml:space="preserve"> PAGEREF _Toc149814564 \h </w:instrText>
            </w:r>
            <w:r>
              <w:rPr>
                <w:noProof/>
                <w:webHidden/>
              </w:rPr>
            </w:r>
            <w:r>
              <w:rPr>
                <w:noProof/>
                <w:webHidden/>
              </w:rPr>
              <w:fldChar w:fldCharType="separate"/>
            </w:r>
            <w:r>
              <w:rPr>
                <w:noProof/>
                <w:webHidden/>
              </w:rPr>
              <w:t>54</w:t>
            </w:r>
            <w:r>
              <w:rPr>
                <w:noProof/>
                <w:webHidden/>
              </w:rPr>
              <w:fldChar w:fldCharType="end"/>
            </w:r>
          </w:hyperlink>
        </w:p>
        <w:p w:rsidR="00FF6C83" w:rsidRDefault="00FF6C83" w14:paraId="3DD4B844" w14:textId="57D75947">
          <w:pPr>
            <w:pStyle w:val="Innehll2"/>
            <w:tabs>
              <w:tab w:val="right" w:leader="dot" w:pos="8494"/>
            </w:tabs>
            <w:rPr>
              <w:rFonts w:eastAsiaTheme="minorEastAsia"/>
              <w:noProof/>
              <w:kern w:val="0"/>
              <w:sz w:val="22"/>
              <w:szCs w:val="22"/>
              <w:lang w:eastAsia="sv-SE"/>
              <w14:numSpacing w14:val="default"/>
            </w:rPr>
          </w:pPr>
          <w:hyperlink w:history="1" w:anchor="_Toc149814565">
            <w:r w:rsidRPr="002F48A6">
              <w:rPr>
                <w:rStyle w:val="Hyperlnk"/>
                <w:noProof/>
                <w:lang w:eastAsia="sv-SE"/>
              </w:rPr>
              <w:t>8.9 Stärk Sveriges kommuner och regioner – reformtabell</w:t>
            </w:r>
            <w:r>
              <w:rPr>
                <w:noProof/>
                <w:webHidden/>
              </w:rPr>
              <w:tab/>
            </w:r>
            <w:r>
              <w:rPr>
                <w:noProof/>
                <w:webHidden/>
              </w:rPr>
              <w:fldChar w:fldCharType="begin"/>
            </w:r>
            <w:r>
              <w:rPr>
                <w:noProof/>
                <w:webHidden/>
              </w:rPr>
              <w:instrText xml:space="preserve"> PAGEREF _Toc149814565 \h </w:instrText>
            </w:r>
            <w:r>
              <w:rPr>
                <w:noProof/>
                <w:webHidden/>
              </w:rPr>
            </w:r>
            <w:r>
              <w:rPr>
                <w:noProof/>
                <w:webHidden/>
              </w:rPr>
              <w:fldChar w:fldCharType="separate"/>
            </w:r>
            <w:r>
              <w:rPr>
                <w:noProof/>
                <w:webHidden/>
              </w:rPr>
              <w:t>55</w:t>
            </w:r>
            <w:r>
              <w:rPr>
                <w:noProof/>
                <w:webHidden/>
              </w:rPr>
              <w:fldChar w:fldCharType="end"/>
            </w:r>
          </w:hyperlink>
        </w:p>
        <w:p w:rsidR="00FF6C83" w:rsidRDefault="00FF6C83" w14:paraId="24ADEB16" w14:textId="315436C8">
          <w:pPr>
            <w:pStyle w:val="Innehll1"/>
            <w:tabs>
              <w:tab w:val="right" w:leader="dot" w:pos="8494"/>
            </w:tabs>
            <w:rPr>
              <w:rFonts w:eastAsiaTheme="minorEastAsia"/>
              <w:noProof/>
              <w:kern w:val="0"/>
              <w:sz w:val="22"/>
              <w:szCs w:val="22"/>
              <w:lang w:eastAsia="sv-SE"/>
              <w14:numSpacing w14:val="default"/>
            </w:rPr>
          </w:pPr>
          <w:hyperlink w:history="1" w:anchor="_Toc149814566">
            <w:r w:rsidRPr="002F48A6">
              <w:rPr>
                <w:rStyle w:val="Hyperlnk"/>
                <w:noProof/>
              </w:rPr>
              <w:t>9 En kunskapsnation i världsklass</w:t>
            </w:r>
            <w:r>
              <w:rPr>
                <w:noProof/>
                <w:webHidden/>
              </w:rPr>
              <w:tab/>
            </w:r>
            <w:r>
              <w:rPr>
                <w:noProof/>
                <w:webHidden/>
              </w:rPr>
              <w:fldChar w:fldCharType="begin"/>
            </w:r>
            <w:r>
              <w:rPr>
                <w:noProof/>
                <w:webHidden/>
              </w:rPr>
              <w:instrText xml:space="preserve"> PAGEREF _Toc149814566 \h </w:instrText>
            </w:r>
            <w:r>
              <w:rPr>
                <w:noProof/>
                <w:webHidden/>
              </w:rPr>
            </w:r>
            <w:r>
              <w:rPr>
                <w:noProof/>
                <w:webHidden/>
              </w:rPr>
              <w:fldChar w:fldCharType="separate"/>
            </w:r>
            <w:r>
              <w:rPr>
                <w:noProof/>
                <w:webHidden/>
              </w:rPr>
              <w:t>56</w:t>
            </w:r>
            <w:r>
              <w:rPr>
                <w:noProof/>
                <w:webHidden/>
              </w:rPr>
              <w:fldChar w:fldCharType="end"/>
            </w:r>
          </w:hyperlink>
        </w:p>
        <w:p w:rsidR="00FF6C83" w:rsidRDefault="00FF6C83" w14:paraId="3F20716D" w14:textId="10D36BC2">
          <w:pPr>
            <w:pStyle w:val="Innehll2"/>
            <w:tabs>
              <w:tab w:val="right" w:leader="dot" w:pos="8494"/>
            </w:tabs>
            <w:rPr>
              <w:rFonts w:eastAsiaTheme="minorEastAsia"/>
              <w:noProof/>
              <w:kern w:val="0"/>
              <w:sz w:val="22"/>
              <w:szCs w:val="22"/>
              <w:lang w:eastAsia="sv-SE"/>
              <w14:numSpacing w14:val="default"/>
            </w:rPr>
          </w:pPr>
          <w:hyperlink w:history="1" w:anchor="_Toc149814567">
            <w:r w:rsidRPr="002F48A6">
              <w:rPr>
                <w:rStyle w:val="Hyperlnk"/>
                <w:noProof/>
              </w:rPr>
              <w:t>9.1 Främja ökat deltagande i förskolan</w:t>
            </w:r>
            <w:r>
              <w:rPr>
                <w:noProof/>
                <w:webHidden/>
              </w:rPr>
              <w:tab/>
            </w:r>
            <w:r>
              <w:rPr>
                <w:noProof/>
                <w:webHidden/>
              </w:rPr>
              <w:fldChar w:fldCharType="begin"/>
            </w:r>
            <w:r>
              <w:rPr>
                <w:noProof/>
                <w:webHidden/>
              </w:rPr>
              <w:instrText xml:space="preserve"> PAGEREF _Toc149814567 \h </w:instrText>
            </w:r>
            <w:r>
              <w:rPr>
                <w:noProof/>
                <w:webHidden/>
              </w:rPr>
            </w:r>
            <w:r>
              <w:rPr>
                <w:noProof/>
                <w:webHidden/>
              </w:rPr>
              <w:fldChar w:fldCharType="separate"/>
            </w:r>
            <w:r>
              <w:rPr>
                <w:noProof/>
                <w:webHidden/>
              </w:rPr>
              <w:t>57</w:t>
            </w:r>
            <w:r>
              <w:rPr>
                <w:noProof/>
                <w:webHidden/>
              </w:rPr>
              <w:fldChar w:fldCharType="end"/>
            </w:r>
          </w:hyperlink>
        </w:p>
        <w:p w:rsidR="00FF6C83" w:rsidRDefault="00FF6C83" w14:paraId="5AAC328B" w14:textId="2B405F3B">
          <w:pPr>
            <w:pStyle w:val="Innehll2"/>
            <w:tabs>
              <w:tab w:val="right" w:leader="dot" w:pos="8494"/>
            </w:tabs>
            <w:rPr>
              <w:rFonts w:eastAsiaTheme="minorEastAsia"/>
              <w:noProof/>
              <w:kern w:val="0"/>
              <w:sz w:val="22"/>
              <w:szCs w:val="22"/>
              <w:lang w:eastAsia="sv-SE"/>
              <w14:numSpacing w14:val="default"/>
            </w:rPr>
          </w:pPr>
          <w:hyperlink w:history="1" w:anchor="_Toc149814568">
            <w:r w:rsidRPr="002F48A6">
              <w:rPr>
                <w:rStyle w:val="Hyperlnk"/>
                <w:noProof/>
              </w:rPr>
              <w:t>9.2</w:t>
            </w:r>
            <w:r w:rsidRPr="002F48A6">
              <w:rPr>
                <w:rStyle w:val="Hyperlnk"/>
                <w:noProof/>
                <w:lang w:eastAsia="sv-SE"/>
              </w:rPr>
              <w:t xml:space="preserve"> Gör</w:t>
            </w:r>
            <w:r w:rsidRPr="002F48A6">
              <w:rPr>
                <w:rStyle w:val="Hyperlnk"/>
                <w:noProof/>
              </w:rPr>
              <w:t xml:space="preserve"> förskolans resurstilldelning kompensatorisk</w:t>
            </w:r>
            <w:r>
              <w:rPr>
                <w:noProof/>
                <w:webHidden/>
              </w:rPr>
              <w:tab/>
            </w:r>
            <w:r>
              <w:rPr>
                <w:noProof/>
                <w:webHidden/>
              </w:rPr>
              <w:fldChar w:fldCharType="begin"/>
            </w:r>
            <w:r>
              <w:rPr>
                <w:noProof/>
                <w:webHidden/>
              </w:rPr>
              <w:instrText xml:space="preserve"> PAGEREF _Toc149814568 \h </w:instrText>
            </w:r>
            <w:r>
              <w:rPr>
                <w:noProof/>
                <w:webHidden/>
              </w:rPr>
            </w:r>
            <w:r>
              <w:rPr>
                <w:noProof/>
                <w:webHidden/>
              </w:rPr>
              <w:fldChar w:fldCharType="separate"/>
            </w:r>
            <w:r>
              <w:rPr>
                <w:noProof/>
                <w:webHidden/>
              </w:rPr>
              <w:t>58</w:t>
            </w:r>
            <w:r>
              <w:rPr>
                <w:noProof/>
                <w:webHidden/>
              </w:rPr>
              <w:fldChar w:fldCharType="end"/>
            </w:r>
          </w:hyperlink>
        </w:p>
        <w:p w:rsidR="00FF6C83" w:rsidRDefault="00FF6C83" w14:paraId="1B1BF76F" w14:textId="58FA3510">
          <w:pPr>
            <w:pStyle w:val="Innehll2"/>
            <w:tabs>
              <w:tab w:val="right" w:leader="dot" w:pos="8494"/>
            </w:tabs>
            <w:rPr>
              <w:rFonts w:eastAsiaTheme="minorEastAsia"/>
              <w:noProof/>
              <w:kern w:val="0"/>
              <w:sz w:val="22"/>
              <w:szCs w:val="22"/>
              <w:lang w:eastAsia="sv-SE"/>
              <w14:numSpacing w14:val="default"/>
            </w:rPr>
          </w:pPr>
          <w:hyperlink w:history="1" w:anchor="_Toc149814569">
            <w:r w:rsidRPr="002F48A6">
              <w:rPr>
                <w:rStyle w:val="Hyperlnk"/>
                <w:noProof/>
              </w:rPr>
              <w:t>9.3 Inför en ny kompensatorisk resursfördelningsmodell i grundskolan</w:t>
            </w:r>
            <w:r>
              <w:rPr>
                <w:noProof/>
                <w:webHidden/>
              </w:rPr>
              <w:tab/>
            </w:r>
            <w:r>
              <w:rPr>
                <w:noProof/>
                <w:webHidden/>
              </w:rPr>
              <w:fldChar w:fldCharType="begin"/>
            </w:r>
            <w:r>
              <w:rPr>
                <w:noProof/>
                <w:webHidden/>
              </w:rPr>
              <w:instrText xml:space="preserve"> PAGEREF _Toc149814569 \h </w:instrText>
            </w:r>
            <w:r>
              <w:rPr>
                <w:noProof/>
                <w:webHidden/>
              </w:rPr>
            </w:r>
            <w:r>
              <w:rPr>
                <w:noProof/>
                <w:webHidden/>
              </w:rPr>
              <w:fldChar w:fldCharType="separate"/>
            </w:r>
            <w:r>
              <w:rPr>
                <w:noProof/>
                <w:webHidden/>
              </w:rPr>
              <w:t>59</w:t>
            </w:r>
            <w:r>
              <w:rPr>
                <w:noProof/>
                <w:webHidden/>
              </w:rPr>
              <w:fldChar w:fldCharType="end"/>
            </w:r>
          </w:hyperlink>
        </w:p>
        <w:p w:rsidR="00FF6C83" w:rsidRDefault="00FF6C83" w14:paraId="1AF0173F" w14:textId="1286C106">
          <w:pPr>
            <w:pStyle w:val="Innehll2"/>
            <w:tabs>
              <w:tab w:val="right" w:leader="dot" w:pos="8494"/>
            </w:tabs>
            <w:rPr>
              <w:rFonts w:eastAsiaTheme="minorEastAsia"/>
              <w:noProof/>
              <w:kern w:val="0"/>
              <w:sz w:val="22"/>
              <w:szCs w:val="22"/>
              <w:lang w:eastAsia="sv-SE"/>
              <w14:numSpacing w14:val="default"/>
            </w:rPr>
          </w:pPr>
          <w:hyperlink w:history="1" w:anchor="_Toc149814570">
            <w:r w:rsidRPr="002F48A6">
              <w:rPr>
                <w:rStyle w:val="Hyperlnk"/>
                <w:noProof/>
              </w:rPr>
              <w:t>9.4 Stärk de kompensatoriska insatserna i gymnasieskolan</w:t>
            </w:r>
            <w:r>
              <w:rPr>
                <w:noProof/>
                <w:webHidden/>
              </w:rPr>
              <w:tab/>
            </w:r>
            <w:r>
              <w:rPr>
                <w:noProof/>
                <w:webHidden/>
              </w:rPr>
              <w:fldChar w:fldCharType="begin"/>
            </w:r>
            <w:r>
              <w:rPr>
                <w:noProof/>
                <w:webHidden/>
              </w:rPr>
              <w:instrText xml:space="preserve"> PAGEREF _Toc149814570 \h </w:instrText>
            </w:r>
            <w:r>
              <w:rPr>
                <w:noProof/>
                <w:webHidden/>
              </w:rPr>
            </w:r>
            <w:r>
              <w:rPr>
                <w:noProof/>
                <w:webHidden/>
              </w:rPr>
              <w:fldChar w:fldCharType="separate"/>
            </w:r>
            <w:r>
              <w:rPr>
                <w:noProof/>
                <w:webHidden/>
              </w:rPr>
              <w:t>60</w:t>
            </w:r>
            <w:r>
              <w:rPr>
                <w:noProof/>
                <w:webHidden/>
              </w:rPr>
              <w:fldChar w:fldCharType="end"/>
            </w:r>
          </w:hyperlink>
        </w:p>
        <w:p w:rsidR="00FF6C83" w:rsidRDefault="00FF6C83" w14:paraId="07B88F07" w14:textId="2C7EA561">
          <w:pPr>
            <w:pStyle w:val="Innehll2"/>
            <w:tabs>
              <w:tab w:val="right" w:leader="dot" w:pos="8494"/>
            </w:tabs>
            <w:rPr>
              <w:rFonts w:eastAsiaTheme="minorEastAsia"/>
              <w:noProof/>
              <w:kern w:val="0"/>
              <w:sz w:val="22"/>
              <w:szCs w:val="22"/>
              <w:lang w:eastAsia="sv-SE"/>
              <w14:numSpacing w14:val="default"/>
            </w:rPr>
          </w:pPr>
          <w:hyperlink w:history="1" w:anchor="_Toc149814571">
            <w:r w:rsidRPr="002F48A6">
              <w:rPr>
                <w:rStyle w:val="Hyperlnk"/>
                <w:rFonts w:eastAsia="Calibri"/>
                <w:noProof/>
              </w:rPr>
              <w:t>9.5 Främja ökat deltagande i fritidshemmen</w:t>
            </w:r>
            <w:r>
              <w:rPr>
                <w:noProof/>
                <w:webHidden/>
              </w:rPr>
              <w:tab/>
            </w:r>
            <w:r>
              <w:rPr>
                <w:noProof/>
                <w:webHidden/>
              </w:rPr>
              <w:fldChar w:fldCharType="begin"/>
            </w:r>
            <w:r>
              <w:rPr>
                <w:noProof/>
                <w:webHidden/>
              </w:rPr>
              <w:instrText xml:space="preserve"> PAGEREF _Toc149814571 \h </w:instrText>
            </w:r>
            <w:r>
              <w:rPr>
                <w:noProof/>
                <w:webHidden/>
              </w:rPr>
            </w:r>
            <w:r>
              <w:rPr>
                <w:noProof/>
                <w:webHidden/>
              </w:rPr>
              <w:fldChar w:fldCharType="separate"/>
            </w:r>
            <w:r>
              <w:rPr>
                <w:noProof/>
                <w:webHidden/>
              </w:rPr>
              <w:t>61</w:t>
            </w:r>
            <w:r>
              <w:rPr>
                <w:noProof/>
                <w:webHidden/>
              </w:rPr>
              <w:fldChar w:fldCharType="end"/>
            </w:r>
          </w:hyperlink>
        </w:p>
        <w:p w:rsidR="00FF6C83" w:rsidRDefault="00FF6C83" w14:paraId="4E53A96D" w14:textId="452E3661">
          <w:pPr>
            <w:pStyle w:val="Innehll2"/>
            <w:tabs>
              <w:tab w:val="right" w:leader="dot" w:pos="8494"/>
            </w:tabs>
            <w:rPr>
              <w:rFonts w:eastAsiaTheme="minorEastAsia"/>
              <w:noProof/>
              <w:kern w:val="0"/>
              <w:sz w:val="22"/>
              <w:szCs w:val="22"/>
              <w:lang w:eastAsia="sv-SE"/>
              <w14:numSpacing w14:val="default"/>
            </w:rPr>
          </w:pPr>
          <w:hyperlink w:history="1" w:anchor="_Toc149814572">
            <w:r w:rsidRPr="002F48A6">
              <w:rPr>
                <w:rStyle w:val="Hyperlnk"/>
                <w:rFonts w:eastAsia="Times New Roman"/>
                <w:noProof/>
                <w:lang w:eastAsia="sv-SE"/>
              </w:rPr>
              <w:t>9.6 Minska studenternas ekonomiska risk vid högre utbildning</w:t>
            </w:r>
            <w:r>
              <w:rPr>
                <w:noProof/>
                <w:webHidden/>
              </w:rPr>
              <w:tab/>
            </w:r>
            <w:r>
              <w:rPr>
                <w:noProof/>
                <w:webHidden/>
              </w:rPr>
              <w:fldChar w:fldCharType="begin"/>
            </w:r>
            <w:r>
              <w:rPr>
                <w:noProof/>
                <w:webHidden/>
              </w:rPr>
              <w:instrText xml:space="preserve"> PAGEREF _Toc149814572 \h </w:instrText>
            </w:r>
            <w:r>
              <w:rPr>
                <w:noProof/>
                <w:webHidden/>
              </w:rPr>
            </w:r>
            <w:r>
              <w:rPr>
                <w:noProof/>
                <w:webHidden/>
              </w:rPr>
              <w:fldChar w:fldCharType="separate"/>
            </w:r>
            <w:r>
              <w:rPr>
                <w:noProof/>
                <w:webHidden/>
              </w:rPr>
              <w:t>62</w:t>
            </w:r>
            <w:r>
              <w:rPr>
                <w:noProof/>
                <w:webHidden/>
              </w:rPr>
              <w:fldChar w:fldCharType="end"/>
            </w:r>
          </w:hyperlink>
        </w:p>
        <w:p w:rsidR="00FF6C83" w:rsidRDefault="00FF6C83" w14:paraId="7A97A90A" w14:textId="382D2815">
          <w:pPr>
            <w:pStyle w:val="Innehll2"/>
            <w:tabs>
              <w:tab w:val="right" w:leader="dot" w:pos="8494"/>
            </w:tabs>
            <w:rPr>
              <w:rFonts w:eastAsiaTheme="minorEastAsia"/>
              <w:noProof/>
              <w:kern w:val="0"/>
              <w:sz w:val="22"/>
              <w:szCs w:val="22"/>
              <w:lang w:eastAsia="sv-SE"/>
              <w14:numSpacing w14:val="default"/>
            </w:rPr>
          </w:pPr>
          <w:hyperlink w:history="1" w:anchor="_Toc149814573">
            <w:r w:rsidRPr="002F48A6">
              <w:rPr>
                <w:rStyle w:val="Hyperlnk"/>
                <w:rFonts w:eastAsia="Times New Roman"/>
                <w:noProof/>
                <w:lang w:eastAsia="sv-SE"/>
              </w:rPr>
              <w:t>9.7 Öka satsningarna på högre utbildning vid universitet och högskolor</w:t>
            </w:r>
            <w:r>
              <w:rPr>
                <w:noProof/>
                <w:webHidden/>
              </w:rPr>
              <w:tab/>
            </w:r>
            <w:r>
              <w:rPr>
                <w:noProof/>
                <w:webHidden/>
              </w:rPr>
              <w:fldChar w:fldCharType="begin"/>
            </w:r>
            <w:r>
              <w:rPr>
                <w:noProof/>
                <w:webHidden/>
              </w:rPr>
              <w:instrText xml:space="preserve"> PAGEREF _Toc149814573 \h </w:instrText>
            </w:r>
            <w:r>
              <w:rPr>
                <w:noProof/>
                <w:webHidden/>
              </w:rPr>
            </w:r>
            <w:r>
              <w:rPr>
                <w:noProof/>
                <w:webHidden/>
              </w:rPr>
              <w:fldChar w:fldCharType="separate"/>
            </w:r>
            <w:r>
              <w:rPr>
                <w:noProof/>
                <w:webHidden/>
              </w:rPr>
              <w:t>63</w:t>
            </w:r>
            <w:r>
              <w:rPr>
                <w:noProof/>
                <w:webHidden/>
              </w:rPr>
              <w:fldChar w:fldCharType="end"/>
            </w:r>
          </w:hyperlink>
        </w:p>
        <w:p w:rsidR="00FF6C83" w:rsidRDefault="00FF6C83" w14:paraId="273CDACC" w14:textId="4DF49C9B">
          <w:pPr>
            <w:pStyle w:val="Innehll2"/>
            <w:tabs>
              <w:tab w:val="right" w:leader="dot" w:pos="8494"/>
            </w:tabs>
            <w:rPr>
              <w:rFonts w:eastAsiaTheme="minorEastAsia"/>
              <w:noProof/>
              <w:kern w:val="0"/>
              <w:sz w:val="22"/>
              <w:szCs w:val="22"/>
              <w:lang w:eastAsia="sv-SE"/>
              <w14:numSpacing w14:val="default"/>
            </w:rPr>
          </w:pPr>
          <w:hyperlink w:history="1" w:anchor="_Toc149814574">
            <w:r w:rsidRPr="002F48A6">
              <w:rPr>
                <w:rStyle w:val="Hyperlnk"/>
                <w:rFonts w:eastAsia="Times New Roman"/>
                <w:noProof/>
                <w:lang w:eastAsia="sv-SE"/>
              </w:rPr>
              <w:t>9.8 Höj forskningens basanslag</w:t>
            </w:r>
            <w:r>
              <w:rPr>
                <w:noProof/>
                <w:webHidden/>
              </w:rPr>
              <w:tab/>
            </w:r>
            <w:r>
              <w:rPr>
                <w:noProof/>
                <w:webHidden/>
              </w:rPr>
              <w:fldChar w:fldCharType="begin"/>
            </w:r>
            <w:r>
              <w:rPr>
                <w:noProof/>
                <w:webHidden/>
              </w:rPr>
              <w:instrText xml:space="preserve"> PAGEREF _Toc149814574 \h </w:instrText>
            </w:r>
            <w:r>
              <w:rPr>
                <w:noProof/>
                <w:webHidden/>
              </w:rPr>
            </w:r>
            <w:r>
              <w:rPr>
                <w:noProof/>
                <w:webHidden/>
              </w:rPr>
              <w:fldChar w:fldCharType="separate"/>
            </w:r>
            <w:r>
              <w:rPr>
                <w:noProof/>
                <w:webHidden/>
              </w:rPr>
              <w:t>64</w:t>
            </w:r>
            <w:r>
              <w:rPr>
                <w:noProof/>
                <w:webHidden/>
              </w:rPr>
              <w:fldChar w:fldCharType="end"/>
            </w:r>
          </w:hyperlink>
        </w:p>
        <w:p w:rsidR="00FF6C83" w:rsidRDefault="00FF6C83" w14:paraId="64A288D1" w14:textId="1C42AB25">
          <w:pPr>
            <w:pStyle w:val="Innehll2"/>
            <w:tabs>
              <w:tab w:val="right" w:leader="dot" w:pos="8494"/>
            </w:tabs>
            <w:rPr>
              <w:rFonts w:eastAsiaTheme="minorEastAsia"/>
              <w:noProof/>
              <w:kern w:val="0"/>
              <w:sz w:val="22"/>
              <w:szCs w:val="22"/>
              <w:lang w:eastAsia="sv-SE"/>
              <w14:numSpacing w14:val="default"/>
            </w:rPr>
          </w:pPr>
          <w:hyperlink w:history="1" w:anchor="_Toc149814575">
            <w:r w:rsidRPr="002F48A6">
              <w:rPr>
                <w:rStyle w:val="Hyperlnk"/>
                <w:rFonts w:eastAsia="Times New Roman"/>
                <w:noProof/>
                <w:lang w:eastAsia="sv-SE"/>
              </w:rPr>
              <w:t>9.9 Stöd till folkbildningen</w:t>
            </w:r>
            <w:r>
              <w:rPr>
                <w:noProof/>
                <w:webHidden/>
              </w:rPr>
              <w:tab/>
            </w:r>
            <w:r>
              <w:rPr>
                <w:noProof/>
                <w:webHidden/>
              </w:rPr>
              <w:fldChar w:fldCharType="begin"/>
            </w:r>
            <w:r>
              <w:rPr>
                <w:noProof/>
                <w:webHidden/>
              </w:rPr>
              <w:instrText xml:space="preserve"> PAGEREF _Toc149814575 \h </w:instrText>
            </w:r>
            <w:r>
              <w:rPr>
                <w:noProof/>
                <w:webHidden/>
              </w:rPr>
            </w:r>
            <w:r>
              <w:rPr>
                <w:noProof/>
                <w:webHidden/>
              </w:rPr>
              <w:fldChar w:fldCharType="separate"/>
            </w:r>
            <w:r>
              <w:rPr>
                <w:noProof/>
                <w:webHidden/>
              </w:rPr>
              <w:t>64</w:t>
            </w:r>
            <w:r>
              <w:rPr>
                <w:noProof/>
                <w:webHidden/>
              </w:rPr>
              <w:fldChar w:fldCharType="end"/>
            </w:r>
          </w:hyperlink>
        </w:p>
        <w:p w:rsidR="00FF6C83" w:rsidRDefault="00FF6C83" w14:paraId="4A67A96B" w14:textId="6BDC5C41">
          <w:pPr>
            <w:pStyle w:val="Innehll2"/>
            <w:tabs>
              <w:tab w:val="right" w:leader="dot" w:pos="8494"/>
            </w:tabs>
            <w:rPr>
              <w:rFonts w:eastAsiaTheme="minorEastAsia"/>
              <w:noProof/>
              <w:kern w:val="0"/>
              <w:sz w:val="22"/>
              <w:szCs w:val="22"/>
              <w:lang w:eastAsia="sv-SE"/>
              <w14:numSpacing w14:val="default"/>
            </w:rPr>
          </w:pPr>
          <w:hyperlink w:history="1" w:anchor="_Toc149814576">
            <w:r w:rsidRPr="002F48A6">
              <w:rPr>
                <w:rStyle w:val="Hyperlnk"/>
                <w:noProof/>
              </w:rPr>
              <w:t>9.10 Kulturskolor för alla barn</w:t>
            </w:r>
            <w:r>
              <w:rPr>
                <w:noProof/>
                <w:webHidden/>
              </w:rPr>
              <w:tab/>
            </w:r>
            <w:r>
              <w:rPr>
                <w:noProof/>
                <w:webHidden/>
              </w:rPr>
              <w:fldChar w:fldCharType="begin"/>
            </w:r>
            <w:r>
              <w:rPr>
                <w:noProof/>
                <w:webHidden/>
              </w:rPr>
              <w:instrText xml:space="preserve"> PAGEREF _Toc149814576 \h </w:instrText>
            </w:r>
            <w:r>
              <w:rPr>
                <w:noProof/>
                <w:webHidden/>
              </w:rPr>
            </w:r>
            <w:r>
              <w:rPr>
                <w:noProof/>
                <w:webHidden/>
              </w:rPr>
              <w:fldChar w:fldCharType="separate"/>
            </w:r>
            <w:r>
              <w:rPr>
                <w:noProof/>
                <w:webHidden/>
              </w:rPr>
              <w:t>65</w:t>
            </w:r>
            <w:r>
              <w:rPr>
                <w:noProof/>
                <w:webHidden/>
              </w:rPr>
              <w:fldChar w:fldCharType="end"/>
            </w:r>
          </w:hyperlink>
        </w:p>
        <w:p w:rsidR="00FF6C83" w:rsidRDefault="00FF6C83" w14:paraId="05DB5281" w14:textId="37ED5116">
          <w:pPr>
            <w:pStyle w:val="Innehll2"/>
            <w:tabs>
              <w:tab w:val="right" w:leader="dot" w:pos="8494"/>
            </w:tabs>
            <w:rPr>
              <w:rFonts w:eastAsiaTheme="minorEastAsia"/>
              <w:noProof/>
              <w:kern w:val="0"/>
              <w:sz w:val="22"/>
              <w:szCs w:val="22"/>
              <w:lang w:eastAsia="sv-SE"/>
              <w14:numSpacing w14:val="default"/>
            </w:rPr>
          </w:pPr>
          <w:hyperlink w:history="1" w:anchor="_Toc149814577">
            <w:r w:rsidRPr="002F48A6">
              <w:rPr>
                <w:rStyle w:val="Hyperlnk"/>
                <w:rFonts w:eastAsia="Times New Roman"/>
                <w:noProof/>
                <w:lang w:eastAsia="sv-SE"/>
              </w:rPr>
              <w:t>9.11 Reformtabell</w:t>
            </w:r>
            <w:r>
              <w:rPr>
                <w:noProof/>
                <w:webHidden/>
              </w:rPr>
              <w:tab/>
            </w:r>
            <w:r>
              <w:rPr>
                <w:noProof/>
                <w:webHidden/>
              </w:rPr>
              <w:fldChar w:fldCharType="begin"/>
            </w:r>
            <w:r>
              <w:rPr>
                <w:noProof/>
                <w:webHidden/>
              </w:rPr>
              <w:instrText xml:space="preserve"> PAGEREF _Toc149814577 \h </w:instrText>
            </w:r>
            <w:r>
              <w:rPr>
                <w:noProof/>
                <w:webHidden/>
              </w:rPr>
            </w:r>
            <w:r>
              <w:rPr>
                <w:noProof/>
                <w:webHidden/>
              </w:rPr>
              <w:fldChar w:fldCharType="separate"/>
            </w:r>
            <w:r>
              <w:rPr>
                <w:noProof/>
                <w:webHidden/>
              </w:rPr>
              <w:t>65</w:t>
            </w:r>
            <w:r>
              <w:rPr>
                <w:noProof/>
                <w:webHidden/>
              </w:rPr>
              <w:fldChar w:fldCharType="end"/>
            </w:r>
          </w:hyperlink>
        </w:p>
        <w:p w:rsidR="00FF6C83" w:rsidRDefault="00FF6C83" w14:paraId="49F8D02A" w14:textId="04CA72AF">
          <w:pPr>
            <w:pStyle w:val="Innehll1"/>
            <w:tabs>
              <w:tab w:val="right" w:leader="dot" w:pos="8494"/>
            </w:tabs>
            <w:rPr>
              <w:rFonts w:eastAsiaTheme="minorEastAsia"/>
              <w:noProof/>
              <w:kern w:val="0"/>
              <w:sz w:val="22"/>
              <w:szCs w:val="22"/>
              <w:lang w:eastAsia="sv-SE"/>
              <w14:numSpacing w14:val="default"/>
            </w:rPr>
          </w:pPr>
          <w:hyperlink w:history="1" w:anchor="_Toc149814578">
            <w:r w:rsidRPr="002F48A6">
              <w:rPr>
                <w:rStyle w:val="Hyperlnk"/>
                <w:noProof/>
              </w:rPr>
              <w:t>10 Hållbara investeringar för en hållbar framtid</w:t>
            </w:r>
            <w:r>
              <w:rPr>
                <w:noProof/>
                <w:webHidden/>
              </w:rPr>
              <w:tab/>
            </w:r>
            <w:r>
              <w:rPr>
                <w:noProof/>
                <w:webHidden/>
              </w:rPr>
              <w:fldChar w:fldCharType="begin"/>
            </w:r>
            <w:r>
              <w:rPr>
                <w:noProof/>
                <w:webHidden/>
              </w:rPr>
              <w:instrText xml:space="preserve"> PAGEREF _Toc149814578 \h </w:instrText>
            </w:r>
            <w:r>
              <w:rPr>
                <w:noProof/>
                <w:webHidden/>
              </w:rPr>
            </w:r>
            <w:r>
              <w:rPr>
                <w:noProof/>
                <w:webHidden/>
              </w:rPr>
              <w:fldChar w:fldCharType="separate"/>
            </w:r>
            <w:r>
              <w:rPr>
                <w:noProof/>
                <w:webHidden/>
              </w:rPr>
              <w:t>66</w:t>
            </w:r>
            <w:r>
              <w:rPr>
                <w:noProof/>
                <w:webHidden/>
              </w:rPr>
              <w:fldChar w:fldCharType="end"/>
            </w:r>
          </w:hyperlink>
        </w:p>
        <w:p w:rsidR="00FF6C83" w:rsidRDefault="00FF6C83" w14:paraId="6956C907" w14:textId="5E7DEC92">
          <w:pPr>
            <w:pStyle w:val="Innehll2"/>
            <w:tabs>
              <w:tab w:val="right" w:leader="dot" w:pos="8494"/>
            </w:tabs>
            <w:rPr>
              <w:rFonts w:eastAsiaTheme="minorEastAsia"/>
              <w:noProof/>
              <w:kern w:val="0"/>
              <w:sz w:val="22"/>
              <w:szCs w:val="22"/>
              <w:lang w:eastAsia="sv-SE"/>
              <w14:numSpacing w14:val="default"/>
            </w:rPr>
          </w:pPr>
          <w:hyperlink w:history="1" w:anchor="_Toc149814579">
            <w:r w:rsidRPr="002F48A6">
              <w:rPr>
                <w:rStyle w:val="Hyperlnk"/>
                <w:noProof/>
              </w:rPr>
              <w:t>10.1 En investeringsplan för grön omställning</w:t>
            </w:r>
            <w:r>
              <w:rPr>
                <w:noProof/>
                <w:webHidden/>
              </w:rPr>
              <w:tab/>
            </w:r>
            <w:r>
              <w:rPr>
                <w:noProof/>
                <w:webHidden/>
              </w:rPr>
              <w:fldChar w:fldCharType="begin"/>
            </w:r>
            <w:r>
              <w:rPr>
                <w:noProof/>
                <w:webHidden/>
              </w:rPr>
              <w:instrText xml:space="preserve"> PAGEREF _Toc149814579 \h </w:instrText>
            </w:r>
            <w:r>
              <w:rPr>
                <w:noProof/>
                <w:webHidden/>
              </w:rPr>
            </w:r>
            <w:r>
              <w:rPr>
                <w:noProof/>
                <w:webHidden/>
              </w:rPr>
              <w:fldChar w:fldCharType="separate"/>
            </w:r>
            <w:r>
              <w:rPr>
                <w:noProof/>
                <w:webHidden/>
              </w:rPr>
              <w:t>66</w:t>
            </w:r>
            <w:r>
              <w:rPr>
                <w:noProof/>
                <w:webHidden/>
              </w:rPr>
              <w:fldChar w:fldCharType="end"/>
            </w:r>
          </w:hyperlink>
        </w:p>
        <w:p w:rsidR="00FF6C83" w:rsidRDefault="00FF6C83" w14:paraId="416AEF5A" w14:textId="74B5F512">
          <w:pPr>
            <w:pStyle w:val="Innehll2"/>
            <w:tabs>
              <w:tab w:val="right" w:leader="dot" w:pos="8494"/>
            </w:tabs>
            <w:rPr>
              <w:rFonts w:eastAsiaTheme="minorEastAsia"/>
              <w:noProof/>
              <w:kern w:val="0"/>
              <w:sz w:val="22"/>
              <w:szCs w:val="22"/>
              <w:lang w:eastAsia="sv-SE"/>
              <w14:numSpacing w14:val="default"/>
            </w:rPr>
          </w:pPr>
          <w:hyperlink w:history="1" w:anchor="_Toc149814580">
            <w:r w:rsidRPr="002F48A6">
              <w:rPr>
                <w:rStyle w:val="Hyperlnk"/>
                <w:noProof/>
              </w:rPr>
              <w:t>10.2 En investeringsplan för klimatet ger ökad sysselsättning</w:t>
            </w:r>
            <w:r>
              <w:rPr>
                <w:noProof/>
                <w:webHidden/>
              </w:rPr>
              <w:tab/>
            </w:r>
            <w:r>
              <w:rPr>
                <w:noProof/>
                <w:webHidden/>
              </w:rPr>
              <w:fldChar w:fldCharType="begin"/>
            </w:r>
            <w:r>
              <w:rPr>
                <w:noProof/>
                <w:webHidden/>
              </w:rPr>
              <w:instrText xml:space="preserve"> PAGEREF _Toc149814580 \h </w:instrText>
            </w:r>
            <w:r>
              <w:rPr>
                <w:noProof/>
                <w:webHidden/>
              </w:rPr>
            </w:r>
            <w:r>
              <w:rPr>
                <w:noProof/>
                <w:webHidden/>
              </w:rPr>
              <w:fldChar w:fldCharType="separate"/>
            </w:r>
            <w:r>
              <w:rPr>
                <w:noProof/>
                <w:webHidden/>
              </w:rPr>
              <w:t>67</w:t>
            </w:r>
            <w:r>
              <w:rPr>
                <w:noProof/>
                <w:webHidden/>
              </w:rPr>
              <w:fldChar w:fldCharType="end"/>
            </w:r>
          </w:hyperlink>
        </w:p>
        <w:p w:rsidR="00FF6C83" w:rsidRDefault="00FF6C83" w14:paraId="3E6D396B" w14:textId="62CCD244">
          <w:pPr>
            <w:pStyle w:val="Innehll2"/>
            <w:tabs>
              <w:tab w:val="right" w:leader="dot" w:pos="8494"/>
            </w:tabs>
            <w:rPr>
              <w:rFonts w:eastAsiaTheme="minorEastAsia"/>
              <w:noProof/>
              <w:kern w:val="0"/>
              <w:sz w:val="22"/>
              <w:szCs w:val="22"/>
              <w:lang w:eastAsia="sv-SE"/>
              <w14:numSpacing w14:val="default"/>
            </w:rPr>
          </w:pPr>
          <w:hyperlink w:history="1" w:anchor="_Toc149814581">
            <w:r w:rsidRPr="002F48A6">
              <w:rPr>
                <w:rStyle w:val="Hyperlnk"/>
                <w:noProof/>
              </w:rPr>
              <w:t>10.3 Klimatsmarta och trygga boenden</w:t>
            </w:r>
            <w:r>
              <w:rPr>
                <w:noProof/>
                <w:webHidden/>
              </w:rPr>
              <w:tab/>
            </w:r>
            <w:r>
              <w:rPr>
                <w:noProof/>
                <w:webHidden/>
              </w:rPr>
              <w:fldChar w:fldCharType="begin"/>
            </w:r>
            <w:r>
              <w:rPr>
                <w:noProof/>
                <w:webHidden/>
              </w:rPr>
              <w:instrText xml:space="preserve"> PAGEREF _Toc149814581 \h </w:instrText>
            </w:r>
            <w:r>
              <w:rPr>
                <w:noProof/>
                <w:webHidden/>
              </w:rPr>
            </w:r>
            <w:r>
              <w:rPr>
                <w:noProof/>
                <w:webHidden/>
              </w:rPr>
              <w:fldChar w:fldCharType="separate"/>
            </w:r>
            <w:r>
              <w:rPr>
                <w:noProof/>
                <w:webHidden/>
              </w:rPr>
              <w:t>68</w:t>
            </w:r>
            <w:r>
              <w:rPr>
                <w:noProof/>
                <w:webHidden/>
              </w:rPr>
              <w:fldChar w:fldCharType="end"/>
            </w:r>
          </w:hyperlink>
        </w:p>
        <w:p w:rsidR="00FF6C83" w:rsidRDefault="00FF6C83" w14:paraId="7F40A305" w14:textId="386CF1A5">
          <w:pPr>
            <w:pStyle w:val="Innehll2"/>
            <w:tabs>
              <w:tab w:val="right" w:leader="dot" w:pos="8494"/>
            </w:tabs>
            <w:rPr>
              <w:rFonts w:eastAsiaTheme="minorEastAsia"/>
              <w:noProof/>
              <w:kern w:val="0"/>
              <w:sz w:val="22"/>
              <w:szCs w:val="22"/>
              <w:lang w:eastAsia="sv-SE"/>
              <w14:numSpacing w14:val="default"/>
            </w:rPr>
          </w:pPr>
          <w:hyperlink w:history="1" w:anchor="_Toc149814582">
            <w:r w:rsidRPr="002F48A6">
              <w:rPr>
                <w:rStyle w:val="Hyperlnk"/>
                <w:noProof/>
              </w:rPr>
              <w:t>10.4 Förnybar energi</w:t>
            </w:r>
            <w:r>
              <w:rPr>
                <w:noProof/>
                <w:webHidden/>
              </w:rPr>
              <w:tab/>
            </w:r>
            <w:r>
              <w:rPr>
                <w:noProof/>
                <w:webHidden/>
              </w:rPr>
              <w:fldChar w:fldCharType="begin"/>
            </w:r>
            <w:r>
              <w:rPr>
                <w:noProof/>
                <w:webHidden/>
              </w:rPr>
              <w:instrText xml:space="preserve"> PAGEREF _Toc149814582 \h </w:instrText>
            </w:r>
            <w:r>
              <w:rPr>
                <w:noProof/>
                <w:webHidden/>
              </w:rPr>
            </w:r>
            <w:r>
              <w:rPr>
                <w:noProof/>
                <w:webHidden/>
              </w:rPr>
              <w:fldChar w:fldCharType="separate"/>
            </w:r>
            <w:r>
              <w:rPr>
                <w:noProof/>
                <w:webHidden/>
              </w:rPr>
              <w:t>69</w:t>
            </w:r>
            <w:r>
              <w:rPr>
                <w:noProof/>
                <w:webHidden/>
              </w:rPr>
              <w:fldChar w:fldCharType="end"/>
            </w:r>
          </w:hyperlink>
        </w:p>
        <w:p w:rsidR="00FF6C83" w:rsidRDefault="00FF6C83" w14:paraId="6DBAFF42" w14:textId="148CFB28">
          <w:pPr>
            <w:pStyle w:val="Innehll2"/>
            <w:tabs>
              <w:tab w:val="right" w:leader="dot" w:pos="8494"/>
            </w:tabs>
            <w:rPr>
              <w:rFonts w:eastAsiaTheme="minorEastAsia"/>
              <w:noProof/>
              <w:kern w:val="0"/>
              <w:sz w:val="22"/>
              <w:szCs w:val="22"/>
              <w:lang w:eastAsia="sv-SE"/>
              <w14:numSpacing w14:val="default"/>
            </w:rPr>
          </w:pPr>
          <w:hyperlink w:history="1" w:anchor="_Toc149814583">
            <w:r w:rsidRPr="002F48A6">
              <w:rPr>
                <w:rStyle w:val="Hyperlnk"/>
                <w:noProof/>
              </w:rPr>
              <w:t>10.5 Hållbara transporter</w:t>
            </w:r>
            <w:r>
              <w:rPr>
                <w:noProof/>
                <w:webHidden/>
              </w:rPr>
              <w:tab/>
            </w:r>
            <w:r>
              <w:rPr>
                <w:noProof/>
                <w:webHidden/>
              </w:rPr>
              <w:fldChar w:fldCharType="begin"/>
            </w:r>
            <w:r>
              <w:rPr>
                <w:noProof/>
                <w:webHidden/>
              </w:rPr>
              <w:instrText xml:space="preserve"> PAGEREF _Toc149814583 \h </w:instrText>
            </w:r>
            <w:r>
              <w:rPr>
                <w:noProof/>
                <w:webHidden/>
              </w:rPr>
            </w:r>
            <w:r>
              <w:rPr>
                <w:noProof/>
                <w:webHidden/>
              </w:rPr>
              <w:fldChar w:fldCharType="separate"/>
            </w:r>
            <w:r>
              <w:rPr>
                <w:noProof/>
                <w:webHidden/>
              </w:rPr>
              <w:t>70</w:t>
            </w:r>
            <w:r>
              <w:rPr>
                <w:noProof/>
                <w:webHidden/>
              </w:rPr>
              <w:fldChar w:fldCharType="end"/>
            </w:r>
          </w:hyperlink>
        </w:p>
        <w:p w:rsidR="00FF6C83" w:rsidRDefault="00FF6C83" w14:paraId="39DF7E57" w14:textId="10A7EC7E">
          <w:pPr>
            <w:pStyle w:val="Innehll3"/>
            <w:tabs>
              <w:tab w:val="right" w:leader="dot" w:pos="8494"/>
            </w:tabs>
            <w:rPr>
              <w:rFonts w:eastAsiaTheme="minorEastAsia"/>
              <w:noProof/>
              <w:kern w:val="0"/>
              <w:sz w:val="22"/>
              <w:szCs w:val="22"/>
              <w:lang w:eastAsia="sv-SE"/>
              <w14:numSpacing w14:val="default"/>
            </w:rPr>
          </w:pPr>
          <w:hyperlink w:history="1" w:anchor="_Toc149814584">
            <w:r w:rsidRPr="002F48A6">
              <w:rPr>
                <w:rStyle w:val="Hyperlnk"/>
                <w:noProof/>
                <w:lang w:eastAsia="sv-SE"/>
              </w:rPr>
              <w:t>10.5.1 Nytt elbilsstöd som når fler hushåll</w:t>
            </w:r>
            <w:r>
              <w:rPr>
                <w:noProof/>
                <w:webHidden/>
              </w:rPr>
              <w:tab/>
            </w:r>
            <w:r>
              <w:rPr>
                <w:noProof/>
                <w:webHidden/>
              </w:rPr>
              <w:fldChar w:fldCharType="begin"/>
            </w:r>
            <w:r>
              <w:rPr>
                <w:noProof/>
                <w:webHidden/>
              </w:rPr>
              <w:instrText xml:space="preserve"> PAGEREF _Toc149814584 \h </w:instrText>
            </w:r>
            <w:r>
              <w:rPr>
                <w:noProof/>
                <w:webHidden/>
              </w:rPr>
            </w:r>
            <w:r>
              <w:rPr>
                <w:noProof/>
                <w:webHidden/>
              </w:rPr>
              <w:fldChar w:fldCharType="separate"/>
            </w:r>
            <w:r>
              <w:rPr>
                <w:noProof/>
                <w:webHidden/>
              </w:rPr>
              <w:t>71</w:t>
            </w:r>
            <w:r>
              <w:rPr>
                <w:noProof/>
                <w:webHidden/>
              </w:rPr>
              <w:fldChar w:fldCharType="end"/>
            </w:r>
          </w:hyperlink>
        </w:p>
        <w:p w:rsidR="00FF6C83" w:rsidRDefault="00FF6C83" w14:paraId="4DFE90B8" w14:textId="1A1E685E">
          <w:pPr>
            <w:pStyle w:val="Innehll2"/>
            <w:tabs>
              <w:tab w:val="right" w:leader="dot" w:pos="8494"/>
            </w:tabs>
            <w:rPr>
              <w:rFonts w:eastAsiaTheme="minorEastAsia"/>
              <w:noProof/>
              <w:kern w:val="0"/>
              <w:sz w:val="22"/>
              <w:szCs w:val="22"/>
              <w:lang w:eastAsia="sv-SE"/>
              <w14:numSpacing w14:val="default"/>
            </w:rPr>
          </w:pPr>
          <w:hyperlink w:history="1" w:anchor="_Toc149814585">
            <w:r w:rsidRPr="002F48A6">
              <w:rPr>
                <w:rStyle w:val="Hyperlnk"/>
                <w:noProof/>
              </w:rPr>
              <w:t>10.6 Underhåll befintlig transportinfrastruktur</w:t>
            </w:r>
            <w:r>
              <w:rPr>
                <w:noProof/>
                <w:webHidden/>
              </w:rPr>
              <w:tab/>
            </w:r>
            <w:r>
              <w:rPr>
                <w:noProof/>
                <w:webHidden/>
              </w:rPr>
              <w:fldChar w:fldCharType="begin"/>
            </w:r>
            <w:r>
              <w:rPr>
                <w:noProof/>
                <w:webHidden/>
              </w:rPr>
              <w:instrText xml:space="preserve"> PAGEREF _Toc149814585 \h </w:instrText>
            </w:r>
            <w:r>
              <w:rPr>
                <w:noProof/>
                <w:webHidden/>
              </w:rPr>
            </w:r>
            <w:r>
              <w:rPr>
                <w:noProof/>
                <w:webHidden/>
              </w:rPr>
              <w:fldChar w:fldCharType="separate"/>
            </w:r>
            <w:r>
              <w:rPr>
                <w:noProof/>
                <w:webHidden/>
              </w:rPr>
              <w:t>72</w:t>
            </w:r>
            <w:r>
              <w:rPr>
                <w:noProof/>
                <w:webHidden/>
              </w:rPr>
              <w:fldChar w:fldCharType="end"/>
            </w:r>
          </w:hyperlink>
        </w:p>
        <w:p w:rsidR="00FF6C83" w:rsidRDefault="00FF6C83" w14:paraId="3A02B6C4" w14:textId="3B530A82">
          <w:pPr>
            <w:pStyle w:val="Innehll3"/>
            <w:tabs>
              <w:tab w:val="right" w:leader="dot" w:pos="8494"/>
            </w:tabs>
            <w:rPr>
              <w:rFonts w:eastAsiaTheme="minorEastAsia"/>
              <w:noProof/>
              <w:kern w:val="0"/>
              <w:sz w:val="22"/>
              <w:szCs w:val="22"/>
              <w:lang w:eastAsia="sv-SE"/>
              <w14:numSpacing w14:val="default"/>
            </w:rPr>
          </w:pPr>
          <w:hyperlink w:history="1" w:anchor="_Toc149814586">
            <w:r w:rsidRPr="002F48A6">
              <w:rPr>
                <w:rStyle w:val="Hyperlnk"/>
                <w:noProof/>
              </w:rPr>
              <w:t>10.6.1</w:t>
            </w:r>
            <w:r w:rsidRPr="002F48A6">
              <w:rPr>
                <w:rStyle w:val="Hyperlnk"/>
                <w:noProof/>
                <w:lang w:eastAsia="sv-SE"/>
              </w:rPr>
              <w:t xml:space="preserve"> Lånefinansiera</w:t>
            </w:r>
            <w:r w:rsidRPr="002F48A6">
              <w:rPr>
                <w:rStyle w:val="Hyperlnk"/>
                <w:noProof/>
              </w:rPr>
              <w:t xml:space="preserve"> de nya stambanorna – höghastighetsbanorna</w:t>
            </w:r>
            <w:r>
              <w:rPr>
                <w:noProof/>
                <w:webHidden/>
              </w:rPr>
              <w:tab/>
            </w:r>
            <w:r>
              <w:rPr>
                <w:noProof/>
                <w:webHidden/>
              </w:rPr>
              <w:fldChar w:fldCharType="begin"/>
            </w:r>
            <w:r>
              <w:rPr>
                <w:noProof/>
                <w:webHidden/>
              </w:rPr>
              <w:instrText xml:space="preserve"> PAGEREF _Toc149814586 \h </w:instrText>
            </w:r>
            <w:r>
              <w:rPr>
                <w:noProof/>
                <w:webHidden/>
              </w:rPr>
            </w:r>
            <w:r>
              <w:rPr>
                <w:noProof/>
                <w:webHidden/>
              </w:rPr>
              <w:fldChar w:fldCharType="separate"/>
            </w:r>
            <w:r>
              <w:rPr>
                <w:noProof/>
                <w:webHidden/>
              </w:rPr>
              <w:t>72</w:t>
            </w:r>
            <w:r>
              <w:rPr>
                <w:noProof/>
                <w:webHidden/>
              </w:rPr>
              <w:fldChar w:fldCharType="end"/>
            </w:r>
          </w:hyperlink>
        </w:p>
        <w:p w:rsidR="00FF6C83" w:rsidRDefault="00FF6C83" w14:paraId="152A4177" w14:textId="57DE6CA6">
          <w:pPr>
            <w:pStyle w:val="Innehll3"/>
            <w:tabs>
              <w:tab w:val="right" w:leader="dot" w:pos="8494"/>
            </w:tabs>
            <w:rPr>
              <w:rFonts w:eastAsiaTheme="minorEastAsia"/>
              <w:noProof/>
              <w:kern w:val="0"/>
              <w:sz w:val="22"/>
              <w:szCs w:val="22"/>
              <w:lang w:eastAsia="sv-SE"/>
              <w14:numSpacing w14:val="default"/>
            </w:rPr>
          </w:pPr>
          <w:hyperlink w:history="1" w:anchor="_Toc149814587">
            <w:r w:rsidRPr="002F48A6">
              <w:rPr>
                <w:rStyle w:val="Hyperlnk"/>
                <w:noProof/>
              </w:rPr>
              <w:t>10.6.2</w:t>
            </w:r>
            <w:r w:rsidRPr="002F48A6">
              <w:rPr>
                <w:rStyle w:val="Hyperlnk"/>
                <w:noProof/>
                <w:lang w:eastAsia="sv-SE"/>
              </w:rPr>
              <w:t xml:space="preserve"> Kollektivtrafikens</w:t>
            </w:r>
            <w:r w:rsidRPr="002F48A6">
              <w:rPr>
                <w:rStyle w:val="Hyperlnk"/>
                <w:noProof/>
              </w:rPr>
              <w:t xml:space="preserve"> roll i omställningen</w:t>
            </w:r>
            <w:r>
              <w:rPr>
                <w:noProof/>
                <w:webHidden/>
              </w:rPr>
              <w:tab/>
            </w:r>
            <w:r>
              <w:rPr>
                <w:noProof/>
                <w:webHidden/>
              </w:rPr>
              <w:fldChar w:fldCharType="begin"/>
            </w:r>
            <w:r>
              <w:rPr>
                <w:noProof/>
                <w:webHidden/>
              </w:rPr>
              <w:instrText xml:space="preserve"> PAGEREF _Toc149814587 \h </w:instrText>
            </w:r>
            <w:r>
              <w:rPr>
                <w:noProof/>
                <w:webHidden/>
              </w:rPr>
            </w:r>
            <w:r>
              <w:rPr>
                <w:noProof/>
                <w:webHidden/>
              </w:rPr>
              <w:fldChar w:fldCharType="separate"/>
            </w:r>
            <w:r>
              <w:rPr>
                <w:noProof/>
                <w:webHidden/>
              </w:rPr>
              <w:t>74</w:t>
            </w:r>
            <w:r>
              <w:rPr>
                <w:noProof/>
                <w:webHidden/>
              </w:rPr>
              <w:fldChar w:fldCharType="end"/>
            </w:r>
          </w:hyperlink>
        </w:p>
        <w:p w:rsidR="00FF6C83" w:rsidRDefault="00FF6C83" w14:paraId="111E37EB" w14:textId="6AB5C5AC">
          <w:pPr>
            <w:pStyle w:val="Innehll2"/>
            <w:tabs>
              <w:tab w:val="right" w:leader="dot" w:pos="8494"/>
            </w:tabs>
            <w:rPr>
              <w:rFonts w:eastAsiaTheme="minorEastAsia"/>
              <w:noProof/>
              <w:kern w:val="0"/>
              <w:sz w:val="22"/>
              <w:szCs w:val="22"/>
              <w:lang w:eastAsia="sv-SE"/>
              <w14:numSpacing w14:val="default"/>
            </w:rPr>
          </w:pPr>
          <w:hyperlink w:history="1" w:anchor="_Toc149814588">
            <w:r w:rsidRPr="002F48A6">
              <w:rPr>
                <w:rStyle w:val="Hyperlnk"/>
                <w:noProof/>
              </w:rPr>
              <w:t>10.7 Värnet om naturen/skydda miljön</w:t>
            </w:r>
            <w:r>
              <w:rPr>
                <w:noProof/>
                <w:webHidden/>
              </w:rPr>
              <w:tab/>
            </w:r>
            <w:r>
              <w:rPr>
                <w:noProof/>
                <w:webHidden/>
              </w:rPr>
              <w:fldChar w:fldCharType="begin"/>
            </w:r>
            <w:r>
              <w:rPr>
                <w:noProof/>
                <w:webHidden/>
              </w:rPr>
              <w:instrText xml:space="preserve"> PAGEREF _Toc149814588 \h </w:instrText>
            </w:r>
            <w:r>
              <w:rPr>
                <w:noProof/>
                <w:webHidden/>
              </w:rPr>
            </w:r>
            <w:r>
              <w:rPr>
                <w:noProof/>
                <w:webHidden/>
              </w:rPr>
              <w:fldChar w:fldCharType="separate"/>
            </w:r>
            <w:r>
              <w:rPr>
                <w:noProof/>
                <w:webHidden/>
              </w:rPr>
              <w:t>75</w:t>
            </w:r>
            <w:r>
              <w:rPr>
                <w:noProof/>
                <w:webHidden/>
              </w:rPr>
              <w:fldChar w:fldCharType="end"/>
            </w:r>
          </w:hyperlink>
        </w:p>
        <w:p w:rsidR="00FF6C83" w:rsidRDefault="00FF6C83" w14:paraId="4F53E300" w14:textId="391BE8FF">
          <w:pPr>
            <w:pStyle w:val="Innehll2"/>
            <w:tabs>
              <w:tab w:val="right" w:leader="dot" w:pos="8494"/>
            </w:tabs>
            <w:rPr>
              <w:rFonts w:eastAsiaTheme="minorEastAsia"/>
              <w:noProof/>
              <w:kern w:val="0"/>
              <w:sz w:val="22"/>
              <w:szCs w:val="22"/>
              <w:lang w:eastAsia="sv-SE"/>
              <w14:numSpacing w14:val="default"/>
            </w:rPr>
          </w:pPr>
          <w:hyperlink w:history="1" w:anchor="_Toc149814589">
            <w:r w:rsidRPr="002F48A6">
              <w:rPr>
                <w:rStyle w:val="Hyperlnk"/>
                <w:noProof/>
              </w:rPr>
              <w:t>10.8 Institutionalisera klimatinvesteringspolitiken</w:t>
            </w:r>
            <w:r>
              <w:rPr>
                <w:noProof/>
                <w:webHidden/>
              </w:rPr>
              <w:tab/>
            </w:r>
            <w:r>
              <w:rPr>
                <w:noProof/>
                <w:webHidden/>
              </w:rPr>
              <w:fldChar w:fldCharType="begin"/>
            </w:r>
            <w:r>
              <w:rPr>
                <w:noProof/>
                <w:webHidden/>
              </w:rPr>
              <w:instrText xml:space="preserve"> PAGEREF _Toc149814589 \h </w:instrText>
            </w:r>
            <w:r>
              <w:rPr>
                <w:noProof/>
                <w:webHidden/>
              </w:rPr>
            </w:r>
            <w:r>
              <w:rPr>
                <w:noProof/>
                <w:webHidden/>
              </w:rPr>
              <w:fldChar w:fldCharType="separate"/>
            </w:r>
            <w:r>
              <w:rPr>
                <w:noProof/>
                <w:webHidden/>
              </w:rPr>
              <w:t>76</w:t>
            </w:r>
            <w:r>
              <w:rPr>
                <w:noProof/>
                <w:webHidden/>
              </w:rPr>
              <w:fldChar w:fldCharType="end"/>
            </w:r>
          </w:hyperlink>
        </w:p>
        <w:p w:rsidR="00FF6C83" w:rsidRDefault="00FF6C83" w14:paraId="60384C6B" w14:textId="7C3F7420">
          <w:pPr>
            <w:pStyle w:val="Innehll2"/>
            <w:tabs>
              <w:tab w:val="right" w:leader="dot" w:pos="8494"/>
            </w:tabs>
            <w:rPr>
              <w:rFonts w:eastAsiaTheme="minorEastAsia"/>
              <w:noProof/>
              <w:kern w:val="0"/>
              <w:sz w:val="22"/>
              <w:szCs w:val="22"/>
              <w:lang w:eastAsia="sv-SE"/>
              <w14:numSpacing w14:val="default"/>
            </w:rPr>
          </w:pPr>
          <w:hyperlink w:history="1" w:anchor="_Toc149814590">
            <w:r w:rsidRPr="002F48A6">
              <w:rPr>
                <w:rStyle w:val="Hyperlnk"/>
                <w:noProof/>
              </w:rPr>
              <w:t>10.9</w:t>
            </w:r>
            <w:r w:rsidRPr="002F48A6">
              <w:rPr>
                <w:rStyle w:val="Hyperlnk"/>
                <w:noProof/>
                <w:lang w:eastAsia="sv-SE"/>
              </w:rPr>
              <w:t xml:space="preserve"> Reformtabell</w:t>
            </w:r>
            <w:r>
              <w:rPr>
                <w:noProof/>
                <w:webHidden/>
              </w:rPr>
              <w:tab/>
            </w:r>
            <w:r>
              <w:rPr>
                <w:noProof/>
                <w:webHidden/>
              </w:rPr>
              <w:fldChar w:fldCharType="begin"/>
            </w:r>
            <w:r>
              <w:rPr>
                <w:noProof/>
                <w:webHidden/>
              </w:rPr>
              <w:instrText xml:space="preserve"> PAGEREF _Toc149814590 \h </w:instrText>
            </w:r>
            <w:r>
              <w:rPr>
                <w:noProof/>
                <w:webHidden/>
              </w:rPr>
            </w:r>
            <w:r>
              <w:rPr>
                <w:noProof/>
                <w:webHidden/>
              </w:rPr>
              <w:fldChar w:fldCharType="separate"/>
            </w:r>
            <w:r>
              <w:rPr>
                <w:noProof/>
                <w:webHidden/>
              </w:rPr>
              <w:t>76</w:t>
            </w:r>
            <w:r>
              <w:rPr>
                <w:noProof/>
                <w:webHidden/>
              </w:rPr>
              <w:fldChar w:fldCharType="end"/>
            </w:r>
          </w:hyperlink>
        </w:p>
        <w:p w:rsidR="00FF6C83" w:rsidRDefault="00FF6C83" w14:paraId="6AD88168" w14:textId="30FAF3F3">
          <w:pPr>
            <w:pStyle w:val="Innehll1"/>
            <w:tabs>
              <w:tab w:val="right" w:leader="dot" w:pos="8494"/>
            </w:tabs>
            <w:rPr>
              <w:rFonts w:eastAsiaTheme="minorEastAsia"/>
              <w:noProof/>
              <w:kern w:val="0"/>
              <w:sz w:val="22"/>
              <w:szCs w:val="22"/>
              <w:lang w:eastAsia="sv-SE"/>
              <w14:numSpacing w14:val="default"/>
            </w:rPr>
          </w:pPr>
          <w:hyperlink w:history="1" w:anchor="_Toc149814591">
            <w:r w:rsidRPr="002F48A6">
              <w:rPr>
                <w:rStyle w:val="Hyperlnk"/>
                <w:noProof/>
              </w:rPr>
              <w:t>11 Vänsterpartiets skattepolitik</w:t>
            </w:r>
            <w:r>
              <w:rPr>
                <w:noProof/>
                <w:webHidden/>
              </w:rPr>
              <w:tab/>
            </w:r>
            <w:r>
              <w:rPr>
                <w:noProof/>
                <w:webHidden/>
              </w:rPr>
              <w:fldChar w:fldCharType="begin"/>
            </w:r>
            <w:r>
              <w:rPr>
                <w:noProof/>
                <w:webHidden/>
              </w:rPr>
              <w:instrText xml:space="preserve"> PAGEREF _Toc149814591 \h </w:instrText>
            </w:r>
            <w:r>
              <w:rPr>
                <w:noProof/>
                <w:webHidden/>
              </w:rPr>
            </w:r>
            <w:r>
              <w:rPr>
                <w:noProof/>
                <w:webHidden/>
              </w:rPr>
              <w:fldChar w:fldCharType="separate"/>
            </w:r>
            <w:r>
              <w:rPr>
                <w:noProof/>
                <w:webHidden/>
              </w:rPr>
              <w:t>77</w:t>
            </w:r>
            <w:r>
              <w:rPr>
                <w:noProof/>
                <w:webHidden/>
              </w:rPr>
              <w:fldChar w:fldCharType="end"/>
            </w:r>
          </w:hyperlink>
        </w:p>
        <w:p w:rsidR="00FF6C83" w:rsidRDefault="00FF6C83" w14:paraId="0EE95923" w14:textId="78B02D05">
          <w:pPr>
            <w:pStyle w:val="Innehll2"/>
            <w:tabs>
              <w:tab w:val="right" w:leader="dot" w:pos="8494"/>
            </w:tabs>
            <w:rPr>
              <w:rFonts w:eastAsiaTheme="minorEastAsia"/>
              <w:noProof/>
              <w:kern w:val="0"/>
              <w:sz w:val="22"/>
              <w:szCs w:val="22"/>
              <w:lang w:eastAsia="sv-SE"/>
              <w14:numSpacing w14:val="default"/>
            </w:rPr>
          </w:pPr>
          <w:hyperlink w:history="1" w:anchor="_Toc149814592">
            <w:r w:rsidRPr="002F48A6">
              <w:rPr>
                <w:rStyle w:val="Hyperlnk"/>
                <w:noProof/>
              </w:rPr>
              <w:t>11.1 Skatt på kapital och egendom</w:t>
            </w:r>
            <w:r>
              <w:rPr>
                <w:noProof/>
                <w:webHidden/>
              </w:rPr>
              <w:tab/>
            </w:r>
            <w:r>
              <w:rPr>
                <w:noProof/>
                <w:webHidden/>
              </w:rPr>
              <w:fldChar w:fldCharType="begin"/>
            </w:r>
            <w:r>
              <w:rPr>
                <w:noProof/>
                <w:webHidden/>
              </w:rPr>
              <w:instrText xml:space="preserve"> PAGEREF _Toc149814592 \h </w:instrText>
            </w:r>
            <w:r>
              <w:rPr>
                <w:noProof/>
                <w:webHidden/>
              </w:rPr>
            </w:r>
            <w:r>
              <w:rPr>
                <w:noProof/>
                <w:webHidden/>
              </w:rPr>
              <w:fldChar w:fldCharType="separate"/>
            </w:r>
            <w:r>
              <w:rPr>
                <w:noProof/>
                <w:webHidden/>
              </w:rPr>
              <w:t>77</w:t>
            </w:r>
            <w:r>
              <w:rPr>
                <w:noProof/>
                <w:webHidden/>
              </w:rPr>
              <w:fldChar w:fldCharType="end"/>
            </w:r>
          </w:hyperlink>
        </w:p>
        <w:p w:rsidR="00FF6C83" w:rsidRDefault="00FF6C83" w14:paraId="290D4BFD" w14:textId="04F9E3AC">
          <w:pPr>
            <w:pStyle w:val="Innehll3"/>
            <w:tabs>
              <w:tab w:val="right" w:leader="dot" w:pos="8494"/>
            </w:tabs>
            <w:rPr>
              <w:rFonts w:eastAsiaTheme="minorEastAsia"/>
              <w:noProof/>
              <w:kern w:val="0"/>
              <w:sz w:val="22"/>
              <w:szCs w:val="22"/>
              <w:lang w:eastAsia="sv-SE"/>
              <w14:numSpacing w14:val="default"/>
            </w:rPr>
          </w:pPr>
          <w:hyperlink w:history="1" w:anchor="_Toc149814593">
            <w:r w:rsidRPr="002F48A6">
              <w:rPr>
                <w:rStyle w:val="Hyperlnk"/>
                <w:noProof/>
              </w:rPr>
              <w:t>11.1.1</w:t>
            </w:r>
            <w:r w:rsidRPr="002F48A6">
              <w:rPr>
                <w:rStyle w:val="Hyperlnk"/>
                <w:noProof/>
                <w:lang w:eastAsia="sv-SE"/>
              </w:rPr>
              <w:t xml:space="preserve"> Enhetlig</w:t>
            </w:r>
            <w:r w:rsidRPr="002F48A6">
              <w:rPr>
                <w:rStyle w:val="Hyperlnk"/>
                <w:noProof/>
              </w:rPr>
              <w:t xml:space="preserve"> kapitalbeskattning</w:t>
            </w:r>
            <w:r>
              <w:rPr>
                <w:noProof/>
                <w:webHidden/>
              </w:rPr>
              <w:tab/>
            </w:r>
            <w:r>
              <w:rPr>
                <w:noProof/>
                <w:webHidden/>
              </w:rPr>
              <w:fldChar w:fldCharType="begin"/>
            </w:r>
            <w:r>
              <w:rPr>
                <w:noProof/>
                <w:webHidden/>
              </w:rPr>
              <w:instrText xml:space="preserve"> PAGEREF _Toc149814593 \h </w:instrText>
            </w:r>
            <w:r>
              <w:rPr>
                <w:noProof/>
                <w:webHidden/>
              </w:rPr>
            </w:r>
            <w:r>
              <w:rPr>
                <w:noProof/>
                <w:webHidden/>
              </w:rPr>
              <w:fldChar w:fldCharType="separate"/>
            </w:r>
            <w:r>
              <w:rPr>
                <w:noProof/>
                <w:webHidden/>
              </w:rPr>
              <w:t>78</w:t>
            </w:r>
            <w:r>
              <w:rPr>
                <w:noProof/>
                <w:webHidden/>
              </w:rPr>
              <w:fldChar w:fldCharType="end"/>
            </w:r>
          </w:hyperlink>
        </w:p>
        <w:p w:rsidR="00FF6C83" w:rsidRDefault="00FF6C83" w14:paraId="7E28EC31" w14:textId="3C11C295">
          <w:pPr>
            <w:pStyle w:val="Innehll3"/>
            <w:tabs>
              <w:tab w:val="right" w:leader="dot" w:pos="8494"/>
            </w:tabs>
            <w:rPr>
              <w:rFonts w:eastAsiaTheme="minorEastAsia"/>
              <w:noProof/>
              <w:kern w:val="0"/>
              <w:sz w:val="22"/>
              <w:szCs w:val="22"/>
              <w:lang w:eastAsia="sv-SE"/>
              <w14:numSpacing w14:val="default"/>
            </w:rPr>
          </w:pPr>
          <w:hyperlink w:history="1" w:anchor="_Toc149814594">
            <w:r w:rsidRPr="002F48A6">
              <w:rPr>
                <w:rStyle w:val="Hyperlnk"/>
                <w:noProof/>
              </w:rPr>
              <w:t>11.1.2</w:t>
            </w:r>
            <w:r w:rsidRPr="002F48A6">
              <w:rPr>
                <w:rStyle w:val="Hyperlnk"/>
                <w:noProof/>
                <w:lang w:eastAsia="sv-SE"/>
              </w:rPr>
              <w:t xml:space="preserve"> Arvs</w:t>
            </w:r>
            <w:r w:rsidRPr="002F48A6">
              <w:rPr>
                <w:rStyle w:val="Hyperlnk"/>
                <w:noProof/>
              </w:rPr>
              <w:t>- och gåvoskatt</w:t>
            </w:r>
            <w:r>
              <w:rPr>
                <w:noProof/>
                <w:webHidden/>
              </w:rPr>
              <w:tab/>
            </w:r>
            <w:r>
              <w:rPr>
                <w:noProof/>
                <w:webHidden/>
              </w:rPr>
              <w:fldChar w:fldCharType="begin"/>
            </w:r>
            <w:r>
              <w:rPr>
                <w:noProof/>
                <w:webHidden/>
              </w:rPr>
              <w:instrText xml:space="preserve"> PAGEREF _Toc149814594 \h </w:instrText>
            </w:r>
            <w:r>
              <w:rPr>
                <w:noProof/>
                <w:webHidden/>
              </w:rPr>
            </w:r>
            <w:r>
              <w:rPr>
                <w:noProof/>
                <w:webHidden/>
              </w:rPr>
              <w:fldChar w:fldCharType="separate"/>
            </w:r>
            <w:r>
              <w:rPr>
                <w:noProof/>
                <w:webHidden/>
              </w:rPr>
              <w:t>79</w:t>
            </w:r>
            <w:r>
              <w:rPr>
                <w:noProof/>
                <w:webHidden/>
              </w:rPr>
              <w:fldChar w:fldCharType="end"/>
            </w:r>
          </w:hyperlink>
        </w:p>
        <w:p w:rsidR="00FF6C83" w:rsidRDefault="00FF6C83" w14:paraId="02FA185A" w14:textId="554DB510">
          <w:pPr>
            <w:pStyle w:val="Innehll3"/>
            <w:tabs>
              <w:tab w:val="right" w:leader="dot" w:pos="8494"/>
            </w:tabs>
            <w:rPr>
              <w:rFonts w:eastAsiaTheme="minorEastAsia"/>
              <w:noProof/>
              <w:kern w:val="0"/>
              <w:sz w:val="22"/>
              <w:szCs w:val="22"/>
              <w:lang w:eastAsia="sv-SE"/>
              <w14:numSpacing w14:val="default"/>
            </w:rPr>
          </w:pPr>
          <w:hyperlink w:history="1" w:anchor="_Toc149814595">
            <w:r w:rsidRPr="002F48A6">
              <w:rPr>
                <w:rStyle w:val="Hyperlnk"/>
                <w:noProof/>
              </w:rPr>
              <w:t>11.1.3</w:t>
            </w:r>
            <w:r w:rsidRPr="002F48A6">
              <w:rPr>
                <w:rStyle w:val="Hyperlnk"/>
                <w:noProof/>
                <w:lang w:eastAsia="sv-SE"/>
              </w:rPr>
              <w:t xml:space="preserve"> Beskattning</w:t>
            </w:r>
            <w:r w:rsidRPr="002F48A6">
              <w:rPr>
                <w:rStyle w:val="Hyperlnk"/>
                <w:noProof/>
              </w:rPr>
              <w:t xml:space="preserve"> av fastigheter</w:t>
            </w:r>
            <w:r>
              <w:rPr>
                <w:noProof/>
                <w:webHidden/>
              </w:rPr>
              <w:tab/>
            </w:r>
            <w:r>
              <w:rPr>
                <w:noProof/>
                <w:webHidden/>
              </w:rPr>
              <w:fldChar w:fldCharType="begin"/>
            </w:r>
            <w:r>
              <w:rPr>
                <w:noProof/>
                <w:webHidden/>
              </w:rPr>
              <w:instrText xml:space="preserve"> PAGEREF _Toc149814595 \h </w:instrText>
            </w:r>
            <w:r>
              <w:rPr>
                <w:noProof/>
                <w:webHidden/>
              </w:rPr>
            </w:r>
            <w:r>
              <w:rPr>
                <w:noProof/>
                <w:webHidden/>
              </w:rPr>
              <w:fldChar w:fldCharType="separate"/>
            </w:r>
            <w:r>
              <w:rPr>
                <w:noProof/>
                <w:webHidden/>
              </w:rPr>
              <w:t>79</w:t>
            </w:r>
            <w:r>
              <w:rPr>
                <w:noProof/>
                <w:webHidden/>
              </w:rPr>
              <w:fldChar w:fldCharType="end"/>
            </w:r>
          </w:hyperlink>
        </w:p>
        <w:p w:rsidR="00FF6C83" w:rsidRDefault="00FF6C83" w14:paraId="4F84F49C" w14:textId="4A6CBE82">
          <w:pPr>
            <w:pStyle w:val="Innehll2"/>
            <w:tabs>
              <w:tab w:val="right" w:leader="dot" w:pos="8494"/>
            </w:tabs>
            <w:rPr>
              <w:rFonts w:eastAsiaTheme="minorEastAsia"/>
              <w:noProof/>
              <w:kern w:val="0"/>
              <w:sz w:val="22"/>
              <w:szCs w:val="22"/>
              <w:lang w:eastAsia="sv-SE"/>
              <w14:numSpacing w14:val="default"/>
            </w:rPr>
          </w:pPr>
          <w:hyperlink w:history="1" w:anchor="_Toc149814596">
            <w:r w:rsidRPr="002F48A6">
              <w:rPr>
                <w:rStyle w:val="Hyperlnk"/>
                <w:noProof/>
              </w:rPr>
              <w:t>11.2 Skatt på förvärvsinkomst</w:t>
            </w:r>
            <w:r>
              <w:rPr>
                <w:noProof/>
                <w:webHidden/>
              </w:rPr>
              <w:tab/>
            </w:r>
            <w:r>
              <w:rPr>
                <w:noProof/>
                <w:webHidden/>
              </w:rPr>
              <w:fldChar w:fldCharType="begin"/>
            </w:r>
            <w:r>
              <w:rPr>
                <w:noProof/>
                <w:webHidden/>
              </w:rPr>
              <w:instrText xml:space="preserve"> PAGEREF _Toc149814596 \h </w:instrText>
            </w:r>
            <w:r>
              <w:rPr>
                <w:noProof/>
                <w:webHidden/>
              </w:rPr>
            </w:r>
            <w:r>
              <w:rPr>
                <w:noProof/>
                <w:webHidden/>
              </w:rPr>
              <w:fldChar w:fldCharType="separate"/>
            </w:r>
            <w:r>
              <w:rPr>
                <w:noProof/>
                <w:webHidden/>
              </w:rPr>
              <w:t>80</w:t>
            </w:r>
            <w:r>
              <w:rPr>
                <w:noProof/>
                <w:webHidden/>
              </w:rPr>
              <w:fldChar w:fldCharType="end"/>
            </w:r>
          </w:hyperlink>
        </w:p>
        <w:p w:rsidR="00FF6C83" w:rsidRDefault="00FF6C83" w14:paraId="3AA8DC31" w14:textId="6A97729B">
          <w:pPr>
            <w:pStyle w:val="Innehll3"/>
            <w:tabs>
              <w:tab w:val="right" w:leader="dot" w:pos="8494"/>
            </w:tabs>
            <w:rPr>
              <w:rFonts w:eastAsiaTheme="minorEastAsia"/>
              <w:noProof/>
              <w:kern w:val="0"/>
              <w:sz w:val="22"/>
              <w:szCs w:val="22"/>
              <w:lang w:eastAsia="sv-SE"/>
              <w14:numSpacing w14:val="default"/>
            </w:rPr>
          </w:pPr>
          <w:hyperlink w:history="1" w:anchor="_Toc149814597">
            <w:r w:rsidRPr="002F48A6">
              <w:rPr>
                <w:rStyle w:val="Hyperlnk"/>
                <w:noProof/>
              </w:rPr>
              <w:t>11.2.1 Rut och rot</w:t>
            </w:r>
            <w:r>
              <w:rPr>
                <w:noProof/>
                <w:webHidden/>
              </w:rPr>
              <w:tab/>
            </w:r>
            <w:r>
              <w:rPr>
                <w:noProof/>
                <w:webHidden/>
              </w:rPr>
              <w:fldChar w:fldCharType="begin"/>
            </w:r>
            <w:r>
              <w:rPr>
                <w:noProof/>
                <w:webHidden/>
              </w:rPr>
              <w:instrText xml:space="preserve"> PAGEREF _Toc149814597 \h </w:instrText>
            </w:r>
            <w:r>
              <w:rPr>
                <w:noProof/>
                <w:webHidden/>
              </w:rPr>
            </w:r>
            <w:r>
              <w:rPr>
                <w:noProof/>
                <w:webHidden/>
              </w:rPr>
              <w:fldChar w:fldCharType="separate"/>
            </w:r>
            <w:r>
              <w:rPr>
                <w:noProof/>
                <w:webHidden/>
              </w:rPr>
              <w:t>82</w:t>
            </w:r>
            <w:r>
              <w:rPr>
                <w:noProof/>
                <w:webHidden/>
              </w:rPr>
              <w:fldChar w:fldCharType="end"/>
            </w:r>
          </w:hyperlink>
        </w:p>
        <w:p w:rsidR="00FF6C83" w:rsidRDefault="00FF6C83" w14:paraId="7B141445" w14:textId="67C96B13">
          <w:pPr>
            <w:pStyle w:val="Innehll3"/>
            <w:tabs>
              <w:tab w:val="right" w:leader="dot" w:pos="8494"/>
            </w:tabs>
            <w:rPr>
              <w:rFonts w:eastAsiaTheme="minorEastAsia"/>
              <w:noProof/>
              <w:kern w:val="0"/>
              <w:sz w:val="22"/>
              <w:szCs w:val="22"/>
              <w:lang w:eastAsia="sv-SE"/>
              <w14:numSpacing w14:val="default"/>
            </w:rPr>
          </w:pPr>
          <w:hyperlink w:history="1" w:anchor="_Toc149814598">
            <w:r w:rsidRPr="002F48A6">
              <w:rPr>
                <w:rStyle w:val="Hyperlnk"/>
                <w:noProof/>
              </w:rPr>
              <w:t>11.2.2 Sociala avgifter</w:t>
            </w:r>
            <w:r>
              <w:rPr>
                <w:noProof/>
                <w:webHidden/>
              </w:rPr>
              <w:tab/>
            </w:r>
            <w:r>
              <w:rPr>
                <w:noProof/>
                <w:webHidden/>
              </w:rPr>
              <w:fldChar w:fldCharType="begin"/>
            </w:r>
            <w:r>
              <w:rPr>
                <w:noProof/>
                <w:webHidden/>
              </w:rPr>
              <w:instrText xml:space="preserve"> PAGEREF _Toc149814598 \h </w:instrText>
            </w:r>
            <w:r>
              <w:rPr>
                <w:noProof/>
                <w:webHidden/>
              </w:rPr>
            </w:r>
            <w:r>
              <w:rPr>
                <w:noProof/>
                <w:webHidden/>
              </w:rPr>
              <w:fldChar w:fldCharType="separate"/>
            </w:r>
            <w:r>
              <w:rPr>
                <w:noProof/>
                <w:webHidden/>
              </w:rPr>
              <w:t>83</w:t>
            </w:r>
            <w:r>
              <w:rPr>
                <w:noProof/>
                <w:webHidden/>
              </w:rPr>
              <w:fldChar w:fldCharType="end"/>
            </w:r>
          </w:hyperlink>
        </w:p>
        <w:p w:rsidR="00FF6C83" w:rsidRDefault="00FF6C83" w14:paraId="4C5A9E6A" w14:textId="5A0F066B">
          <w:pPr>
            <w:pStyle w:val="Innehll3"/>
            <w:tabs>
              <w:tab w:val="right" w:leader="dot" w:pos="8494"/>
            </w:tabs>
            <w:rPr>
              <w:rFonts w:eastAsiaTheme="minorEastAsia"/>
              <w:noProof/>
              <w:kern w:val="0"/>
              <w:sz w:val="22"/>
              <w:szCs w:val="22"/>
              <w:lang w:eastAsia="sv-SE"/>
              <w14:numSpacing w14:val="default"/>
            </w:rPr>
          </w:pPr>
          <w:hyperlink w:history="1" w:anchor="_Toc149814599">
            <w:r w:rsidRPr="002F48A6">
              <w:rPr>
                <w:rStyle w:val="Hyperlnk"/>
                <w:noProof/>
              </w:rPr>
              <w:t>11.2.3</w:t>
            </w:r>
            <w:r w:rsidRPr="002F48A6">
              <w:rPr>
                <w:rStyle w:val="Hyperlnk"/>
                <w:noProof/>
                <w:lang w:eastAsia="sv-SE"/>
              </w:rPr>
              <w:t xml:space="preserve"> Ränteavdragen</w:t>
            </w:r>
            <w:r w:rsidRPr="002F48A6">
              <w:rPr>
                <w:rStyle w:val="Hyperlnk"/>
                <w:noProof/>
              </w:rPr>
              <w:t xml:space="preserve"> och kreditrestriktionerna för bolånetagarna</w:t>
            </w:r>
            <w:r>
              <w:rPr>
                <w:noProof/>
                <w:webHidden/>
              </w:rPr>
              <w:tab/>
            </w:r>
            <w:r>
              <w:rPr>
                <w:noProof/>
                <w:webHidden/>
              </w:rPr>
              <w:fldChar w:fldCharType="begin"/>
            </w:r>
            <w:r>
              <w:rPr>
                <w:noProof/>
                <w:webHidden/>
              </w:rPr>
              <w:instrText xml:space="preserve"> PAGEREF _Toc149814599 \h </w:instrText>
            </w:r>
            <w:r>
              <w:rPr>
                <w:noProof/>
                <w:webHidden/>
              </w:rPr>
            </w:r>
            <w:r>
              <w:rPr>
                <w:noProof/>
                <w:webHidden/>
              </w:rPr>
              <w:fldChar w:fldCharType="separate"/>
            </w:r>
            <w:r>
              <w:rPr>
                <w:noProof/>
                <w:webHidden/>
              </w:rPr>
              <w:t>84</w:t>
            </w:r>
            <w:r>
              <w:rPr>
                <w:noProof/>
                <w:webHidden/>
              </w:rPr>
              <w:fldChar w:fldCharType="end"/>
            </w:r>
          </w:hyperlink>
        </w:p>
        <w:p w:rsidR="00FF6C83" w:rsidRDefault="00FF6C83" w14:paraId="4B7C3262" w14:textId="3227A46C">
          <w:pPr>
            <w:pStyle w:val="Innehll2"/>
            <w:tabs>
              <w:tab w:val="right" w:leader="dot" w:pos="8494"/>
            </w:tabs>
            <w:rPr>
              <w:rFonts w:eastAsiaTheme="minorEastAsia"/>
              <w:noProof/>
              <w:kern w:val="0"/>
              <w:sz w:val="22"/>
              <w:szCs w:val="22"/>
              <w:lang w:eastAsia="sv-SE"/>
              <w14:numSpacing w14:val="default"/>
            </w:rPr>
          </w:pPr>
          <w:hyperlink w:history="1" w:anchor="_Toc149814600">
            <w:r w:rsidRPr="002F48A6">
              <w:rPr>
                <w:rStyle w:val="Hyperlnk"/>
                <w:noProof/>
              </w:rPr>
              <w:t>11.3 Miljöskatter</w:t>
            </w:r>
            <w:r>
              <w:rPr>
                <w:noProof/>
                <w:webHidden/>
              </w:rPr>
              <w:tab/>
            </w:r>
            <w:r>
              <w:rPr>
                <w:noProof/>
                <w:webHidden/>
              </w:rPr>
              <w:fldChar w:fldCharType="begin"/>
            </w:r>
            <w:r>
              <w:rPr>
                <w:noProof/>
                <w:webHidden/>
              </w:rPr>
              <w:instrText xml:space="preserve"> PAGEREF _Toc149814600 \h </w:instrText>
            </w:r>
            <w:r>
              <w:rPr>
                <w:noProof/>
                <w:webHidden/>
              </w:rPr>
            </w:r>
            <w:r>
              <w:rPr>
                <w:noProof/>
                <w:webHidden/>
              </w:rPr>
              <w:fldChar w:fldCharType="separate"/>
            </w:r>
            <w:r>
              <w:rPr>
                <w:noProof/>
                <w:webHidden/>
              </w:rPr>
              <w:t>85</w:t>
            </w:r>
            <w:r>
              <w:rPr>
                <w:noProof/>
                <w:webHidden/>
              </w:rPr>
              <w:fldChar w:fldCharType="end"/>
            </w:r>
          </w:hyperlink>
        </w:p>
        <w:p w:rsidR="00FF6C83" w:rsidRDefault="00FF6C83" w14:paraId="76A5A653" w14:textId="7E33EF0D">
          <w:pPr>
            <w:pStyle w:val="Innehll2"/>
            <w:tabs>
              <w:tab w:val="right" w:leader="dot" w:pos="8494"/>
            </w:tabs>
            <w:rPr>
              <w:rFonts w:eastAsiaTheme="minorEastAsia"/>
              <w:noProof/>
              <w:kern w:val="0"/>
              <w:sz w:val="22"/>
              <w:szCs w:val="22"/>
              <w:lang w:eastAsia="sv-SE"/>
              <w14:numSpacing w14:val="default"/>
            </w:rPr>
          </w:pPr>
          <w:hyperlink w:history="1" w:anchor="_Toc149814601">
            <w:r w:rsidRPr="002F48A6">
              <w:rPr>
                <w:rStyle w:val="Hyperlnk"/>
                <w:noProof/>
              </w:rPr>
              <w:t>11.4 Vänsterpartiets skatteförslag</w:t>
            </w:r>
            <w:r>
              <w:rPr>
                <w:noProof/>
                <w:webHidden/>
              </w:rPr>
              <w:tab/>
            </w:r>
            <w:r>
              <w:rPr>
                <w:noProof/>
                <w:webHidden/>
              </w:rPr>
              <w:fldChar w:fldCharType="begin"/>
            </w:r>
            <w:r>
              <w:rPr>
                <w:noProof/>
                <w:webHidden/>
              </w:rPr>
              <w:instrText xml:space="preserve"> PAGEREF _Toc149814601 \h </w:instrText>
            </w:r>
            <w:r>
              <w:rPr>
                <w:noProof/>
                <w:webHidden/>
              </w:rPr>
            </w:r>
            <w:r>
              <w:rPr>
                <w:noProof/>
                <w:webHidden/>
              </w:rPr>
              <w:fldChar w:fldCharType="separate"/>
            </w:r>
            <w:r>
              <w:rPr>
                <w:noProof/>
                <w:webHidden/>
              </w:rPr>
              <w:t>87</w:t>
            </w:r>
            <w:r>
              <w:rPr>
                <w:noProof/>
                <w:webHidden/>
              </w:rPr>
              <w:fldChar w:fldCharType="end"/>
            </w:r>
          </w:hyperlink>
        </w:p>
        <w:p w:rsidR="00FF6C83" w:rsidRDefault="00FF6C83" w14:paraId="4BEABE5B" w14:textId="628A5A10">
          <w:pPr>
            <w:pStyle w:val="Innehll1"/>
            <w:tabs>
              <w:tab w:val="right" w:leader="dot" w:pos="8494"/>
            </w:tabs>
            <w:rPr>
              <w:rFonts w:eastAsiaTheme="minorEastAsia"/>
              <w:noProof/>
              <w:kern w:val="0"/>
              <w:sz w:val="22"/>
              <w:szCs w:val="22"/>
              <w:lang w:eastAsia="sv-SE"/>
              <w14:numSpacing w14:val="default"/>
            </w:rPr>
          </w:pPr>
          <w:hyperlink w:history="1" w:anchor="_Toc149814602">
            <w:r w:rsidRPr="002F48A6">
              <w:rPr>
                <w:rStyle w:val="Hyperlnk"/>
                <w:noProof/>
              </w:rPr>
              <w:t>12 Långsiktigt hållbar finanspolitik</w:t>
            </w:r>
            <w:r>
              <w:rPr>
                <w:noProof/>
                <w:webHidden/>
              </w:rPr>
              <w:tab/>
            </w:r>
            <w:r>
              <w:rPr>
                <w:noProof/>
                <w:webHidden/>
              </w:rPr>
              <w:fldChar w:fldCharType="begin"/>
            </w:r>
            <w:r>
              <w:rPr>
                <w:noProof/>
                <w:webHidden/>
              </w:rPr>
              <w:instrText xml:space="preserve"> PAGEREF _Toc149814602 \h </w:instrText>
            </w:r>
            <w:r>
              <w:rPr>
                <w:noProof/>
                <w:webHidden/>
              </w:rPr>
            </w:r>
            <w:r>
              <w:rPr>
                <w:noProof/>
                <w:webHidden/>
              </w:rPr>
              <w:fldChar w:fldCharType="separate"/>
            </w:r>
            <w:r>
              <w:rPr>
                <w:noProof/>
                <w:webHidden/>
              </w:rPr>
              <w:t>88</w:t>
            </w:r>
            <w:r>
              <w:rPr>
                <w:noProof/>
                <w:webHidden/>
              </w:rPr>
              <w:fldChar w:fldCharType="end"/>
            </w:r>
          </w:hyperlink>
        </w:p>
        <w:p w:rsidR="00FF6C83" w:rsidRDefault="00FF6C83" w14:paraId="07957ACF" w14:textId="78652076">
          <w:pPr>
            <w:pStyle w:val="Innehll2"/>
            <w:tabs>
              <w:tab w:val="right" w:leader="dot" w:pos="8494"/>
            </w:tabs>
            <w:rPr>
              <w:rFonts w:eastAsiaTheme="minorEastAsia"/>
              <w:noProof/>
              <w:kern w:val="0"/>
              <w:sz w:val="22"/>
              <w:szCs w:val="22"/>
              <w:lang w:eastAsia="sv-SE"/>
              <w14:numSpacing w14:val="default"/>
            </w:rPr>
          </w:pPr>
          <w:hyperlink w:history="1" w:anchor="_Toc149814603">
            <w:r w:rsidRPr="002F48A6">
              <w:rPr>
                <w:rStyle w:val="Hyperlnk"/>
                <w:noProof/>
              </w:rPr>
              <w:t>12.1 Klimatomställningen och behovet av ett reformerat ramverk</w:t>
            </w:r>
            <w:r>
              <w:rPr>
                <w:noProof/>
                <w:webHidden/>
              </w:rPr>
              <w:tab/>
            </w:r>
            <w:r>
              <w:rPr>
                <w:noProof/>
                <w:webHidden/>
              </w:rPr>
              <w:fldChar w:fldCharType="begin"/>
            </w:r>
            <w:r>
              <w:rPr>
                <w:noProof/>
                <w:webHidden/>
              </w:rPr>
              <w:instrText xml:space="preserve"> PAGEREF _Toc149814603 \h </w:instrText>
            </w:r>
            <w:r>
              <w:rPr>
                <w:noProof/>
                <w:webHidden/>
              </w:rPr>
            </w:r>
            <w:r>
              <w:rPr>
                <w:noProof/>
                <w:webHidden/>
              </w:rPr>
              <w:fldChar w:fldCharType="separate"/>
            </w:r>
            <w:r>
              <w:rPr>
                <w:noProof/>
                <w:webHidden/>
              </w:rPr>
              <w:t>88</w:t>
            </w:r>
            <w:r>
              <w:rPr>
                <w:noProof/>
                <w:webHidden/>
              </w:rPr>
              <w:fldChar w:fldCharType="end"/>
            </w:r>
          </w:hyperlink>
        </w:p>
        <w:p w:rsidR="00FF6C83" w:rsidRDefault="00FF6C83" w14:paraId="0C951132" w14:textId="5521F503">
          <w:pPr>
            <w:pStyle w:val="Innehll2"/>
            <w:tabs>
              <w:tab w:val="right" w:leader="dot" w:pos="8494"/>
            </w:tabs>
            <w:rPr>
              <w:rFonts w:eastAsiaTheme="minorEastAsia"/>
              <w:noProof/>
              <w:kern w:val="0"/>
              <w:sz w:val="22"/>
              <w:szCs w:val="22"/>
              <w:lang w:eastAsia="sv-SE"/>
              <w14:numSpacing w14:val="default"/>
            </w:rPr>
          </w:pPr>
          <w:hyperlink w:history="1" w:anchor="_Toc149814604">
            <w:r w:rsidRPr="002F48A6">
              <w:rPr>
                <w:rStyle w:val="Hyperlnk"/>
                <w:noProof/>
              </w:rPr>
              <w:t>12.2 Ett ramverk för ett rikare Sverige</w:t>
            </w:r>
            <w:r>
              <w:rPr>
                <w:noProof/>
                <w:webHidden/>
              </w:rPr>
              <w:tab/>
            </w:r>
            <w:r>
              <w:rPr>
                <w:noProof/>
                <w:webHidden/>
              </w:rPr>
              <w:fldChar w:fldCharType="begin"/>
            </w:r>
            <w:r>
              <w:rPr>
                <w:noProof/>
                <w:webHidden/>
              </w:rPr>
              <w:instrText xml:space="preserve"> PAGEREF _Toc149814604 \h </w:instrText>
            </w:r>
            <w:r>
              <w:rPr>
                <w:noProof/>
                <w:webHidden/>
              </w:rPr>
            </w:r>
            <w:r>
              <w:rPr>
                <w:noProof/>
                <w:webHidden/>
              </w:rPr>
              <w:fldChar w:fldCharType="separate"/>
            </w:r>
            <w:r>
              <w:rPr>
                <w:noProof/>
                <w:webHidden/>
              </w:rPr>
              <w:t>88</w:t>
            </w:r>
            <w:r>
              <w:rPr>
                <w:noProof/>
                <w:webHidden/>
              </w:rPr>
              <w:fldChar w:fldCharType="end"/>
            </w:r>
          </w:hyperlink>
        </w:p>
        <w:p w:rsidR="00FF6C83" w:rsidRDefault="00FF6C83" w14:paraId="4DC17545" w14:textId="59724A0E">
          <w:pPr>
            <w:pStyle w:val="Innehll2"/>
            <w:tabs>
              <w:tab w:val="right" w:leader="dot" w:pos="8494"/>
            </w:tabs>
            <w:rPr>
              <w:rFonts w:eastAsiaTheme="minorEastAsia"/>
              <w:noProof/>
              <w:kern w:val="0"/>
              <w:sz w:val="22"/>
              <w:szCs w:val="22"/>
              <w:lang w:eastAsia="sv-SE"/>
              <w14:numSpacing w14:val="default"/>
            </w:rPr>
          </w:pPr>
          <w:hyperlink w:history="1" w:anchor="_Toc149814605">
            <w:r w:rsidRPr="002F48A6">
              <w:rPr>
                <w:rStyle w:val="Hyperlnk"/>
                <w:noProof/>
              </w:rPr>
              <w:t>12.3 Realekonomiska mål bör komplettera de finansiella målen</w:t>
            </w:r>
            <w:r>
              <w:rPr>
                <w:noProof/>
                <w:webHidden/>
              </w:rPr>
              <w:tab/>
            </w:r>
            <w:r>
              <w:rPr>
                <w:noProof/>
                <w:webHidden/>
              </w:rPr>
              <w:fldChar w:fldCharType="begin"/>
            </w:r>
            <w:r>
              <w:rPr>
                <w:noProof/>
                <w:webHidden/>
              </w:rPr>
              <w:instrText xml:space="preserve"> PAGEREF _Toc149814605 \h </w:instrText>
            </w:r>
            <w:r>
              <w:rPr>
                <w:noProof/>
                <w:webHidden/>
              </w:rPr>
            </w:r>
            <w:r>
              <w:rPr>
                <w:noProof/>
                <w:webHidden/>
              </w:rPr>
              <w:fldChar w:fldCharType="separate"/>
            </w:r>
            <w:r>
              <w:rPr>
                <w:noProof/>
                <w:webHidden/>
              </w:rPr>
              <w:t>90</w:t>
            </w:r>
            <w:r>
              <w:rPr>
                <w:noProof/>
                <w:webHidden/>
              </w:rPr>
              <w:fldChar w:fldCharType="end"/>
            </w:r>
          </w:hyperlink>
        </w:p>
        <w:p w:rsidR="00FF6C83" w:rsidRDefault="00FF6C83" w14:paraId="11BCA432" w14:textId="0A26ED64">
          <w:pPr>
            <w:pStyle w:val="Innehll1"/>
            <w:tabs>
              <w:tab w:val="right" w:leader="dot" w:pos="8494"/>
            </w:tabs>
            <w:rPr>
              <w:rFonts w:eastAsiaTheme="minorEastAsia"/>
              <w:noProof/>
              <w:kern w:val="0"/>
              <w:sz w:val="22"/>
              <w:szCs w:val="22"/>
              <w:lang w:eastAsia="sv-SE"/>
              <w14:numSpacing w14:val="default"/>
            </w:rPr>
          </w:pPr>
          <w:hyperlink w:history="1" w:anchor="_Toc149814606">
            <w:r w:rsidRPr="002F48A6">
              <w:rPr>
                <w:rStyle w:val="Hyperlnk"/>
                <w:noProof/>
              </w:rPr>
              <w:t>13 Utgiftsramar och fördelning av utgifter i statsbudgeten</w:t>
            </w:r>
            <w:r>
              <w:rPr>
                <w:noProof/>
                <w:webHidden/>
              </w:rPr>
              <w:tab/>
            </w:r>
            <w:r>
              <w:rPr>
                <w:noProof/>
                <w:webHidden/>
              </w:rPr>
              <w:fldChar w:fldCharType="begin"/>
            </w:r>
            <w:r>
              <w:rPr>
                <w:noProof/>
                <w:webHidden/>
              </w:rPr>
              <w:instrText xml:space="preserve"> PAGEREF _Toc149814606 \h </w:instrText>
            </w:r>
            <w:r>
              <w:rPr>
                <w:noProof/>
                <w:webHidden/>
              </w:rPr>
            </w:r>
            <w:r>
              <w:rPr>
                <w:noProof/>
                <w:webHidden/>
              </w:rPr>
              <w:fldChar w:fldCharType="separate"/>
            </w:r>
            <w:r>
              <w:rPr>
                <w:noProof/>
                <w:webHidden/>
              </w:rPr>
              <w:t>91</w:t>
            </w:r>
            <w:r>
              <w:rPr>
                <w:noProof/>
                <w:webHidden/>
              </w:rPr>
              <w:fldChar w:fldCharType="end"/>
            </w:r>
          </w:hyperlink>
        </w:p>
        <w:p w:rsidR="00FF6C83" w:rsidRDefault="00FF6C83" w14:paraId="0CF3DAA0" w14:textId="2ED421DE">
          <w:pPr>
            <w:pStyle w:val="Innehll1"/>
            <w:tabs>
              <w:tab w:val="right" w:leader="dot" w:pos="8494"/>
            </w:tabs>
            <w:rPr>
              <w:rFonts w:eastAsiaTheme="minorEastAsia"/>
              <w:noProof/>
              <w:kern w:val="0"/>
              <w:sz w:val="22"/>
              <w:szCs w:val="22"/>
              <w:lang w:eastAsia="sv-SE"/>
              <w14:numSpacing w14:val="default"/>
            </w:rPr>
          </w:pPr>
          <w:hyperlink w:history="1" w:anchor="_Toc149814607">
            <w:r w:rsidRPr="002F48A6">
              <w:rPr>
                <w:rStyle w:val="Hyperlnk"/>
                <w:noProof/>
              </w:rPr>
              <w:t>14 Den offentliga sektorns finanser m.m.</w:t>
            </w:r>
            <w:r>
              <w:rPr>
                <w:noProof/>
                <w:webHidden/>
              </w:rPr>
              <w:tab/>
            </w:r>
            <w:r>
              <w:rPr>
                <w:noProof/>
                <w:webHidden/>
              </w:rPr>
              <w:fldChar w:fldCharType="begin"/>
            </w:r>
            <w:r>
              <w:rPr>
                <w:noProof/>
                <w:webHidden/>
              </w:rPr>
              <w:instrText xml:space="preserve"> PAGEREF _Toc149814607 \h </w:instrText>
            </w:r>
            <w:r>
              <w:rPr>
                <w:noProof/>
                <w:webHidden/>
              </w:rPr>
            </w:r>
            <w:r>
              <w:rPr>
                <w:noProof/>
                <w:webHidden/>
              </w:rPr>
              <w:fldChar w:fldCharType="separate"/>
            </w:r>
            <w:r>
              <w:rPr>
                <w:noProof/>
                <w:webHidden/>
              </w:rPr>
              <w:t>101</w:t>
            </w:r>
            <w:r>
              <w:rPr>
                <w:noProof/>
                <w:webHidden/>
              </w:rPr>
              <w:fldChar w:fldCharType="end"/>
            </w:r>
          </w:hyperlink>
        </w:p>
        <w:p w:rsidR="00FF6C83" w:rsidRDefault="00FF6C83" w14:paraId="0216D20B" w14:textId="42AAF911">
          <w:pPr>
            <w:pStyle w:val="Innehll1"/>
            <w:tabs>
              <w:tab w:val="right" w:leader="dot" w:pos="8494"/>
            </w:tabs>
            <w:rPr>
              <w:rFonts w:eastAsiaTheme="minorEastAsia"/>
              <w:noProof/>
              <w:kern w:val="0"/>
              <w:sz w:val="22"/>
              <w:szCs w:val="22"/>
              <w:lang w:eastAsia="sv-SE"/>
              <w14:numSpacing w14:val="default"/>
            </w:rPr>
          </w:pPr>
          <w:hyperlink w:history="1" w:anchor="_Toc149814608">
            <w:r w:rsidRPr="002F48A6">
              <w:rPr>
                <w:rStyle w:val="Hyperlnk"/>
                <w:noProof/>
              </w:rPr>
              <w:t>15 Beräkning av statsbudgetens inkomster</w:t>
            </w:r>
            <w:r>
              <w:rPr>
                <w:noProof/>
                <w:webHidden/>
              </w:rPr>
              <w:tab/>
            </w:r>
            <w:r>
              <w:rPr>
                <w:noProof/>
                <w:webHidden/>
              </w:rPr>
              <w:fldChar w:fldCharType="begin"/>
            </w:r>
            <w:r>
              <w:rPr>
                <w:noProof/>
                <w:webHidden/>
              </w:rPr>
              <w:instrText xml:space="preserve"> PAGEREF _Toc149814608 \h </w:instrText>
            </w:r>
            <w:r>
              <w:rPr>
                <w:noProof/>
                <w:webHidden/>
              </w:rPr>
            </w:r>
            <w:r>
              <w:rPr>
                <w:noProof/>
                <w:webHidden/>
              </w:rPr>
              <w:fldChar w:fldCharType="separate"/>
            </w:r>
            <w:r>
              <w:rPr>
                <w:noProof/>
                <w:webHidden/>
              </w:rPr>
              <w:t>103</w:t>
            </w:r>
            <w:r>
              <w:rPr>
                <w:noProof/>
                <w:webHidden/>
              </w:rPr>
              <w:fldChar w:fldCharType="end"/>
            </w:r>
          </w:hyperlink>
        </w:p>
        <w:p w:rsidR="00D60AE5" w:rsidRDefault="00FF6C83" w14:paraId="023BB098" w14:textId="4084A007">
          <w:r>
            <w:fldChar w:fldCharType="end"/>
          </w:r>
        </w:p>
      </w:sdtContent>
    </w:sdt>
    <w:p w:rsidR="00DF05B5" w:rsidRDefault="00DF05B5" w14:paraId="1BD45AC4" w14:textId="7788F29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9814507" w:displacedByCustomXml="next" w:id="2"/>
    <w:bookmarkStart w:name="_Toc106800475" w:displacedByCustomXml="next" w:id="3"/>
    <w:sdt>
      <w:sdtPr>
        <w:alias w:val="CC_Boilerplate_4"/>
        <w:tag w:val="CC_Boilerplate_4"/>
        <w:id w:val="-1644581176"/>
        <w:lock w:val="sdtLocked"/>
        <w:placeholder>
          <w:docPart w:val="9FB50B427EA84C318C93BDA58D38B9FF"/>
        </w:placeholder>
        <w:showingPlcHdr/>
        <w:text/>
      </w:sdtPr>
      <w:sdtEndPr/>
      <w:sdtContent>
        <w:p w:rsidRPr="00936643" w:rsidR="00AF30DD" w:rsidP="00965E31" w:rsidRDefault="00822402" w14:paraId="7B67A185" w14:textId="2C1226D4">
          <w:pPr>
            <w:pStyle w:val="Rubrik1numrerat"/>
            <w:spacing w:after="300"/>
          </w:pPr>
          <w:r w:rsidRPr="00936643">
            <w:t>Förslag till riksdagsbeslut</w:t>
          </w:r>
        </w:p>
      </w:sdtContent>
    </w:sdt>
    <w:bookmarkEnd w:displacedByCustomXml="prev" w:id="2"/>
    <w:sdt>
      <w:sdtPr>
        <w:alias w:val="Yrkande 1"/>
        <w:tag w:val="ec5b1c27-31ef-4b75-9507-cacfe27dba01"/>
        <w:id w:val="-2140786110"/>
        <w:lock w:val="sdtLocked"/>
      </w:sdtPr>
      <w:sdtEndPr/>
      <w:sdtContent>
        <w:p w:rsidR="00F02392" w:rsidRDefault="00810CE4" w14:paraId="4175DBE3" w14:textId="77777777">
          <w:pPr>
            <w:pStyle w:val="Frslagstext"/>
          </w:pPr>
          <w:r>
            <w:t>Riksdagen godkänner de riktlinjer för den ekonomiska politiken och budgetpolitiken som föreslås i motionen (avsnitt 6–11).</w:t>
          </w:r>
        </w:p>
      </w:sdtContent>
    </w:sdt>
    <w:sdt>
      <w:sdtPr>
        <w:alias w:val="Yrkande 2"/>
        <w:tag w:val="7d6121fb-5e61-4b9a-8dce-f4c0f006835e"/>
        <w:id w:val="542184853"/>
        <w:lock w:val="sdtLocked"/>
      </w:sdtPr>
      <w:sdtEndPr/>
      <w:sdtContent>
        <w:p w:rsidR="00F02392" w:rsidRDefault="00810CE4" w14:paraId="2CF362FA" w14:textId="77777777">
          <w:pPr>
            <w:pStyle w:val="Frslagstext"/>
          </w:pPr>
          <w:r>
            <w:t>Riksdagen avslår regeringens förslag att fastställa utgiftstaket för staten inklusive ålderspensionssystemet vid sidan av statens budget till följd av tekniska justeringar och av finanspolitiska skäl till 1 665 miljarder kronor 2023 och 1 745 miljarder kronor 2024 och beslutar att upphäva det tidigare fastställda utgiftstaket för 2024 (avsnitt 4.2 i propositionen).</w:t>
          </w:r>
        </w:p>
      </w:sdtContent>
    </w:sdt>
    <w:sdt>
      <w:sdtPr>
        <w:alias w:val="Yrkande 3"/>
        <w:tag w:val="cba14350-2ee2-4773-a75d-2fb6e30ff646"/>
        <w:id w:val="1802801382"/>
        <w:lock w:val="sdtLocked"/>
      </w:sdtPr>
      <w:sdtEndPr/>
      <w:sdtContent>
        <w:p w:rsidR="00F02392" w:rsidRDefault="00810CE4" w14:paraId="286E9797" w14:textId="77777777">
          <w:pPr>
            <w:pStyle w:val="Frslagstext"/>
          </w:pPr>
          <w:r>
            <w:t>Riksdagen avslår regeringens förslag att fastställa utgiftstaket för staten inklusive ålderspensionssystemet vid sidan av statens budget till 1 825 miljarder kronor för 2025 (avsnitt 4.2 i propositionen).</w:t>
          </w:r>
        </w:p>
      </w:sdtContent>
    </w:sdt>
    <w:sdt>
      <w:sdtPr>
        <w:alias w:val="Yrkande 4"/>
        <w:tag w:val="06871b9f-c053-4b2c-ac75-dda6ffa9d2ea"/>
        <w:id w:val="-665166565"/>
        <w:lock w:val="sdtLocked"/>
      </w:sdtPr>
      <w:sdtEndPr/>
      <w:sdtContent>
        <w:p w:rsidR="00F02392" w:rsidRDefault="00810CE4" w14:paraId="11EDD5BE" w14:textId="77777777">
          <w:pPr>
            <w:pStyle w:val="Frslagstext"/>
          </w:pPr>
          <w:r>
            <w:t>Riksdagen fastställer utgiftstaket för staten inklusive ålderspensionssystemet vid sidan av statens budget för 2023 enligt förslaget i tabell 16, avsnitt 14 i motionen.</w:t>
          </w:r>
        </w:p>
      </w:sdtContent>
    </w:sdt>
    <w:sdt>
      <w:sdtPr>
        <w:alias w:val="Yrkande 5"/>
        <w:tag w:val="1a834f45-720d-4b6d-adc7-40a77e281d77"/>
        <w:id w:val="1713462864"/>
        <w:lock w:val="sdtLocked"/>
      </w:sdtPr>
      <w:sdtEndPr/>
      <w:sdtContent>
        <w:p w:rsidR="00F02392" w:rsidRDefault="00810CE4" w14:paraId="1A61C00A" w14:textId="77777777">
          <w:pPr>
            <w:pStyle w:val="Frslagstext"/>
          </w:pPr>
          <w:r>
            <w:t>Riksdagen godkänner beräkningen av inkomsterna i statens budget för 2023 enligt förslaget i tabell 17, avsnitt 15 i motionen och ställer sig bakom det som anförs i motionen om att regeringen ska återkomma med lagförslag i överensstämmelse med denna beräkning och tillkännager detta för regeringen.</w:t>
          </w:r>
        </w:p>
      </w:sdtContent>
    </w:sdt>
    <w:sdt>
      <w:sdtPr>
        <w:alias w:val="Yrkande 6"/>
        <w:tag w:val="b2c4e790-98cd-4acf-b2e1-1089784ab7a0"/>
        <w:id w:val="420453730"/>
        <w:lock w:val="sdtLocked"/>
      </w:sdtPr>
      <w:sdtEndPr/>
      <w:sdtContent>
        <w:p w:rsidR="00F02392" w:rsidRDefault="00810CE4" w14:paraId="37A693FA" w14:textId="77777777">
          <w:pPr>
            <w:pStyle w:val="Frslagstext"/>
          </w:pPr>
          <w:r>
            <w:t>Riksdagen godkänner den preliminära beräkningen av inkomster i statens budget för 2024 och 2025 enligt förslaget i tabell 18, avsnitt 15 i motionen som riktlinje för regeringens budgetarbete.</w:t>
          </w:r>
        </w:p>
      </w:sdtContent>
    </w:sdt>
    <w:sdt>
      <w:sdtPr>
        <w:alias w:val="Yrkande 7"/>
        <w:tag w:val="8de57d76-5cbc-4380-8af5-a300494e8174"/>
        <w:id w:val="1248929773"/>
        <w:lock w:val="sdtLocked"/>
      </w:sdtPr>
      <w:sdtEndPr/>
      <w:sdtContent>
        <w:p w:rsidR="00F02392" w:rsidRDefault="00810CE4" w14:paraId="0D7A3B13" w14:textId="77777777">
          <w:pPr>
            <w:pStyle w:val="Frslagstext"/>
          </w:pPr>
          <w:r>
            <w:t>Riksdagen beslutar om fördelning av utgifter på utgiftsområden för 2023 enligt förslaget i tabell 9, avsnitt 13 i motionen.</w:t>
          </w:r>
        </w:p>
      </w:sdtContent>
    </w:sdt>
    <w:sdt>
      <w:sdtPr>
        <w:alias w:val="Yrkande 8"/>
        <w:tag w:val="7e30e06f-9bd4-4e6d-bd08-dc0ae9cc5c9b"/>
        <w:id w:val="-775709633"/>
        <w:lock w:val="sdtLocked"/>
      </w:sdtPr>
      <w:sdtEndPr/>
      <w:sdtContent>
        <w:p w:rsidR="00F02392" w:rsidRDefault="00810CE4" w14:paraId="06182F7C" w14:textId="77777777">
          <w:pPr>
            <w:pStyle w:val="Frslagstext"/>
          </w:pPr>
          <w:r>
            <w:t>Riksdagen godkänner den preliminära fördelningen av utgifter på utgiftsområden för 2024 och 2025 enligt förslaget i tabell 10, avsnitt 13 i motionen som riktlinje för regeringens budgetarbete.</w:t>
          </w:r>
        </w:p>
      </w:sdtContent>
    </w:sdt>
    <w:sdt>
      <w:sdtPr>
        <w:alias w:val="Yrkande 9"/>
        <w:tag w:val="e989abcc-572c-4d07-86ca-13cc2afa07fc"/>
        <w:id w:val="800965752"/>
        <w:lock w:val="sdtLocked"/>
      </w:sdtPr>
      <w:sdtEndPr/>
      <w:sdtContent>
        <w:p w:rsidR="00F02392" w:rsidRDefault="00810CE4" w14:paraId="45F30A4D" w14:textId="77777777">
          <w:pPr>
            <w:pStyle w:val="Frslagstext"/>
          </w:pPr>
          <w:r>
            <w:t>Riksdagen ställer sig bakom det som anförs i motionen om att regeringen bör avskaffa produktivitetsavdraget i pris- och löneomräkningsmodellen samt genomföra en översyn av modellen och tillkännager detta för regeringen.</w:t>
          </w:r>
        </w:p>
      </w:sdtContent>
    </w:sdt>
    <w:bookmarkEnd w:displacedByCustomXml="prev" w:id="3"/>
    <w:bookmarkStart w:name="MotionsStart" w:displacedByCustomXml="next" w:id="4"/>
    <w:bookmarkEnd w:displacedByCustomXml="next" w:id="4"/>
    <w:bookmarkStart w:name="_Toc149814508" w:displacedByCustomXml="next" w:id="5"/>
    <w:sdt>
      <w:sdtPr>
        <w:rPr>
          <w14:numSpacing w14:val="proportional"/>
        </w:rPr>
        <w:alias w:val="CC_Motivering_Rubrik"/>
        <w:tag w:val="CC_Motivering_Rubrik"/>
        <w:id w:val="1433397530"/>
        <w:lock w:val="sdtLocked"/>
        <w:placeholder>
          <w:docPart w:val="82FD5E48BD93426981DE808EA33C4FFE"/>
        </w:placeholder>
        <w:text/>
      </w:sdtPr>
      <w:sdtEndPr>
        <w:rPr>
          <w14:numSpacing w14:val="default"/>
        </w:rPr>
      </w:sdtEndPr>
      <w:sdtContent>
        <w:p w:rsidRPr="00FC2616" w:rsidR="00FE07FA" w:rsidP="002D6AA0" w:rsidRDefault="00FE07FA" w14:paraId="40CA8CD5" w14:textId="5774468E">
          <w:pPr>
            <w:pStyle w:val="Rubrik1numrerat"/>
          </w:pPr>
          <w:r>
            <w:t>Det ekonomiska läget</w:t>
          </w:r>
        </w:p>
      </w:sdtContent>
    </w:sdt>
    <w:bookmarkEnd w:displacedByCustomXml="prev" w:id="5"/>
    <w:p w:rsidRPr="00FC2616" w:rsidR="000663E5" w:rsidP="000663E5" w:rsidRDefault="000663E5" w14:paraId="565ADA6A" w14:textId="6C13C450">
      <w:pPr>
        <w:pStyle w:val="Normalutanindragellerluft"/>
      </w:pPr>
      <w:r w:rsidRPr="00FC2616">
        <w:t>Det ekonomiska läget präglas av hög inflation, stigande räntor och effekter av Rysslands krig i Ukraina. Efter pandemin hann produktionen inte anpassa sig till den snabbt stigande efterfrågan i världsekonomin. Detta resulterade i stigande priser på en rad viktiga rå- och insatsvaror samt på transporter. Rysslands krig i Ukraina har drivit upp priserna än mer på flera råvaror och framkallat stora störningar på energi</w:t>
      </w:r>
      <w:r w:rsidR="006E0CE2">
        <w:softHyphen/>
      </w:r>
      <w:r w:rsidRPr="00FC2616">
        <w:t>marknaderna i Europa, vilket fått elpriserna att stiga till mycket höga nivåer. Den höga inflationen urholkar hushållens köpkraft, vilket håller tillbaka konsumtionen. För att få ned inflationen har centralbanker runt om i världen höjt sina styrräntor. Riksbanken höjde den svenska reporäntan med 1</w:t>
      </w:r>
      <w:r w:rsidR="00EF08F4">
        <w:t> </w:t>
      </w:r>
      <w:r w:rsidRPr="00FC2616">
        <w:t>procentenhet till 1,75</w:t>
      </w:r>
      <w:r w:rsidR="00EF08F4">
        <w:t> </w:t>
      </w:r>
      <w:r w:rsidRPr="00FC2616">
        <w:t xml:space="preserve">procent och signalerade att fortsatta höjningar är att vänta. De höjda räntorna påverkar direkt bolåneräntorna, vilket ytterligare gröper ur hushållens köpkraft. </w:t>
      </w:r>
    </w:p>
    <w:p w:rsidRPr="00FC2616" w:rsidR="00401FE6" w:rsidP="000663E5" w:rsidRDefault="000663E5" w14:paraId="0322A341" w14:textId="4D5F1791">
      <w:r w:rsidRPr="00FC2616">
        <w:t xml:space="preserve">Det finns skäl att ifrågasätta Riksbankens agerande. Till skillnad </w:t>
      </w:r>
      <w:r w:rsidR="00931AF4">
        <w:t>från</w:t>
      </w:r>
      <w:r w:rsidRPr="00FC2616">
        <w:t xml:space="preserve"> vad som är fallet i USA är inflationen i Europa och Sverige nästan uteslutande utbudsdriven. Löneutvecklingen i Sverige är fortsatt dämpad och pristrycket från arbetsmarknaden </w:t>
      </w:r>
      <w:r w:rsidRPr="00FC2616">
        <w:lastRenderedPageBreak/>
        <w:t xml:space="preserve">mycket </w:t>
      </w:r>
      <w:r w:rsidRPr="00FC2616" w:rsidR="00E671B0">
        <w:t>begränsat</w:t>
      </w:r>
      <w:r w:rsidRPr="00FC2616">
        <w:t xml:space="preserve">. Höjda räntor är ett </w:t>
      </w:r>
      <w:r w:rsidRPr="00FC2616" w:rsidR="00974E3B">
        <w:t xml:space="preserve">mycket </w:t>
      </w:r>
      <w:r w:rsidRPr="00FC2616">
        <w:t>trubbigt verktyg mot störningar på energimarknaderna och höga livsmedelspriser. Det kommer att leda till att investeringar och sysselsättningen minska</w:t>
      </w:r>
      <w:r w:rsidRPr="00FC2616" w:rsidR="00974E3B">
        <w:t>r</w:t>
      </w:r>
      <w:r w:rsidRPr="00FC2616">
        <w:t xml:space="preserve"> än mer.</w:t>
      </w:r>
      <w:r w:rsidRPr="00FC2616" w:rsidR="00BF67FC">
        <w:t xml:space="preserve"> Vi ser nu också en rejäl avmattning av inflations</w:t>
      </w:r>
      <w:r w:rsidR="006E0CE2">
        <w:softHyphen/>
      </w:r>
      <w:r w:rsidRPr="00FC2616" w:rsidR="00BF67FC">
        <w:t>takten i producentledet, vilket ännu så länge inte sl</w:t>
      </w:r>
      <w:r w:rsidRPr="00FC2616" w:rsidR="00D81F66">
        <w:t>agit</w:t>
      </w:r>
      <w:r w:rsidRPr="00FC2616" w:rsidR="00BF67FC">
        <w:t xml:space="preserve"> igenom i konsumentpriserna. Detta har resulterat i att företagen har kunnat hålla uppe sina vinster. Parallellt med måttliga löneökningar innebär detta att löntagarna får ta hela kostnaden för de stigande priserna</w:t>
      </w:r>
      <w:r w:rsidR="00931AF4">
        <w:t>;</w:t>
      </w:r>
      <w:r w:rsidRPr="00FC2616" w:rsidR="008A3603">
        <w:t xml:space="preserve"> jf</w:t>
      </w:r>
      <w:r w:rsidR="00931AF4">
        <w:t>r</w:t>
      </w:r>
      <w:r w:rsidRPr="00FC2616" w:rsidR="008A3603">
        <w:t xml:space="preserve"> figur 1 nedan, som visar utvecklingen av vinstandelarna i näringslivet.</w:t>
      </w:r>
    </w:p>
    <w:p w:rsidRPr="005240B6" w:rsidR="00401FE6" w:rsidP="005240B6" w:rsidRDefault="00401FE6" w14:paraId="74240732" w14:textId="3FFF68E9">
      <w:pPr>
        <w:pStyle w:val="Tabellrubrik"/>
      </w:pPr>
      <w:r w:rsidRPr="005240B6">
        <w:t>Figur 1 Vinstandelar i näringslivet</w:t>
      </w:r>
    </w:p>
    <w:p w:rsidRPr="005240B6" w:rsidR="000663E5" w:rsidP="005240B6" w:rsidRDefault="00401FE6" w14:paraId="7679FEE7" w14:textId="10860DE5">
      <w:pPr>
        <w:pStyle w:val="Tabellunderrubrik"/>
      </w:pPr>
      <w:r w:rsidRPr="005240B6">
        <w:t>Procent av förädlingsvärdet, säsongsrensade kvartalsvärden</w:t>
      </w:r>
      <w:r w:rsidRPr="005240B6" w:rsidR="000663E5">
        <w:t xml:space="preserve"> </w:t>
      </w:r>
    </w:p>
    <w:p w:rsidRPr="00FC2616" w:rsidR="00401FE6" w:rsidP="0097167B" w:rsidRDefault="0097167B" w14:paraId="7D575197" w14:textId="31FC5162">
      <w:pPr>
        <w:ind w:firstLine="0"/>
      </w:pPr>
      <w:r w:rsidRPr="00FC2616">
        <w:rPr>
          <w:noProof/>
          <w14:numSpacing w14:val="default"/>
        </w:rPr>
        <w:drawing>
          <wp:inline distT="0" distB="0" distL="0" distR="0" wp14:anchorId="37CAD8FF" wp14:editId="7BF3718B">
            <wp:extent cx="4572000" cy="2743200"/>
            <wp:effectExtent l="0" t="0" r="0" b="0"/>
            <wp:docPr id="12" name="Diagram 12" descr="">
              <a:extLst xmlns:a="http://schemas.openxmlformats.org/drawingml/2006/main">
                <a:ext uri="{FF2B5EF4-FFF2-40B4-BE49-F238E27FC236}">
                  <a16:creationId xmlns:a16="http://schemas.microsoft.com/office/drawing/2014/main" id="{CE69B614-68DF-426B-B983-D90D79F6D0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5240B6" w:rsidR="00401FE6" w:rsidP="005240B6" w:rsidRDefault="00401FE6" w14:paraId="1B95CD76" w14:textId="387A2938">
      <w:pPr>
        <w:pStyle w:val="Klla"/>
      </w:pPr>
      <w:r w:rsidRPr="005240B6">
        <w:t>Källa: Konjunkturinstitutet, ”Lönebildningsrapporten 2022”.</w:t>
      </w:r>
    </w:p>
    <w:p w:rsidRPr="00FC2616" w:rsidR="000663E5" w:rsidP="005240B6" w:rsidRDefault="000663E5" w14:paraId="4A3E2A83" w14:textId="29F09530">
      <w:pPr>
        <w:pStyle w:val="Normalutanindragellerluft"/>
        <w:spacing w:before="150"/>
        <w:rPr>
          <w:b/>
        </w:rPr>
      </w:pPr>
      <w:r w:rsidRPr="00FC2616">
        <w:t xml:space="preserve">De flesta framåtblickande indikatorer har fallit tillbaka den senaste tiden, även om de för företagen fortfarande ligger på relativt höga nivåer. Hushållens syn på framtiden är dock på rekordlåga nivåer (se figur </w:t>
      </w:r>
      <w:r w:rsidRPr="00FC2616" w:rsidR="00D52509">
        <w:t>2</w:t>
      </w:r>
      <w:r w:rsidRPr="00FC2616">
        <w:t xml:space="preserve"> nedan).</w:t>
      </w:r>
    </w:p>
    <w:p w:rsidRPr="005240B6" w:rsidR="000663E5" w:rsidP="005240B6" w:rsidRDefault="000663E5" w14:paraId="57C1AF18" w14:textId="79379084">
      <w:pPr>
        <w:pStyle w:val="Tabellrubrik"/>
      </w:pPr>
      <w:r w:rsidRPr="005240B6">
        <w:t xml:space="preserve">Figur </w:t>
      </w:r>
      <w:r w:rsidRPr="005240B6" w:rsidR="00D52509">
        <w:t>2</w:t>
      </w:r>
      <w:r w:rsidRPr="005240B6">
        <w:t xml:space="preserve"> Näringslivets och hushållens konfidensindikatorer, 1997</w:t>
      </w:r>
      <w:r w:rsidRPr="005240B6" w:rsidR="003C4B50">
        <w:t>–</w:t>
      </w:r>
      <w:r w:rsidRPr="005240B6">
        <w:t>2022 (sep</w:t>
      </w:r>
      <w:r w:rsidRPr="005240B6" w:rsidR="00C92394">
        <w:t>t</w:t>
      </w:r>
      <w:r w:rsidRPr="005240B6">
        <w:t>.)</w:t>
      </w:r>
    </w:p>
    <w:p w:rsidRPr="005240B6" w:rsidR="000663E5" w:rsidP="005240B6" w:rsidRDefault="000663E5" w14:paraId="3C670B7A" w14:textId="6A62AD03">
      <w:pPr>
        <w:pStyle w:val="Tabellunderrubrik"/>
      </w:pPr>
      <w:r w:rsidRPr="005240B6">
        <w:t>Index medelvärde</w:t>
      </w:r>
      <w:r w:rsidRPr="005240B6" w:rsidR="00D85D4F">
        <w:t xml:space="preserve"> </w:t>
      </w:r>
      <w:r w:rsidRPr="005240B6">
        <w:t>= 100, säsongsrensade månadsvärden</w:t>
      </w:r>
    </w:p>
    <w:p w:rsidRPr="00FC2616" w:rsidR="000663E5" w:rsidP="000663E5" w:rsidRDefault="000663E5" w14:paraId="0F4004F4" w14:textId="28EA10ED">
      <w:pPr>
        <w:tabs>
          <w:tab w:val="clear" w:pos="284"/>
        </w:tabs>
        <w:ind w:firstLine="0"/>
        <w:rPr>
          <w:i/>
          <w:sz w:val="20"/>
          <w:szCs w:val="20"/>
        </w:rPr>
      </w:pPr>
      <w:r w:rsidRPr="00FC2616">
        <w:rPr>
          <w:noProof/>
        </w:rPr>
        <w:drawing>
          <wp:inline distT="0" distB="0" distL="0" distR="0" wp14:anchorId="03A80FB0" wp14:editId="616E8271">
            <wp:extent cx="4572000" cy="2743200"/>
            <wp:effectExtent l="0" t="0" r="0" b="0"/>
            <wp:docPr id="11" name="Diagram 11" descr="">
              <a:extLst xmlns:a="http://schemas.openxmlformats.org/drawingml/2006/main">
                <a:ext uri="{FF2B5EF4-FFF2-40B4-BE49-F238E27FC236}">
                  <a16:creationId xmlns:a16="http://schemas.microsoft.com/office/drawing/2014/main" id="{9D24483E-975B-4055-89B7-C0AD3A7EB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5240B6" w:rsidR="000663E5" w:rsidP="005240B6" w:rsidRDefault="000663E5" w14:paraId="597ED46A" w14:textId="77777777">
      <w:pPr>
        <w:pStyle w:val="Klla"/>
      </w:pPr>
      <w:r w:rsidRPr="005240B6">
        <w:t>Källa: Konjunkturinstitutet, Konjunkturläget september 2022.</w:t>
      </w:r>
    </w:p>
    <w:p w:rsidRPr="00FC2616" w:rsidR="000663E5" w:rsidP="005240B6" w:rsidRDefault="000663E5" w14:paraId="519A8658" w14:textId="5417F2D0">
      <w:pPr>
        <w:pStyle w:val="Normalutanindragellerluft"/>
        <w:spacing w:before="150"/>
      </w:pPr>
      <w:r w:rsidRPr="00FC2616">
        <w:lastRenderedPageBreak/>
        <w:t>Samtidigt slår en vikande omvärldskonjunktur mot den svenska exportnäringen. Störningar i globala leveranskedjor utgör fortsatta hinder, även om de flesta problemen verkar vara över. Totalt väntas exporten växa med drygt 2</w:t>
      </w:r>
      <w:r w:rsidR="00D85D4F">
        <w:t> </w:t>
      </w:r>
      <w:r w:rsidRPr="00FC2616">
        <w:t>procent under 2023, vilket kan jämföras med en genomsnittlig tillväxt på 5,4</w:t>
      </w:r>
      <w:r w:rsidR="00D85D4F">
        <w:t> </w:t>
      </w:r>
      <w:r w:rsidRPr="00FC2616">
        <w:t>procent under perioden 1993</w:t>
      </w:r>
      <w:r w:rsidRPr="00FC2616" w:rsidR="003C4B50">
        <w:t>–</w:t>
      </w:r>
      <w:r w:rsidRPr="00FC2616">
        <w:t>2021.</w:t>
      </w:r>
      <w:r w:rsidRPr="00FC2616">
        <w:rPr>
          <w:rStyle w:val="Fotnotsreferens"/>
        </w:rPr>
        <w:footnoteReference w:id="2"/>
      </w:r>
      <w:r w:rsidRPr="00FC2616">
        <w:t xml:space="preserve"> Även utvecklingen på bostadsmarknaden ser dyster ut. Höga priser på råvaror och material tillsammans med stigande räntor och lägre bostadspriser väntas pressa bostads</w:t>
      </w:r>
      <w:r w:rsidR="006E0CE2">
        <w:softHyphen/>
      </w:r>
      <w:r w:rsidRPr="00FC2616">
        <w:t>investeringarna. De totala bostadsinvesteringarna bedöms minska med drygt 9</w:t>
      </w:r>
      <w:r w:rsidR="00D85D4F">
        <w:t> </w:t>
      </w:r>
      <w:r w:rsidRPr="00FC2616">
        <w:t>procent under 2023. Sammantaget leder detta till att BNP väntas minska med 0,1</w:t>
      </w:r>
      <w:r w:rsidR="00D85D4F">
        <w:t> </w:t>
      </w:r>
      <w:r w:rsidRPr="00FC2616">
        <w:t>procent nästa år.</w:t>
      </w:r>
      <w:r w:rsidRPr="00FC2616">
        <w:rPr>
          <w:rStyle w:val="Fotnotsreferens"/>
        </w:rPr>
        <w:footnoteReference w:id="3"/>
      </w:r>
    </w:p>
    <w:p w:rsidRPr="00FC2616" w:rsidR="000663E5" w:rsidP="000663E5" w:rsidRDefault="000663E5" w14:paraId="3020BC14" w14:textId="58ADD219">
      <w:r w:rsidRPr="00FC2616">
        <w:t>Arbetsmarknaden utvecklades starkt under första halvan av 2022 och syssel</w:t>
      </w:r>
      <w:r w:rsidR="006E0CE2">
        <w:softHyphen/>
      </w:r>
      <w:r w:rsidRPr="00FC2616">
        <w:t xml:space="preserve">sättningsgraden ligger på historiskt höga nivåer. Företagens anställningsplaner tyder dock </w:t>
      </w:r>
      <w:r w:rsidR="00D85D4F">
        <w:t xml:space="preserve">på </w:t>
      </w:r>
      <w:r w:rsidRPr="00FC2616">
        <w:t>att en omsvängning är på väg, inte minst inom handeln och byggbranschen.</w:t>
      </w:r>
      <w:r w:rsidRPr="00FC2616" w:rsidR="00E950E4">
        <w:rPr>
          <w:rStyle w:val="Fotnotsreferens"/>
        </w:rPr>
        <w:footnoteReference w:id="4"/>
      </w:r>
      <w:r w:rsidRPr="00FC2616">
        <w:t xml:space="preserve"> Under nästkommande år väntas sysselsättningen minska på bred front i näringslivet och arbetslösheten beräknas öka till närmare 8</w:t>
      </w:r>
      <w:r w:rsidR="00D85D4F">
        <w:t> </w:t>
      </w:r>
      <w:r w:rsidRPr="00FC2616">
        <w:t xml:space="preserve">procent under slutet av året. </w:t>
      </w:r>
    </w:p>
    <w:p w:rsidRPr="00FC2616" w:rsidR="00230D48" w:rsidP="000663E5" w:rsidRDefault="000663E5" w14:paraId="10D3E9D2" w14:textId="1F61F9B4">
      <w:r w:rsidRPr="00FC2616">
        <w:t xml:space="preserve">Den höga inflationen sätter också Sveriges kommuner och regioner under stark ekonomisk press via höga priser på </w:t>
      </w:r>
      <w:r w:rsidRPr="00FC2616" w:rsidR="00275B02">
        <w:t>energi, varor</w:t>
      </w:r>
      <w:r w:rsidR="00D85D4F">
        <w:t xml:space="preserve"> och</w:t>
      </w:r>
      <w:r w:rsidRPr="00FC2616" w:rsidR="00275B02">
        <w:t xml:space="preserve"> räntor</w:t>
      </w:r>
      <w:r w:rsidRPr="00FC2616">
        <w:t xml:space="preserve"> och </w:t>
      </w:r>
      <w:r w:rsidRPr="00FC2616" w:rsidR="00275B02">
        <w:t>ökade pensions</w:t>
      </w:r>
      <w:r w:rsidR="006E0CE2">
        <w:softHyphen/>
      </w:r>
      <w:r w:rsidRPr="00FC2616" w:rsidR="00275B02">
        <w:t>kostnader</w:t>
      </w:r>
      <w:r w:rsidRPr="00FC2616">
        <w:t xml:space="preserve">. Tillsammans med den demografiska utvecklingen, med en stigande andel äldre, </w:t>
      </w:r>
      <w:r w:rsidRPr="00FC2616" w:rsidR="00275B02">
        <w:t xml:space="preserve">och vikande skatteunderlag </w:t>
      </w:r>
      <w:r w:rsidRPr="00FC2616">
        <w:t xml:space="preserve">uppstår stora resursgap i kommunsektorn. </w:t>
      </w:r>
    </w:p>
    <w:p w:rsidRPr="00FC2616" w:rsidR="00AA5C54" w:rsidP="00AA5C54" w:rsidRDefault="00230D48" w14:paraId="33CFBE58" w14:textId="174C9723">
      <w:r w:rsidRPr="00FC2616">
        <w:t xml:space="preserve">Konjunkturinstitutet bedömde i sin septemberprognos </w:t>
      </w:r>
      <w:r w:rsidRPr="00FC2616" w:rsidR="00AA5C54">
        <w:t xml:space="preserve">att </w:t>
      </w:r>
      <w:r w:rsidRPr="00FC2616">
        <w:t>kommunsektorn behöver tillföras 10</w:t>
      </w:r>
      <w:r w:rsidR="00454CBD">
        <w:t> </w:t>
      </w:r>
      <w:r w:rsidRPr="00FC2616">
        <w:t xml:space="preserve">miljarder kronor fram </w:t>
      </w:r>
      <w:r w:rsidRPr="00FC2616" w:rsidR="001B7D5C">
        <w:t xml:space="preserve">till </w:t>
      </w:r>
      <w:r w:rsidRPr="00FC2616">
        <w:t>2023 för att Sveriges kommuner och regioner ska kunna klara av ett ”bibehåll</w:t>
      </w:r>
      <w:r w:rsidR="00947A17">
        <w:t>e</w:t>
      </w:r>
      <w:r w:rsidRPr="00FC2616">
        <w:t xml:space="preserve">t offentligt åtagande”. </w:t>
      </w:r>
      <w:r w:rsidRPr="00FC2616" w:rsidR="00172555">
        <w:t xml:space="preserve">Sveriges </w:t>
      </w:r>
      <w:r w:rsidR="00454CBD">
        <w:t>K</w:t>
      </w:r>
      <w:r w:rsidRPr="00FC2616" w:rsidR="00172555">
        <w:t xml:space="preserve">ommuner och </w:t>
      </w:r>
      <w:r w:rsidR="00454CBD">
        <w:t>R</w:t>
      </w:r>
      <w:r w:rsidRPr="00FC2616" w:rsidR="00172555">
        <w:t xml:space="preserve">egioner (SKR) </w:t>
      </w:r>
      <w:r w:rsidRPr="00FC2616" w:rsidR="009E3F65">
        <w:t>inkom den 28 oktober i år med en hemställan till regeringen om stöd för att hantera ekonomin i kommuner och regioner.</w:t>
      </w:r>
      <w:r w:rsidRPr="00FC2616" w:rsidR="00776D2E">
        <w:rPr>
          <w:rStyle w:val="Fotnotsreferens"/>
        </w:rPr>
        <w:footnoteReference w:id="5"/>
      </w:r>
      <w:r w:rsidRPr="00FC2616" w:rsidR="009E3F65">
        <w:t xml:space="preserve"> I denna anförde SKR att kommunsektorn som helhet beräknades gå med årliga underskott på 20</w:t>
      </w:r>
      <w:r w:rsidRPr="00FC2616" w:rsidR="000D60E8">
        <w:t>–</w:t>
      </w:r>
      <w:r w:rsidRPr="00FC2616" w:rsidR="009E3F65">
        <w:t>30</w:t>
      </w:r>
      <w:r w:rsidR="00947A17">
        <w:t> </w:t>
      </w:r>
      <w:r w:rsidRPr="00FC2616" w:rsidR="009E3F65">
        <w:t xml:space="preserve">miljarder </w:t>
      </w:r>
      <w:r w:rsidRPr="00FC2616" w:rsidR="001B7D5C">
        <w:t xml:space="preserve">kronor </w:t>
      </w:r>
      <w:r w:rsidRPr="00FC2616" w:rsidR="009E3F65">
        <w:t>de kommande åren</w:t>
      </w:r>
      <w:r w:rsidRPr="00FC2616" w:rsidR="00776D2E">
        <w:t xml:space="preserve"> i relation till gällande regelverk. I budgetpropositionen för 2023 tillför regeringen ca 12</w:t>
      </w:r>
      <w:r w:rsidR="00947A17">
        <w:t> </w:t>
      </w:r>
      <w:r w:rsidRPr="00FC2616" w:rsidR="00776D2E">
        <w:t xml:space="preserve">miljarder </w:t>
      </w:r>
      <w:r w:rsidRPr="00FC2616" w:rsidR="001B7D5C">
        <w:t xml:space="preserve">kronor </w:t>
      </w:r>
      <w:r w:rsidRPr="00FC2616" w:rsidR="00776D2E">
        <w:t xml:space="preserve">till kommunsektorn för nästa år i form av ökade generella och riktade statsbidrag. I avsnitt </w:t>
      </w:r>
      <w:r w:rsidRPr="00FC2616" w:rsidR="00292035">
        <w:t>8.9</w:t>
      </w:r>
      <w:r w:rsidRPr="00FC2616" w:rsidR="00776D2E">
        <w:t xml:space="preserve"> redogör vi för Vänsterpartiets plan för att hantera kommunsektorns ekonomi och stärka välfärden</w:t>
      </w:r>
      <w:r w:rsidRPr="00FC2616" w:rsidR="00172555">
        <w:t>.</w:t>
      </w:r>
    </w:p>
    <w:p w:rsidRPr="00FC2616" w:rsidR="00A556C5" w:rsidP="00A556C5" w:rsidRDefault="00A556C5" w14:paraId="02589807" w14:textId="77777777">
      <w:pPr>
        <w:pStyle w:val="Rubrik2numrerat"/>
        <w:rPr>
          <w:lang w:eastAsia="sv-SE"/>
        </w:rPr>
      </w:pPr>
      <w:bookmarkStart w:name="_Toc149814509" w:id="6"/>
      <w:r w:rsidRPr="00FC2616">
        <w:rPr>
          <w:lang w:eastAsia="sv-SE"/>
        </w:rPr>
        <w:t>Det svikna Sverige</w:t>
      </w:r>
      <w:bookmarkEnd w:id="6"/>
    </w:p>
    <w:p w:rsidRPr="00FC2616" w:rsidR="00A556C5" w:rsidP="00A556C5" w:rsidRDefault="00A556C5" w14:paraId="21EEE282" w14:textId="74E54139">
      <w:pPr>
        <w:pStyle w:val="Normalutanindragellerluft"/>
        <w:rPr>
          <w:lang w:eastAsia="sv-SE"/>
        </w:rPr>
      </w:pPr>
      <w:r w:rsidRPr="00FC2616">
        <w:rPr>
          <w:lang w:eastAsia="sv-SE"/>
        </w:rPr>
        <w:t xml:space="preserve">Sverige </w:t>
      </w:r>
      <w:r w:rsidRPr="00FC2616" w:rsidR="002163D7">
        <w:rPr>
          <w:lang w:eastAsia="sv-SE"/>
        </w:rPr>
        <w:t>präglas av</w:t>
      </w:r>
      <w:r w:rsidRPr="00FC2616">
        <w:rPr>
          <w:lang w:eastAsia="sv-SE"/>
        </w:rPr>
        <w:t xml:space="preserve"> stora och växande regionala skillnader. Ojämlikheten syns på kartorna – på Sverigekartan och på stadskart</w:t>
      </w:r>
      <w:r w:rsidRPr="00FC2616" w:rsidR="002163D7">
        <w:rPr>
          <w:lang w:eastAsia="sv-SE"/>
        </w:rPr>
        <w:t>orna</w:t>
      </w:r>
      <w:r w:rsidRPr="00FC2616">
        <w:rPr>
          <w:lang w:eastAsia="sv-SE"/>
        </w:rPr>
        <w:t>. Pengarna finns i centrum, i de stora städerna och i stadskärnorna. Samtidigt lämnas landsbygden, bruksorterna och för</w:t>
      </w:r>
      <w:r w:rsidR="006E0CE2">
        <w:rPr>
          <w:lang w:eastAsia="sv-SE"/>
        </w:rPr>
        <w:softHyphen/>
      </w:r>
      <w:r w:rsidRPr="00FC2616">
        <w:rPr>
          <w:lang w:eastAsia="sv-SE"/>
        </w:rPr>
        <w:t xml:space="preserve">orterna efter. Av de tio kommuner </w:t>
      </w:r>
      <w:r w:rsidR="00947A17">
        <w:rPr>
          <w:lang w:eastAsia="sv-SE"/>
        </w:rPr>
        <w:t>som har</w:t>
      </w:r>
      <w:r w:rsidRPr="00FC2616" w:rsidR="00E36966">
        <w:rPr>
          <w:lang w:eastAsia="sv-SE"/>
        </w:rPr>
        <w:t xml:space="preserve"> högst medianinkomst</w:t>
      </w:r>
      <w:r w:rsidRPr="00FC2616">
        <w:rPr>
          <w:lang w:eastAsia="sv-SE"/>
        </w:rPr>
        <w:t xml:space="preserve"> i Sverige finns </w:t>
      </w:r>
      <w:r w:rsidRPr="00FC2616" w:rsidR="00E36966">
        <w:rPr>
          <w:lang w:eastAsia="sv-SE"/>
        </w:rPr>
        <w:t xml:space="preserve">sju </w:t>
      </w:r>
      <w:r w:rsidRPr="00FC2616">
        <w:rPr>
          <w:lang w:eastAsia="sv-SE"/>
        </w:rPr>
        <w:t>i Stockholms län</w:t>
      </w:r>
      <w:r w:rsidRPr="00FC2616" w:rsidR="00B037C3">
        <w:rPr>
          <w:lang w:eastAsia="sv-SE"/>
        </w:rPr>
        <w:t xml:space="preserve"> och</w:t>
      </w:r>
      <w:r w:rsidRPr="00FC2616">
        <w:rPr>
          <w:lang w:eastAsia="sv-SE"/>
        </w:rPr>
        <w:t xml:space="preserve"> </w:t>
      </w:r>
      <w:r w:rsidRPr="00FC2616" w:rsidR="00B037C3">
        <w:rPr>
          <w:lang w:eastAsia="sv-SE"/>
        </w:rPr>
        <w:t xml:space="preserve">av </w:t>
      </w:r>
      <w:r w:rsidRPr="00FC2616">
        <w:rPr>
          <w:lang w:eastAsia="sv-SE"/>
        </w:rPr>
        <w:t xml:space="preserve">de tio </w:t>
      </w:r>
      <w:r w:rsidR="00947A17">
        <w:rPr>
          <w:lang w:eastAsia="sv-SE"/>
        </w:rPr>
        <w:t>som har</w:t>
      </w:r>
      <w:r w:rsidRPr="00FC2616" w:rsidR="00947A17">
        <w:rPr>
          <w:lang w:eastAsia="sv-SE"/>
        </w:rPr>
        <w:t xml:space="preserve"> </w:t>
      </w:r>
      <w:r w:rsidRPr="00FC2616" w:rsidR="00E36966">
        <w:rPr>
          <w:lang w:eastAsia="sv-SE"/>
        </w:rPr>
        <w:t xml:space="preserve">lägst </w:t>
      </w:r>
      <w:r w:rsidRPr="00FC2616" w:rsidR="00ED6399">
        <w:rPr>
          <w:lang w:eastAsia="sv-SE"/>
        </w:rPr>
        <w:t>median</w:t>
      </w:r>
      <w:r w:rsidRPr="00FC2616" w:rsidR="00E36966">
        <w:rPr>
          <w:lang w:eastAsia="sv-SE"/>
        </w:rPr>
        <w:t xml:space="preserve">inkomst </w:t>
      </w:r>
      <w:r w:rsidRPr="00FC2616">
        <w:rPr>
          <w:lang w:eastAsia="sv-SE"/>
        </w:rPr>
        <w:t xml:space="preserve">ligger </w:t>
      </w:r>
      <w:r w:rsidRPr="00FC2616" w:rsidR="00E36966">
        <w:rPr>
          <w:lang w:eastAsia="sv-SE"/>
        </w:rPr>
        <w:t>endast två i storstads</w:t>
      </w:r>
      <w:r w:rsidR="006E0CE2">
        <w:rPr>
          <w:lang w:eastAsia="sv-SE"/>
        </w:rPr>
        <w:softHyphen/>
      </w:r>
      <w:r w:rsidRPr="00FC2616" w:rsidR="00E36966">
        <w:rPr>
          <w:lang w:eastAsia="sv-SE"/>
        </w:rPr>
        <w:t>områden</w:t>
      </w:r>
      <w:r w:rsidRPr="00FC2616">
        <w:rPr>
          <w:lang w:eastAsia="sv-SE"/>
        </w:rPr>
        <w:t>.</w:t>
      </w:r>
      <w:r w:rsidRPr="00FC2616" w:rsidR="007A61E1">
        <w:rPr>
          <w:rStyle w:val="Fotnotsreferens"/>
          <w:lang w:eastAsia="sv-SE"/>
        </w:rPr>
        <w:footnoteReference w:id="6"/>
      </w:r>
      <w:r w:rsidRPr="00FC2616">
        <w:rPr>
          <w:lang w:eastAsia="sv-SE"/>
        </w:rPr>
        <w:t xml:space="preserve"> Inom våra storstäder finns gigantiska klyftor</w:t>
      </w:r>
      <w:r w:rsidRPr="00FC2616" w:rsidR="00B037C3">
        <w:rPr>
          <w:lang w:eastAsia="sv-SE"/>
        </w:rPr>
        <w:t>.</w:t>
      </w:r>
      <w:r w:rsidRPr="00FC2616">
        <w:rPr>
          <w:lang w:eastAsia="sv-SE"/>
        </w:rPr>
        <w:t xml:space="preserve"> </w:t>
      </w:r>
      <w:r w:rsidRPr="00FC2616" w:rsidR="00B037C3">
        <w:rPr>
          <w:lang w:eastAsia="sv-SE"/>
        </w:rPr>
        <w:t xml:space="preserve">Mellan </w:t>
      </w:r>
      <w:r w:rsidRPr="00FC2616">
        <w:rPr>
          <w:lang w:eastAsia="sv-SE"/>
        </w:rPr>
        <w:t>ändhållplatserna i Stockholms tunnelbana skiljer det flera år i medellivslängd. Till exempel lever en högutbildad man i Danderyd i genomsnitt 18</w:t>
      </w:r>
      <w:r w:rsidR="00ED0209">
        <w:rPr>
          <w:lang w:eastAsia="sv-SE"/>
        </w:rPr>
        <w:t> </w:t>
      </w:r>
      <w:r w:rsidRPr="00FC2616">
        <w:rPr>
          <w:lang w:eastAsia="sv-SE"/>
        </w:rPr>
        <w:t>år längre än en lågutbildad man i Vårby.</w:t>
      </w:r>
      <w:r w:rsidRPr="00FC2616" w:rsidR="007A61E1">
        <w:rPr>
          <w:rStyle w:val="Fotnotsreferens"/>
          <w:lang w:eastAsia="sv-SE"/>
        </w:rPr>
        <w:footnoteReference w:id="7"/>
      </w:r>
    </w:p>
    <w:p w:rsidRPr="00FC2616" w:rsidR="00A556C5" w:rsidP="00A556C5" w:rsidRDefault="00A556C5" w14:paraId="609C5EF1" w14:textId="42C3EE1C">
      <w:pPr>
        <w:rPr>
          <w:lang w:eastAsia="sv-SE"/>
        </w:rPr>
      </w:pPr>
      <w:r w:rsidRPr="00FC2616">
        <w:rPr>
          <w:lang w:eastAsia="sv-SE"/>
        </w:rPr>
        <w:lastRenderedPageBreak/>
        <w:t>Vänsterpartiet vill</w:t>
      </w:r>
      <w:r w:rsidRPr="00FC2616" w:rsidDel="009608A1">
        <w:rPr>
          <w:lang w:eastAsia="sv-SE"/>
        </w:rPr>
        <w:t xml:space="preserve"> </w:t>
      </w:r>
      <w:r w:rsidRPr="00FC2616">
        <w:rPr>
          <w:lang w:eastAsia="sv-SE"/>
        </w:rPr>
        <w:t xml:space="preserve">att alla ska ha både rätten och möjligheten att bo </w:t>
      </w:r>
      <w:r w:rsidRPr="00FC2616" w:rsidR="00062963">
        <w:rPr>
          <w:lang w:eastAsia="sv-SE"/>
        </w:rPr>
        <w:t xml:space="preserve">där </w:t>
      </w:r>
      <w:r w:rsidR="00ED0209">
        <w:rPr>
          <w:lang w:eastAsia="sv-SE"/>
        </w:rPr>
        <w:t xml:space="preserve">de </w:t>
      </w:r>
      <w:r w:rsidRPr="00FC2616">
        <w:rPr>
          <w:lang w:eastAsia="sv-SE"/>
        </w:rPr>
        <w:t>själv</w:t>
      </w:r>
      <w:r w:rsidR="00ED0209">
        <w:rPr>
          <w:lang w:eastAsia="sv-SE"/>
        </w:rPr>
        <w:t>a</w:t>
      </w:r>
      <w:r w:rsidRPr="00FC2616">
        <w:rPr>
          <w:lang w:eastAsia="sv-SE"/>
        </w:rPr>
        <w:t xml:space="preserve"> önskar i Sverige. </w:t>
      </w:r>
      <w:r w:rsidRPr="00FC2616" w:rsidR="002163D7">
        <w:rPr>
          <w:lang w:eastAsia="sv-SE"/>
        </w:rPr>
        <w:t>För det</w:t>
      </w:r>
      <w:r w:rsidRPr="00FC2616">
        <w:rPr>
          <w:lang w:eastAsia="sv-SE"/>
        </w:rPr>
        <w:t xml:space="preserve"> behövs en övergripande strategi som bygger på långsiktig tillväxt, högre och mer jämnt fördelad sysselsättning och ett tydligt ansvar för staten att se till att grundläggande samhällsservice finns i hela landet. Tillgången till offentlig service i form av god vård, skolor</w:t>
      </w:r>
      <w:r w:rsidR="00ED0209">
        <w:rPr>
          <w:lang w:eastAsia="sv-SE"/>
        </w:rPr>
        <w:t xml:space="preserve"> och</w:t>
      </w:r>
      <w:r w:rsidRPr="00FC2616">
        <w:rPr>
          <w:lang w:eastAsia="sv-SE"/>
        </w:rPr>
        <w:t xml:space="preserve"> barn- och äldreomsorg är avgörande. Samhället måste även tillhandahålla en tillräckligt god pension och trygga inkomstförsäkringar vid sjukdom och arbetslöshet. Statlig service, såsom Skatteverket, Försäkringskassan och Arbetsförmedlingen</w:t>
      </w:r>
      <w:r w:rsidR="00097AA4">
        <w:rPr>
          <w:lang w:eastAsia="sv-SE"/>
        </w:rPr>
        <w:t>,</w:t>
      </w:r>
      <w:r w:rsidRPr="00FC2616">
        <w:rPr>
          <w:lang w:eastAsia="sv-SE"/>
        </w:rPr>
        <w:t xml:space="preserve"> måste finnas tillgänglig runt om i landet.</w:t>
      </w:r>
    </w:p>
    <w:p w:rsidRPr="00FC2616" w:rsidR="00A556C5" w:rsidP="00A556C5" w:rsidRDefault="00A556C5" w14:paraId="32BD88D5" w14:textId="006CB26B">
      <w:pPr>
        <w:rPr>
          <w:lang w:eastAsia="sv-SE"/>
        </w:rPr>
      </w:pPr>
      <w:r w:rsidRPr="00FC2616">
        <w:rPr>
          <w:lang w:eastAsia="sv-SE"/>
        </w:rPr>
        <w:t>Det svikna Sverige är en effekt av politiska beslut</w:t>
      </w:r>
      <w:r w:rsidRPr="00FC2616" w:rsidR="00AF6319">
        <w:rPr>
          <w:lang w:eastAsia="sv-SE"/>
        </w:rPr>
        <w:t xml:space="preserve"> – </w:t>
      </w:r>
      <w:r w:rsidRPr="00FC2616">
        <w:rPr>
          <w:lang w:eastAsia="sv-SE"/>
        </w:rPr>
        <w:t xml:space="preserve">det är </w:t>
      </w:r>
      <w:r w:rsidRPr="00FC2616" w:rsidR="00F1112E">
        <w:rPr>
          <w:lang w:eastAsia="sv-SE"/>
        </w:rPr>
        <w:t xml:space="preserve">politikerna och partierna </w:t>
      </w:r>
      <w:r w:rsidRPr="00FC2616">
        <w:rPr>
          <w:lang w:eastAsia="sv-SE"/>
        </w:rPr>
        <w:t xml:space="preserve">som svikit. Utvecklingen sedan </w:t>
      </w:r>
      <w:r w:rsidRPr="00FC2616" w:rsidR="00ED7FC0">
        <w:rPr>
          <w:lang w:eastAsia="sv-SE"/>
        </w:rPr>
        <w:t>19</w:t>
      </w:r>
      <w:r w:rsidRPr="00FC2616">
        <w:rPr>
          <w:lang w:eastAsia="sv-SE"/>
        </w:rPr>
        <w:t>90-talet, som drivits på av såväl socialdemokratiskt ledda som borgerliga regeringar har slagit hårt mot delar av landet. Avregleringar och utförsäljning av offentlig verksamhet i kombinat</w:t>
      </w:r>
      <w:r w:rsidRPr="00FC2616" w:rsidR="007C6686">
        <w:rPr>
          <w:lang w:eastAsia="sv-SE"/>
        </w:rPr>
        <w:t>io</w:t>
      </w:r>
      <w:r w:rsidRPr="00FC2616">
        <w:rPr>
          <w:lang w:eastAsia="sv-SE"/>
        </w:rPr>
        <w:t>n med en övertro på marknads</w:t>
      </w:r>
      <w:r w:rsidR="00DF05B5">
        <w:rPr>
          <w:lang w:eastAsia="sv-SE"/>
        </w:rPr>
        <w:softHyphen/>
      </w:r>
      <w:r w:rsidRPr="00FC2616">
        <w:rPr>
          <w:lang w:eastAsia="sv-SE"/>
        </w:rPr>
        <w:t>lösning</w:t>
      </w:r>
      <w:r w:rsidRPr="00FC2616" w:rsidR="009A2F65">
        <w:rPr>
          <w:lang w:eastAsia="sv-SE"/>
        </w:rPr>
        <w:t>ar</w:t>
      </w:r>
      <w:r w:rsidRPr="00FC2616">
        <w:rPr>
          <w:lang w:eastAsia="sv-SE"/>
        </w:rPr>
        <w:t xml:space="preserve"> har flyttat arbetstillfällen från glesbygd och förorter. Urholkning av trygghets</w:t>
      </w:r>
      <w:r w:rsidR="00DF05B5">
        <w:rPr>
          <w:lang w:eastAsia="sv-SE"/>
        </w:rPr>
        <w:softHyphen/>
      </w:r>
      <w:r w:rsidRPr="00FC2616">
        <w:rPr>
          <w:lang w:eastAsia="sv-SE"/>
        </w:rPr>
        <w:t>systemen har minskat individuella inkomster och kommunala skatteintäkter samt ökat kommunernas utgifter för försörjningsstöd i landets fattigaste kommuner. Under samma period har omfattande statliga skattesänkningar gynnat invånarna i landets rikaste kommuner.</w:t>
      </w:r>
    </w:p>
    <w:p w:rsidRPr="00FC2616" w:rsidR="00953843" w:rsidP="00B50CBA" w:rsidRDefault="00A556C5" w14:paraId="0EAD7D53" w14:textId="6036A9BF">
      <w:pPr>
        <w:pStyle w:val="Rubrik3numrerat"/>
      </w:pPr>
      <w:bookmarkStart w:name="_Toc149814510" w:id="7"/>
      <w:r w:rsidRPr="00FC2616">
        <w:t>Den</w:t>
      </w:r>
      <w:r w:rsidRPr="00FC2616" w:rsidR="00953843">
        <w:t xml:space="preserve"> negativa arbetslinjen</w:t>
      </w:r>
      <w:bookmarkEnd w:id="7"/>
    </w:p>
    <w:p w:rsidRPr="00FC2616" w:rsidR="00A556C5" w:rsidP="00156570" w:rsidRDefault="00A556C5" w14:paraId="2C371F5C" w14:textId="79DBF11A">
      <w:pPr>
        <w:pStyle w:val="Normalutanindragellerluft"/>
        <w:rPr>
          <w:lang w:eastAsia="sv-SE"/>
        </w:rPr>
      </w:pPr>
      <w:r w:rsidRPr="00FC2616">
        <w:rPr>
          <w:lang w:eastAsia="sv-SE"/>
        </w:rPr>
        <w:t xml:space="preserve">Den politik som har skapat dagens situation kan beskrivas som den negativa arbetslinjen – föreställningen </w:t>
      </w:r>
      <w:r w:rsidR="005A383B">
        <w:rPr>
          <w:lang w:eastAsia="sv-SE"/>
        </w:rPr>
        <w:t xml:space="preserve">om </w:t>
      </w:r>
      <w:r w:rsidRPr="00FC2616">
        <w:rPr>
          <w:lang w:eastAsia="sv-SE"/>
        </w:rPr>
        <w:t>att fler ska komma i arbete genom att försvåra livet för de</w:t>
      </w:r>
      <w:r w:rsidR="005A383B">
        <w:rPr>
          <w:lang w:eastAsia="sv-SE"/>
        </w:rPr>
        <w:t>m</w:t>
      </w:r>
      <w:r w:rsidRPr="00FC2616">
        <w:rPr>
          <w:lang w:eastAsia="sv-SE"/>
        </w:rPr>
        <w:t xml:space="preserve"> som inte arbetar. Det krävs politiska beslut för att vända den utveckling som resulterat i att delar av landet har sämre förutsättningar att skapa goda levnadsvillkor för sina invånare. Det krävs en positiv arbetslinje som erbjuder trygghet och en väg tillbaka till arbete för den som inte kan arbeta och omställningsmöjligheter när arbetsmarknaden utvecklas och förändras. </w:t>
      </w:r>
    </w:p>
    <w:p w:rsidRPr="00FC2616" w:rsidR="00A556C5" w:rsidP="00A556C5" w:rsidRDefault="00A556C5" w14:paraId="5196E82E" w14:textId="1A04175A">
      <w:pPr>
        <w:rPr>
          <w:lang w:eastAsia="sv-SE"/>
        </w:rPr>
      </w:pPr>
      <w:r w:rsidRPr="00FC2616">
        <w:rPr>
          <w:lang w:eastAsia="sv-SE"/>
        </w:rPr>
        <w:t xml:space="preserve">Vårt gemensamma samhälle vilar på att så många som möjligt vill, kan och får delta på arbetsmarknaden </w:t>
      </w:r>
      <w:r w:rsidRPr="00FC2616" w:rsidR="00482093">
        <w:rPr>
          <w:lang w:eastAsia="sv-SE"/>
        </w:rPr>
        <w:t xml:space="preserve">men det </w:t>
      </w:r>
      <w:r w:rsidRPr="00FC2616">
        <w:rPr>
          <w:lang w:eastAsia="sv-SE"/>
        </w:rPr>
        <w:t>är stor skillnad på sysselsättningsgraden mellan olika delar av landet. För att åstadkomma en högre sysselsättningsgrad krävs goda förutsättningar för investeringar och företagande i hela landet tillsammans med en aktiv arbets</w:t>
      </w:r>
      <w:r w:rsidR="006E0CE2">
        <w:rPr>
          <w:lang w:eastAsia="sv-SE"/>
        </w:rPr>
        <w:softHyphen/>
      </w:r>
      <w:r w:rsidRPr="00FC2616">
        <w:rPr>
          <w:lang w:eastAsia="sv-SE"/>
        </w:rPr>
        <w:t xml:space="preserve">marknads- och utbildningspolitik som bidrar till att arbetskraften har den kompetens som efterfrågas. </w:t>
      </w:r>
    </w:p>
    <w:p w:rsidRPr="00FC2616" w:rsidR="00BE0B96" w:rsidP="007B74D5" w:rsidRDefault="00A556C5" w14:paraId="5F76CFE6" w14:textId="159F17FD">
      <w:pPr>
        <w:rPr>
          <w:lang w:eastAsia="sv-SE"/>
        </w:rPr>
      </w:pPr>
      <w:r w:rsidRPr="00FC2616">
        <w:rPr>
          <w:lang w:eastAsia="sv-SE"/>
        </w:rPr>
        <w:t>Sysselsättningsgraden i respektive region bestäms av andelen av innevånarna som är i arbetsför ålder (15–74</w:t>
      </w:r>
      <w:r w:rsidR="002D5558">
        <w:rPr>
          <w:lang w:eastAsia="sv-SE"/>
        </w:rPr>
        <w:t> </w:t>
      </w:r>
      <w:r w:rsidRPr="00FC2616">
        <w:rPr>
          <w:lang w:eastAsia="sv-SE"/>
        </w:rPr>
        <w:t>år)</w:t>
      </w:r>
      <w:r w:rsidR="002D5558">
        <w:rPr>
          <w:lang w:eastAsia="sv-SE"/>
        </w:rPr>
        <w:t xml:space="preserve"> samt av</w:t>
      </w:r>
      <w:r w:rsidRPr="00FC2616">
        <w:rPr>
          <w:lang w:eastAsia="sv-SE"/>
        </w:rPr>
        <w:t xml:space="preserve"> hur stor del av de</w:t>
      </w:r>
      <w:r w:rsidRPr="00FC2616" w:rsidR="002163D7">
        <w:rPr>
          <w:lang w:eastAsia="sv-SE"/>
        </w:rPr>
        <w:t>m</w:t>
      </w:r>
      <w:r w:rsidRPr="00FC2616">
        <w:rPr>
          <w:lang w:eastAsia="sv-SE"/>
        </w:rPr>
        <w:t xml:space="preserve"> som deltar på arbetsmarknaden och sedan faktiskt också får ett arbete.</w:t>
      </w:r>
    </w:p>
    <w:p w:rsidRPr="00FC2616" w:rsidR="00BE0B96" w:rsidP="00E00E08" w:rsidRDefault="00BE0B96" w14:paraId="1E371F50" w14:textId="7CC7FBA3">
      <w:pPr>
        <w:pStyle w:val="Tabellrubrik"/>
      </w:pPr>
      <w:r w:rsidRPr="00FC2616">
        <w:lastRenderedPageBreak/>
        <w:t xml:space="preserve">Figur </w:t>
      </w:r>
      <w:r w:rsidRPr="00FC2616" w:rsidR="00D52509">
        <w:t>3</w:t>
      </w:r>
      <w:r w:rsidRPr="00FC2616">
        <w:t xml:space="preserve"> Sysselsatta i % av befolkningen </w:t>
      </w:r>
      <w:r w:rsidR="004B0189">
        <w:t xml:space="preserve">som är </w:t>
      </w:r>
      <w:r w:rsidRPr="00FC2616">
        <w:t>15</w:t>
      </w:r>
      <w:r w:rsidRPr="00FC2616" w:rsidR="00443447">
        <w:t>–</w:t>
      </w:r>
      <w:r w:rsidRPr="00FC2616">
        <w:t>74 år, per län</w:t>
      </w:r>
      <w:r w:rsidR="004B0189">
        <w:t>,</w:t>
      </w:r>
      <w:r w:rsidRPr="00FC2616" w:rsidR="0035261B">
        <w:t xml:space="preserve"> 2021</w:t>
      </w:r>
    </w:p>
    <w:p w:rsidRPr="00FC2616" w:rsidR="00110498" w:rsidP="00E00E08" w:rsidRDefault="00110498" w14:paraId="50B155A1" w14:textId="69672CB2">
      <w:pPr>
        <w:pStyle w:val="Normalutanindragellerluft"/>
        <w:rPr>
          <w:lang w:eastAsia="sv-SE"/>
        </w:rPr>
      </w:pPr>
      <w:r w:rsidRPr="00FC2616">
        <w:rPr>
          <w:noProof/>
        </w:rPr>
        <w:drawing>
          <wp:inline distT="0" distB="0" distL="0" distR="0" wp14:anchorId="2567A549" wp14:editId="604C0EF0">
            <wp:extent cx="4895850" cy="3114675"/>
            <wp:effectExtent l="0" t="0" r="0" b="9525"/>
            <wp:docPr id="3" name="Diagram 3" descr="">
              <a:extLst xmlns:a="http://schemas.openxmlformats.org/drawingml/2006/main">
                <a:ext uri="{FF2B5EF4-FFF2-40B4-BE49-F238E27FC236}">
                  <a16:creationId xmlns:a16="http://schemas.microsoft.com/office/drawing/2014/main" id="{45FE85BB-1E5F-4912-88E3-827B054347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64447D" w:rsidR="002163D7" w:rsidP="0064447D" w:rsidRDefault="002163D7" w14:paraId="046BDD41" w14:textId="2339BADB">
      <w:pPr>
        <w:pStyle w:val="Klla"/>
      </w:pPr>
      <w:r w:rsidRPr="0064447D">
        <w:t xml:space="preserve">Källa: </w:t>
      </w:r>
      <w:r w:rsidRPr="0064447D" w:rsidR="007A63DC">
        <w:t>SCB, AKU</w:t>
      </w:r>
      <w:r w:rsidRPr="0064447D" w:rsidR="00EC7BBF">
        <w:t>.</w:t>
      </w:r>
    </w:p>
    <w:p w:rsidRPr="00FC2616" w:rsidR="007A61E1" w:rsidP="00135A19" w:rsidRDefault="007A61E1" w14:paraId="214044F7" w14:textId="5DAF5059">
      <w:pPr>
        <w:pStyle w:val="Normalutanindragellerluft"/>
        <w:spacing w:before="150"/>
        <w:rPr>
          <w:lang w:eastAsia="sv-SE"/>
        </w:rPr>
      </w:pPr>
      <w:r w:rsidRPr="00FC2616">
        <w:rPr>
          <w:lang w:eastAsia="sv-SE"/>
        </w:rPr>
        <w:t xml:space="preserve">Lägre arbetskraftsdeltagande leder till lägre skatteintäkter för kommunerna. Lägre ersättningsnivåer i trygghetssystemen ger också lägre skatteintäkter. När de statliga trygghetssystemen inte räcker till </w:t>
      </w:r>
      <w:r w:rsidRPr="00FC2616" w:rsidR="00297F9F">
        <w:rPr>
          <w:lang w:eastAsia="sv-SE"/>
        </w:rPr>
        <w:t>ökar</w:t>
      </w:r>
      <w:r w:rsidRPr="00FC2616">
        <w:rPr>
          <w:lang w:eastAsia="sv-SE"/>
        </w:rPr>
        <w:t xml:space="preserve"> kostnaderna </w:t>
      </w:r>
      <w:r w:rsidR="00152664">
        <w:rPr>
          <w:lang w:eastAsia="sv-SE"/>
        </w:rPr>
        <w:t>för</w:t>
      </w:r>
      <w:r w:rsidRPr="00FC2616">
        <w:rPr>
          <w:lang w:eastAsia="sv-SE"/>
        </w:rPr>
        <w:t xml:space="preserve"> kommunerna, bl</w:t>
      </w:r>
      <w:r w:rsidRPr="00FC2616" w:rsidR="00921E10">
        <w:rPr>
          <w:lang w:eastAsia="sv-SE"/>
        </w:rPr>
        <w:t>.a.</w:t>
      </w:r>
      <w:r w:rsidRPr="00FC2616">
        <w:rPr>
          <w:lang w:eastAsia="sv-SE"/>
        </w:rPr>
        <w:t xml:space="preserve"> i form av ökade </w:t>
      </w:r>
      <w:r w:rsidRPr="00FC2616" w:rsidR="00297F9F">
        <w:rPr>
          <w:lang w:eastAsia="sv-SE"/>
        </w:rPr>
        <w:t>utgifter</w:t>
      </w:r>
      <w:r w:rsidRPr="00FC2616">
        <w:rPr>
          <w:lang w:eastAsia="sv-SE"/>
        </w:rPr>
        <w:t xml:space="preserve"> för ekonomiskt bistånd. Dessa ökade kostnader tränger undan satsningar på den offentliga service som kommunerna erbjuder sina medborgare.</w:t>
      </w:r>
    </w:p>
    <w:p w:rsidRPr="00FC2616" w:rsidR="007A61E1" w:rsidP="007A61E1" w:rsidRDefault="007A61E1" w14:paraId="2BEB48E5" w14:textId="065CF224">
      <w:pPr>
        <w:rPr>
          <w:lang w:eastAsia="sv-SE"/>
        </w:rPr>
      </w:pPr>
      <w:r w:rsidRPr="00FC2616">
        <w:rPr>
          <w:lang w:eastAsia="sv-SE"/>
        </w:rPr>
        <w:t>De senaste årtiondena har det offentliga dragit sig tillbaka från landsbygd och förorter. I slutrapporten som den parlamentariska landsbygdskommittén lämnade 2017 konstaterar man att de statliga arbetsställena minskade i alla tätortsstorlekar under perioden 2008</w:t>
      </w:r>
      <w:r w:rsidRPr="00FC2616" w:rsidR="00921E10">
        <w:rPr>
          <w:lang w:eastAsia="sv-SE"/>
        </w:rPr>
        <w:t>–</w:t>
      </w:r>
      <w:r w:rsidRPr="00FC2616">
        <w:rPr>
          <w:lang w:eastAsia="sv-SE"/>
        </w:rPr>
        <w:t>2014 och i absoluta tal mest i de minsta tätorterna. Kommittén konstaterar vidare att staten har dragit sig tillbaka från landsbygderna och allt mer koncentrerat verksamheten till tätorter och större städer.</w:t>
      </w:r>
      <w:r w:rsidRPr="00FC2616">
        <w:rPr>
          <w:rStyle w:val="Fotnotsreferens"/>
          <w:lang w:eastAsia="sv-SE"/>
        </w:rPr>
        <w:footnoteReference w:id="8"/>
      </w:r>
    </w:p>
    <w:p w:rsidRPr="00FC2616" w:rsidR="002163D7" w:rsidP="007A61E1" w:rsidRDefault="007A61E1" w14:paraId="4785C228" w14:textId="75A23DB8">
      <w:pPr>
        <w:rPr>
          <w:lang w:eastAsia="sv-SE"/>
        </w:rPr>
      </w:pPr>
      <w:r w:rsidRPr="00FC2616">
        <w:rPr>
          <w:lang w:eastAsia="sv-SE"/>
        </w:rPr>
        <w:t xml:space="preserve">Samtidigt har den politik som </w:t>
      </w:r>
      <w:r w:rsidRPr="00FC2616" w:rsidR="009626FA">
        <w:rPr>
          <w:lang w:eastAsia="sv-SE"/>
        </w:rPr>
        <w:t xml:space="preserve">tog form under </w:t>
      </w:r>
      <w:r w:rsidR="001878BB">
        <w:rPr>
          <w:lang w:eastAsia="sv-SE"/>
        </w:rPr>
        <w:t>A</w:t>
      </w:r>
      <w:r w:rsidRPr="00FC2616">
        <w:rPr>
          <w:lang w:eastAsia="sv-SE"/>
        </w:rPr>
        <w:t xml:space="preserve">lliansens </w:t>
      </w:r>
      <w:r w:rsidRPr="00FC2616" w:rsidR="009626FA">
        <w:rPr>
          <w:lang w:eastAsia="sv-SE"/>
        </w:rPr>
        <w:t xml:space="preserve">negativa </w:t>
      </w:r>
      <w:r w:rsidRPr="00FC2616">
        <w:rPr>
          <w:lang w:eastAsia="sv-SE"/>
        </w:rPr>
        <w:t xml:space="preserve">arbetslinje, men även </w:t>
      </w:r>
      <w:r w:rsidR="001878BB">
        <w:rPr>
          <w:lang w:eastAsia="sv-SE"/>
        </w:rPr>
        <w:t xml:space="preserve">har </w:t>
      </w:r>
      <w:r w:rsidRPr="00FC2616" w:rsidR="0004211D">
        <w:rPr>
          <w:lang w:eastAsia="sv-SE"/>
        </w:rPr>
        <w:t xml:space="preserve">förts </w:t>
      </w:r>
      <w:r w:rsidRPr="00FC2616" w:rsidR="009626FA">
        <w:rPr>
          <w:lang w:eastAsia="sv-SE"/>
        </w:rPr>
        <w:t xml:space="preserve">vidare </w:t>
      </w:r>
      <w:r w:rsidRPr="00FC2616">
        <w:rPr>
          <w:lang w:eastAsia="sv-SE"/>
        </w:rPr>
        <w:t>av socialdemokratiskt ledda regeringar, gynnat höginkomsttagare och därmed höginkomstkommuner på bekostnad av låginkomsttagare och låginkomst</w:t>
      </w:r>
      <w:r w:rsidR="006E0CE2">
        <w:rPr>
          <w:lang w:eastAsia="sv-SE"/>
        </w:rPr>
        <w:softHyphen/>
      </w:r>
      <w:r w:rsidRPr="00FC2616">
        <w:rPr>
          <w:lang w:eastAsia="sv-SE"/>
        </w:rPr>
        <w:t>tagarkommuner. Jobbskatteavdragen, den slopade arvsskatten, nedskärningar i sjuk</w:t>
      </w:r>
      <w:r w:rsidR="006E0CE2">
        <w:rPr>
          <w:lang w:eastAsia="sv-SE"/>
        </w:rPr>
        <w:softHyphen/>
      </w:r>
      <w:r w:rsidRPr="00FC2616">
        <w:rPr>
          <w:lang w:eastAsia="sv-SE"/>
        </w:rPr>
        <w:t>försäkringen, den försämrade a-kassan, de omfattande sparkrav</w:t>
      </w:r>
      <w:r w:rsidR="00B330C5">
        <w:rPr>
          <w:lang w:eastAsia="sv-SE"/>
        </w:rPr>
        <w:t>en</w:t>
      </w:r>
      <w:r w:rsidRPr="00FC2616">
        <w:rPr>
          <w:lang w:eastAsia="sv-SE"/>
        </w:rPr>
        <w:t xml:space="preserve"> </w:t>
      </w:r>
      <w:r w:rsidR="00B330C5">
        <w:rPr>
          <w:lang w:eastAsia="sv-SE"/>
        </w:rPr>
        <w:t>inom</w:t>
      </w:r>
      <w:r w:rsidRPr="00FC2616">
        <w:rPr>
          <w:lang w:eastAsia="sv-SE"/>
        </w:rPr>
        <w:t xml:space="preserve"> välfärden och nedmonteringen av arbetsmarknadspolitiken är några framträdande exempel på denna utveckling. </w:t>
      </w:r>
      <w:r w:rsidRPr="00FC2616" w:rsidR="0004211D">
        <w:rPr>
          <w:lang w:eastAsia="sv-SE"/>
        </w:rPr>
        <w:t>Figuren nedan visar hur ojämnt jobbskatteavdragen</w:t>
      </w:r>
      <w:r w:rsidRPr="00FC2616" w:rsidR="00C46923">
        <w:rPr>
          <w:lang w:eastAsia="sv-SE"/>
        </w:rPr>
        <w:t xml:space="preserve"> samt</w:t>
      </w:r>
      <w:r w:rsidRPr="00FC2616" w:rsidR="0004211D">
        <w:rPr>
          <w:lang w:eastAsia="sv-SE"/>
        </w:rPr>
        <w:t xml:space="preserve"> </w:t>
      </w:r>
      <w:r w:rsidR="00497417">
        <w:rPr>
          <w:lang w:eastAsia="sv-SE"/>
        </w:rPr>
        <w:t>rut</w:t>
      </w:r>
      <w:r w:rsidRPr="00FC2616" w:rsidR="0004211D">
        <w:rPr>
          <w:lang w:eastAsia="sv-SE"/>
        </w:rPr>
        <w:t xml:space="preserve">- och </w:t>
      </w:r>
      <w:r w:rsidR="00497417">
        <w:rPr>
          <w:lang w:eastAsia="sv-SE"/>
        </w:rPr>
        <w:t>rot</w:t>
      </w:r>
      <w:r w:rsidRPr="00FC2616" w:rsidR="0004211D">
        <w:rPr>
          <w:lang w:eastAsia="sv-SE"/>
        </w:rPr>
        <w:t>avdrag fördelar sig på boende i olika kommuner.</w:t>
      </w:r>
    </w:p>
    <w:p w:rsidRPr="007C1500" w:rsidR="007A61E1" w:rsidP="007C1500" w:rsidRDefault="007A61E1" w14:paraId="362AA2B9" w14:textId="2B86FC8C">
      <w:pPr>
        <w:pStyle w:val="Tabellrubrik"/>
      </w:pPr>
      <w:r w:rsidRPr="007C1500">
        <w:lastRenderedPageBreak/>
        <w:t xml:space="preserve">Figur </w:t>
      </w:r>
      <w:r w:rsidRPr="007C1500" w:rsidR="00D52509">
        <w:t>4</w:t>
      </w:r>
      <w:r w:rsidRPr="007C1500">
        <w:t xml:space="preserve"> Skattereduktioner som andel (%) av riket för 200</w:t>
      </w:r>
      <w:r w:rsidRPr="007C1500" w:rsidR="00665978">
        <w:t>7</w:t>
      </w:r>
      <w:r w:rsidRPr="007C1500">
        <w:t xml:space="preserve">–2018, i kommuner uppdelat på </w:t>
      </w:r>
      <w:proofErr w:type="spellStart"/>
      <w:r w:rsidRPr="007C1500">
        <w:t>decilgrupper</w:t>
      </w:r>
      <w:proofErr w:type="spellEnd"/>
    </w:p>
    <w:p w:rsidRPr="00FC2616" w:rsidR="007A61E1" w:rsidP="00E00E08" w:rsidRDefault="007A61E1" w14:paraId="7DE71259" w14:textId="587EE63E">
      <w:pPr>
        <w:pStyle w:val="Normalutanindragellerluft"/>
        <w:rPr>
          <w:lang w:eastAsia="sv-SE"/>
        </w:rPr>
      </w:pPr>
      <w:r w:rsidRPr="00FC2616">
        <w:rPr>
          <w:noProof/>
        </w:rPr>
        <w:drawing>
          <wp:inline distT="0" distB="0" distL="0" distR="0" wp14:anchorId="614E079A" wp14:editId="24F3D342">
            <wp:extent cx="5400040" cy="2888189"/>
            <wp:effectExtent l="0" t="0" r="10160" b="7620"/>
            <wp:docPr id="4" name="Diagram 4" descr="">
              <a:extLst xmlns:a="http://schemas.openxmlformats.org/drawingml/2006/main">
                <a:ext uri="{FF2B5EF4-FFF2-40B4-BE49-F238E27FC236}">
                  <a16:creationId xmlns:a16="http://schemas.microsoft.com/office/drawing/2014/main" id="{CAFBFFAE-13F1-49E7-B814-FF33522CB5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7C1500" w:rsidR="00A63A6D" w:rsidP="007C1500" w:rsidRDefault="009626FA" w14:paraId="6905679B" w14:textId="2A4D0596">
      <w:pPr>
        <w:pStyle w:val="Klla"/>
      </w:pPr>
      <w:r w:rsidRPr="007C1500">
        <w:t xml:space="preserve">Källa: </w:t>
      </w:r>
      <w:r w:rsidRPr="007C1500" w:rsidR="00A63A6D">
        <w:t>Eriksson (2021)</w:t>
      </w:r>
      <w:r w:rsidRPr="007C1500" w:rsidR="00497417">
        <w:t>.</w:t>
      </w:r>
      <w:r w:rsidRPr="007C1500" w:rsidR="00A63A6D">
        <w:t xml:space="preserve"> Regionalt utfall av hushållens beskattning 2000</w:t>
      </w:r>
      <w:r w:rsidRPr="007C1500" w:rsidR="00067B69">
        <w:t>–</w:t>
      </w:r>
      <w:r w:rsidRPr="007C1500" w:rsidR="00A63A6D">
        <w:t>2018</w:t>
      </w:r>
      <w:r w:rsidRPr="007C1500" w:rsidR="00067B69">
        <w:t>.</w:t>
      </w:r>
      <w:r w:rsidRPr="007C1500" w:rsidR="00A63A6D">
        <w:t xml:space="preserve"> En analys av hushållens statliga skatter och reduktioner</w:t>
      </w:r>
      <w:r w:rsidRPr="007C1500" w:rsidR="00665978">
        <w:t xml:space="preserve"> (ROT 2004</w:t>
      </w:r>
      <w:r w:rsidRPr="007C1500" w:rsidR="00042D83">
        <w:t>–</w:t>
      </w:r>
      <w:r w:rsidRPr="007C1500" w:rsidR="00665978">
        <w:t>2018)</w:t>
      </w:r>
      <w:r w:rsidRPr="007C1500" w:rsidR="00497417">
        <w:t>.</w:t>
      </w:r>
    </w:p>
    <w:p w:rsidRPr="00FC2616" w:rsidR="007A61E1" w:rsidP="007C1500" w:rsidRDefault="007A61E1" w14:paraId="4F948129" w14:textId="2AEB3038">
      <w:pPr>
        <w:pStyle w:val="Normalutanindragellerluft"/>
        <w:spacing w:before="150"/>
        <w:rPr>
          <w:lang w:eastAsia="sv-SE"/>
        </w:rPr>
      </w:pPr>
      <w:r w:rsidRPr="00FC2616">
        <w:rPr>
          <w:lang w:eastAsia="sv-SE"/>
        </w:rPr>
        <w:t>Dessa skattesänkningar genomfördes i samband med, och finansierades genom, kraftiga nedskärningar av trygghetssystemen. När ersättningarna från a-kassa</w:t>
      </w:r>
      <w:r w:rsidRPr="00FC2616" w:rsidR="00BB2112">
        <w:rPr>
          <w:lang w:eastAsia="sv-SE"/>
        </w:rPr>
        <w:t>n</w:t>
      </w:r>
      <w:r w:rsidRPr="00FC2616">
        <w:rPr>
          <w:lang w:eastAsia="sv-SE"/>
        </w:rPr>
        <w:t>, sjukförsäkring</w:t>
      </w:r>
      <w:r w:rsidRPr="00FC2616" w:rsidR="00BB2112">
        <w:rPr>
          <w:lang w:eastAsia="sv-SE"/>
        </w:rPr>
        <w:t>en</w:t>
      </w:r>
      <w:r w:rsidRPr="00FC2616">
        <w:rPr>
          <w:lang w:eastAsia="sv-SE"/>
        </w:rPr>
        <w:t xml:space="preserve"> och pension</w:t>
      </w:r>
      <w:r w:rsidRPr="00FC2616" w:rsidR="00BB2112">
        <w:rPr>
          <w:lang w:eastAsia="sv-SE"/>
        </w:rPr>
        <w:t>en</w:t>
      </w:r>
      <w:r w:rsidRPr="00FC2616">
        <w:rPr>
          <w:lang w:eastAsia="sv-SE"/>
        </w:rPr>
        <w:t xml:space="preserve"> minskar sjunker inkomsterna för invånarna, vilket blir extra tydligt i kommuner där en stor andel uppbär dessa ersättningar. </w:t>
      </w:r>
      <w:r w:rsidRPr="00FC2616" w:rsidR="009B0BE5">
        <w:rPr>
          <w:lang w:eastAsia="sv-SE"/>
        </w:rPr>
        <w:t>Därmed minskar köpkraften</w:t>
      </w:r>
      <w:r w:rsidR="00CA278D">
        <w:rPr>
          <w:lang w:eastAsia="sv-SE"/>
        </w:rPr>
        <w:t>,</w:t>
      </w:r>
      <w:r w:rsidRPr="00FC2616" w:rsidR="009B0BE5">
        <w:rPr>
          <w:lang w:eastAsia="sv-SE"/>
        </w:rPr>
        <w:t xml:space="preserve"> vilket påverkar den lokala näringsverksamheten. </w:t>
      </w:r>
      <w:r w:rsidRPr="00FC2616">
        <w:rPr>
          <w:lang w:eastAsia="sv-SE"/>
        </w:rPr>
        <w:t>Även skatteintäkterna i dessa kommuner sjunker. Samtidigt ökar behoven av försörjningsstöd</w:t>
      </w:r>
      <w:r w:rsidR="00CA278D">
        <w:rPr>
          <w:lang w:eastAsia="sv-SE"/>
        </w:rPr>
        <w:t>,</w:t>
      </w:r>
      <w:r w:rsidRPr="00FC2616">
        <w:rPr>
          <w:lang w:eastAsia="sv-SE"/>
        </w:rPr>
        <w:t xml:space="preserve"> vilket innebär ökade kostnader för kommunerna.</w:t>
      </w:r>
    </w:p>
    <w:p w:rsidRPr="00FC2616" w:rsidR="007A61E1" w:rsidP="007A61E1" w:rsidRDefault="007A61E1" w14:paraId="1F2C7D65" w14:textId="6B9C8A40">
      <w:pPr>
        <w:rPr>
          <w:lang w:eastAsia="sv-SE"/>
        </w:rPr>
      </w:pPr>
      <w:r w:rsidRPr="00FC2616">
        <w:rPr>
          <w:lang w:eastAsia="sv-SE"/>
        </w:rPr>
        <w:t>Det finns olika uppgifter angående hur många som utförsäkrats och nu lever på försörjningsstöd. Uppskattningarna varierar mellan 18</w:t>
      </w:r>
      <w:r w:rsidRPr="00FC2616" w:rsidR="006B7FA2">
        <w:rPr>
          <w:lang w:eastAsia="sv-SE"/>
        </w:rPr>
        <w:t> </w:t>
      </w:r>
      <w:r w:rsidRPr="00FC2616">
        <w:rPr>
          <w:lang w:eastAsia="sv-SE"/>
        </w:rPr>
        <w:t>000 och drygt 27</w:t>
      </w:r>
      <w:r w:rsidRPr="00FC2616" w:rsidR="006B7FA2">
        <w:rPr>
          <w:lang w:eastAsia="sv-SE"/>
        </w:rPr>
        <w:t> </w:t>
      </w:r>
      <w:r w:rsidRPr="00FC2616">
        <w:rPr>
          <w:lang w:eastAsia="sv-SE"/>
        </w:rPr>
        <w:t>000 personer, beroende på hur man räknar. Den nationella samordnaren för en välfungerande sjuk</w:t>
      </w:r>
      <w:r w:rsidR="004C7B2E">
        <w:rPr>
          <w:lang w:eastAsia="sv-SE"/>
        </w:rPr>
        <w:softHyphen/>
      </w:r>
      <w:r w:rsidRPr="00FC2616">
        <w:rPr>
          <w:lang w:eastAsia="sv-SE"/>
        </w:rPr>
        <w:t xml:space="preserve">skrivningsprocess konstaterar att det sannolikt rör sig om en underskattning och att det kan handla om </w:t>
      </w:r>
      <w:r w:rsidRPr="00FC2616" w:rsidR="008D1A27">
        <w:rPr>
          <w:lang w:eastAsia="sv-SE"/>
        </w:rPr>
        <w:t>över 50</w:t>
      </w:r>
      <w:r w:rsidRPr="00FC2616" w:rsidR="006B7FA2">
        <w:rPr>
          <w:lang w:eastAsia="sv-SE"/>
        </w:rPr>
        <w:t> </w:t>
      </w:r>
      <w:r w:rsidRPr="00FC2616" w:rsidR="008D1A27">
        <w:rPr>
          <w:lang w:eastAsia="sv-SE"/>
        </w:rPr>
        <w:t>000</w:t>
      </w:r>
      <w:r w:rsidRPr="00FC2616">
        <w:rPr>
          <w:lang w:eastAsia="sv-SE"/>
        </w:rPr>
        <w:t xml:space="preserve"> människor.</w:t>
      </w:r>
      <w:r w:rsidRPr="00FC2616" w:rsidR="009B0BE5">
        <w:rPr>
          <w:rStyle w:val="Fotnotsreferens"/>
          <w:lang w:eastAsia="sv-SE"/>
        </w:rPr>
        <w:footnoteReference w:id="9"/>
      </w:r>
      <w:r w:rsidRPr="00FC2616">
        <w:rPr>
          <w:lang w:eastAsia="sv-SE"/>
        </w:rPr>
        <w:t xml:space="preserve"> I dessa fall tvingas alltså kommunerna stå för kostnader som staten bör ta. </w:t>
      </w:r>
    </w:p>
    <w:p w:rsidRPr="00FC2616" w:rsidR="007A61E1" w:rsidP="007A61E1" w:rsidRDefault="007A61E1" w14:paraId="08D3575F" w14:textId="6F709A21">
      <w:pPr>
        <w:rPr>
          <w:lang w:eastAsia="sv-SE"/>
        </w:rPr>
      </w:pPr>
      <w:r w:rsidRPr="00FC2616">
        <w:rPr>
          <w:lang w:eastAsia="sv-SE"/>
        </w:rPr>
        <w:t>Mellan början på 2000-talet och 2019 ökade kommunernas kostnader för ekono</w:t>
      </w:r>
      <w:r w:rsidR="004C7B2E">
        <w:rPr>
          <w:lang w:eastAsia="sv-SE"/>
        </w:rPr>
        <w:softHyphen/>
      </w:r>
      <w:r w:rsidRPr="00FC2616">
        <w:rPr>
          <w:lang w:eastAsia="sv-SE"/>
        </w:rPr>
        <w:t>miskt bistånd från drygt 8</w:t>
      </w:r>
      <w:r w:rsidR="00CA278D">
        <w:rPr>
          <w:lang w:eastAsia="sv-SE"/>
        </w:rPr>
        <w:t> </w:t>
      </w:r>
      <w:r w:rsidRPr="00FC2616">
        <w:rPr>
          <w:lang w:eastAsia="sv-SE"/>
        </w:rPr>
        <w:t xml:space="preserve">miljarder </w:t>
      </w:r>
      <w:r w:rsidRPr="00FC2616" w:rsidR="006B7FA2">
        <w:rPr>
          <w:lang w:eastAsia="sv-SE"/>
        </w:rPr>
        <w:t xml:space="preserve">kronor </w:t>
      </w:r>
      <w:r w:rsidRPr="00FC2616">
        <w:rPr>
          <w:lang w:eastAsia="sv-SE"/>
        </w:rPr>
        <w:t>till 12</w:t>
      </w:r>
      <w:r w:rsidR="00CA278D">
        <w:rPr>
          <w:lang w:eastAsia="sv-SE"/>
        </w:rPr>
        <w:t> </w:t>
      </w:r>
      <w:r w:rsidRPr="00FC2616">
        <w:rPr>
          <w:lang w:eastAsia="sv-SE"/>
        </w:rPr>
        <w:t xml:space="preserve">miljarder kronor. Enligt SKR finns det två huvudsakliga förklaringar till den ökade kommunala försörjningsbördan: </w:t>
      </w:r>
      <w:r w:rsidR="00CA278D">
        <w:rPr>
          <w:lang w:eastAsia="sv-SE"/>
        </w:rPr>
        <w:t>1</w:t>
      </w:r>
      <w:r w:rsidRPr="00FC2616">
        <w:rPr>
          <w:lang w:eastAsia="sv-SE"/>
        </w:rPr>
        <w:t>)</w:t>
      </w:r>
      <w:r w:rsidR="00CA278D">
        <w:rPr>
          <w:lang w:eastAsia="sv-SE"/>
        </w:rPr>
        <w:t> a</w:t>
      </w:r>
      <w:r w:rsidRPr="00FC2616">
        <w:rPr>
          <w:lang w:eastAsia="sv-SE"/>
        </w:rPr>
        <w:t xml:space="preserve">tt arbetsmarknadspolitiken i högre grad blivit en kommunal angelägenhet och </w:t>
      </w:r>
      <w:r w:rsidR="00CA278D">
        <w:rPr>
          <w:lang w:eastAsia="sv-SE"/>
        </w:rPr>
        <w:t>2</w:t>
      </w:r>
      <w:r w:rsidRPr="00FC2616">
        <w:rPr>
          <w:lang w:eastAsia="sv-SE"/>
        </w:rPr>
        <w:t xml:space="preserve">) att många nyanlända slussas över till försörjningsstöd efter etablering. </w:t>
      </w:r>
    </w:p>
    <w:p w:rsidRPr="00FC2616" w:rsidR="007A61E1" w:rsidP="002A660E" w:rsidRDefault="002D7DBD" w14:paraId="2ECB9C86" w14:textId="13470481">
      <w:pPr>
        <w:rPr>
          <w:lang w:eastAsia="sv-SE"/>
        </w:rPr>
      </w:pPr>
      <w:r w:rsidRPr="00FC2616">
        <w:rPr>
          <w:lang w:eastAsia="sv-SE"/>
        </w:rPr>
        <w:t xml:space="preserve">Sambandet mellan kommunalt försörjningsstöd och arbetslöshet har förstärkts över tid, både när sambandet studeras isolerat och i relation till andra förklaringsvariabler (se figur </w:t>
      </w:r>
      <w:r w:rsidRPr="00FC2616" w:rsidR="00D52509">
        <w:rPr>
          <w:lang w:eastAsia="sv-SE"/>
        </w:rPr>
        <w:t>5</w:t>
      </w:r>
      <w:r w:rsidRPr="00FC2616">
        <w:rPr>
          <w:lang w:eastAsia="sv-SE"/>
        </w:rPr>
        <w:t>).</w:t>
      </w:r>
    </w:p>
    <w:p w:rsidRPr="00FC2616" w:rsidR="007A61E1" w:rsidP="00E00E08" w:rsidRDefault="007A61E1" w14:paraId="55C1A2D3" w14:textId="670290F4">
      <w:pPr>
        <w:pStyle w:val="Tabellrubrik"/>
        <w:rPr>
          <w:b w:val="0"/>
        </w:rPr>
      </w:pPr>
      <w:r w:rsidRPr="00FC2616">
        <w:lastRenderedPageBreak/>
        <w:t xml:space="preserve">Figur </w:t>
      </w:r>
      <w:r w:rsidRPr="00FC2616" w:rsidR="00D52509">
        <w:t>5</w:t>
      </w:r>
      <w:r w:rsidRPr="00FC2616">
        <w:t xml:space="preserve"> Årsvisa korrelationer mellan ekonomiskt bistånd per person och arbetslöshet respektive andel utlandsfödda i alla 290 kommuner 2000–2019 </w:t>
      </w:r>
    </w:p>
    <w:p w:rsidRPr="00FC2616" w:rsidR="007A61E1" w:rsidP="007A61E1" w:rsidRDefault="007A61E1" w14:paraId="06842BD8" w14:textId="47847F8E">
      <w:pPr>
        <w:ind w:firstLine="0"/>
        <w:rPr>
          <w:b/>
          <w:lang w:eastAsia="sv-SE"/>
        </w:rPr>
      </w:pPr>
      <w:r w:rsidRPr="00FC2616">
        <w:rPr>
          <w:rFonts w:ascii="Calibri" w:hAnsi="Calibri" w:eastAsia="Calibri"/>
          <w:noProof/>
        </w:rPr>
        <w:drawing>
          <wp:inline distT="0" distB="0" distL="0" distR="0" wp14:anchorId="60AC07DA" wp14:editId="42B61A4D">
            <wp:extent cx="4696097" cy="2991394"/>
            <wp:effectExtent l="0" t="0" r="15875" b="6350"/>
            <wp:docPr id="5" name="Diagram 5" descr="">
              <a:extLst xmlns:a="http://schemas.openxmlformats.org/drawingml/2006/main">
                <a:ext uri="{FF2B5EF4-FFF2-40B4-BE49-F238E27FC236}">
                  <a16:creationId xmlns:a16="http://schemas.microsoft.com/office/drawing/2014/main" id="{0D6AC9BA-6793-FD40-87B7-BFC5AEF73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7C1500" w:rsidR="007A61E1" w:rsidP="007C1500" w:rsidRDefault="007A61E1" w14:paraId="54407F52" w14:textId="2FB1B455">
      <w:pPr>
        <w:pStyle w:val="Klla"/>
      </w:pPr>
      <w:r w:rsidRPr="007C1500">
        <w:t>Källa: Socialstyrelsen och Arbetsförmedlingen</w:t>
      </w:r>
      <w:r w:rsidRPr="007C1500" w:rsidR="004035BC">
        <w:t>, i Eriksson (2021)</w:t>
      </w:r>
      <w:r w:rsidRPr="007C1500" w:rsidR="00451393">
        <w:t>, Kommunernas ökade kostnader för försörjningsstödet.</w:t>
      </w:r>
    </w:p>
    <w:p w:rsidRPr="00FC2616" w:rsidR="007A61E1" w:rsidP="007C1500" w:rsidRDefault="007A61E1" w14:paraId="00045B9F" w14:textId="540625F3">
      <w:pPr>
        <w:pStyle w:val="Normalutanindragellerluft"/>
        <w:spacing w:before="150"/>
        <w:rPr>
          <w:lang w:eastAsia="sv-SE"/>
        </w:rPr>
      </w:pPr>
      <w:r w:rsidRPr="00FC2616">
        <w:rPr>
          <w:lang w:eastAsia="sv-SE"/>
        </w:rPr>
        <w:t xml:space="preserve">Trots att två tredjedelar av mottagarna av försörjningsstöd är utlandsfödda har sambandet mellan kostnader </w:t>
      </w:r>
      <w:r w:rsidRPr="00FC2616" w:rsidR="00EB2647">
        <w:rPr>
          <w:lang w:eastAsia="sv-SE"/>
        </w:rPr>
        <w:t>per</w:t>
      </w:r>
      <w:r w:rsidR="00EB2647">
        <w:rPr>
          <w:lang w:eastAsia="sv-SE"/>
        </w:rPr>
        <w:t xml:space="preserve"> </w:t>
      </w:r>
      <w:r w:rsidRPr="00FC2616" w:rsidR="00EB2647">
        <w:rPr>
          <w:lang w:eastAsia="sv-SE"/>
        </w:rPr>
        <w:t xml:space="preserve">capita </w:t>
      </w:r>
      <w:r w:rsidRPr="00FC2616">
        <w:rPr>
          <w:lang w:eastAsia="sv-SE"/>
        </w:rPr>
        <w:t>för ekonomiskt bistånd och andelen utlands</w:t>
      </w:r>
      <w:r w:rsidR="00B42B36">
        <w:rPr>
          <w:lang w:eastAsia="sv-SE"/>
        </w:rPr>
        <w:softHyphen/>
      </w:r>
      <w:r w:rsidRPr="00FC2616">
        <w:rPr>
          <w:lang w:eastAsia="sv-SE"/>
        </w:rPr>
        <w:t>födda i respektive kommun försvagats över tid. Det talar inte nödvändigtvis emot SKR:s bild</w:t>
      </w:r>
      <w:r w:rsidRPr="00FC2616" w:rsidR="003D7243">
        <w:rPr>
          <w:lang w:eastAsia="sv-SE"/>
        </w:rPr>
        <w:t>,</w:t>
      </w:r>
      <w:r w:rsidRPr="00FC2616">
        <w:rPr>
          <w:lang w:eastAsia="sv-SE"/>
        </w:rPr>
        <w:t xml:space="preserve"> då gruppen utrikes födda är betydligt större än nyanlända. </w:t>
      </w:r>
      <w:r w:rsidRPr="00FC2616" w:rsidR="009B0BE5">
        <w:rPr>
          <w:lang w:eastAsia="sv-SE"/>
        </w:rPr>
        <w:t xml:space="preserve">Att nyanlända behöver försörjningsstöd beror i huvudsak på brister i den statliga etableringsersättningen som utgör ytterligare ett exempel på </w:t>
      </w:r>
      <w:r w:rsidR="00BF02C1">
        <w:rPr>
          <w:lang w:eastAsia="sv-SE"/>
        </w:rPr>
        <w:t>hur</w:t>
      </w:r>
      <w:r w:rsidRPr="00FC2616" w:rsidR="009B0BE5">
        <w:rPr>
          <w:lang w:eastAsia="sv-SE"/>
        </w:rPr>
        <w:t xml:space="preserve"> otillräckliga statliga system leder till ökade kostnader för landets kommuner.</w:t>
      </w:r>
    </w:p>
    <w:p w:rsidRPr="00FC2616" w:rsidR="003D7243" w:rsidP="00E00E08" w:rsidRDefault="003D7243" w14:paraId="6D91A491" w14:textId="222F7A86">
      <w:pPr>
        <w:rPr>
          <w:lang w:eastAsia="sv-SE"/>
        </w:rPr>
      </w:pPr>
      <w:r w:rsidRPr="00FC2616">
        <w:rPr>
          <w:lang w:eastAsia="sv-SE"/>
        </w:rPr>
        <w:t xml:space="preserve">Samtidigt har sambandet mellan försörjningsstöd och kommunala skatter gått från att vara negativt i början av 2000-talet till att bli positivt och öka kraftigt sedan omkring 2011 (se figur </w:t>
      </w:r>
      <w:r w:rsidRPr="00FC2616" w:rsidR="00D52509">
        <w:rPr>
          <w:lang w:eastAsia="sv-SE"/>
        </w:rPr>
        <w:t>6</w:t>
      </w:r>
      <w:r w:rsidRPr="00FC2616">
        <w:rPr>
          <w:lang w:eastAsia="sv-SE"/>
        </w:rPr>
        <w:t>).</w:t>
      </w:r>
    </w:p>
    <w:p w:rsidRPr="007C1500" w:rsidR="007A61E1" w:rsidP="007C1500" w:rsidRDefault="007A61E1" w14:paraId="68251116" w14:textId="6D563C79">
      <w:pPr>
        <w:pStyle w:val="Tabellrubrik"/>
      </w:pPr>
      <w:r w:rsidRPr="007C1500">
        <w:t xml:space="preserve">Figur </w:t>
      </w:r>
      <w:r w:rsidRPr="007C1500" w:rsidR="00D52509">
        <w:t>6</w:t>
      </w:r>
      <w:r w:rsidRPr="007C1500">
        <w:t xml:space="preserve"> Årsvisa korrelationer mellan ekonomiskt bistånd per person och kommunala skattenivåer i alla 290 kommuner 2000–2019 </w:t>
      </w:r>
    </w:p>
    <w:p w:rsidRPr="00FC2616" w:rsidR="007A61E1" w:rsidP="007A61E1" w:rsidRDefault="007A61E1" w14:paraId="284EFA1F" w14:textId="55A7212D">
      <w:pPr>
        <w:ind w:firstLine="0"/>
        <w:rPr>
          <w:lang w:eastAsia="sv-SE"/>
        </w:rPr>
      </w:pPr>
      <w:r w:rsidRPr="00FC2616">
        <w:rPr>
          <w:rFonts w:ascii="Calibri" w:hAnsi="Calibri" w:eastAsia="Calibri"/>
          <w:noProof/>
        </w:rPr>
        <w:drawing>
          <wp:inline distT="0" distB="0" distL="0" distR="0" wp14:anchorId="07B08F59" wp14:editId="1B77EE33">
            <wp:extent cx="4709449" cy="2891039"/>
            <wp:effectExtent l="0" t="0" r="15240" b="17780"/>
            <wp:docPr id="6" name="Diagram 6" descr="">
              <a:extLst xmlns:a="http://schemas.openxmlformats.org/drawingml/2006/main">
                <a:ext uri="{FF2B5EF4-FFF2-40B4-BE49-F238E27FC236}">
                  <a16:creationId xmlns:a16="http://schemas.microsoft.com/office/drawing/2014/main" id="{0D6AC9BA-6793-FD40-87B7-BFC5AEF73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7C1500" w:rsidR="00ED6D60" w:rsidP="007C1500" w:rsidRDefault="007A61E1" w14:paraId="307E609A" w14:textId="3F28CF2B">
      <w:pPr>
        <w:pStyle w:val="Klla"/>
      </w:pPr>
      <w:r w:rsidRPr="007C1500">
        <w:lastRenderedPageBreak/>
        <w:t>Källa: SCB och Socialstyrelsen</w:t>
      </w:r>
      <w:r w:rsidRPr="007C1500" w:rsidR="001443AC">
        <w:t xml:space="preserve"> </w:t>
      </w:r>
      <w:r w:rsidRPr="007C1500" w:rsidR="00ED6D60">
        <w:t>i Eriksson (2021)</w:t>
      </w:r>
      <w:r w:rsidRPr="007C1500" w:rsidR="00372C04">
        <w:t>.</w:t>
      </w:r>
      <w:r w:rsidRPr="007C1500" w:rsidR="00ED6D60">
        <w:t xml:space="preserve"> Kommunernas ökade kostnader för försörjningsstödet.</w:t>
      </w:r>
    </w:p>
    <w:p w:rsidRPr="00FC2616" w:rsidR="007A61E1" w:rsidP="007C1500" w:rsidRDefault="007A61E1" w14:paraId="19F92EF9" w14:textId="118A3C07">
      <w:pPr>
        <w:pStyle w:val="Normalutanindragellerluft"/>
        <w:spacing w:before="150"/>
        <w:rPr>
          <w:lang w:eastAsia="sv-SE"/>
        </w:rPr>
      </w:pPr>
      <w:r w:rsidRPr="00FC2616">
        <w:rPr>
          <w:lang w:eastAsia="sv-SE"/>
        </w:rPr>
        <w:t>Detta indikerar att kommunerna måste kompensera det statliga tillbakadragandet med höjda skatter. Det i sin tur bidrar till att invånarnas kostnad för kommunal service blir allt högre i den femtedel av kommuner</w:t>
      </w:r>
      <w:r w:rsidRPr="00FC2616" w:rsidR="009B0BE5">
        <w:rPr>
          <w:lang w:eastAsia="sv-SE"/>
        </w:rPr>
        <w:t>na</w:t>
      </w:r>
      <w:r w:rsidRPr="00FC2616">
        <w:rPr>
          <w:lang w:eastAsia="sv-SE"/>
        </w:rPr>
        <w:t xml:space="preserve"> som beräknas behöva öka de ekonomiska bidragen. </w:t>
      </w:r>
      <w:r w:rsidRPr="00FC2616" w:rsidR="009B0BE5">
        <w:rPr>
          <w:lang w:eastAsia="sv-SE"/>
        </w:rPr>
        <w:t xml:space="preserve">Den högre kostnaden innebär här högre kommunalskatt. </w:t>
      </w:r>
    </w:p>
    <w:p w:rsidRPr="00FC2616" w:rsidR="007129E8" w:rsidP="007129E8" w:rsidRDefault="007A61E1" w14:paraId="3B179F7E" w14:textId="40E1DBFB">
      <w:pPr>
        <w:rPr>
          <w:lang w:eastAsia="sv-SE"/>
        </w:rPr>
      </w:pPr>
      <w:r w:rsidRPr="00FC2616">
        <w:rPr>
          <w:lang w:eastAsia="sv-SE"/>
        </w:rPr>
        <w:t>I rena kostnader innebär detta att en procentenhets ökad arbetslöshet i en kommun motsvara</w:t>
      </w:r>
      <w:r w:rsidRPr="00FC2616" w:rsidR="009B0BE5">
        <w:rPr>
          <w:lang w:eastAsia="sv-SE"/>
        </w:rPr>
        <w:t>de</w:t>
      </w:r>
      <w:r w:rsidRPr="00FC2616">
        <w:rPr>
          <w:lang w:eastAsia="sv-SE"/>
        </w:rPr>
        <w:t xml:space="preserve"> mellan 70 och 120 kronor</w:t>
      </w:r>
      <w:r w:rsidR="00372C04">
        <w:rPr>
          <w:lang w:eastAsia="sv-SE"/>
        </w:rPr>
        <w:t xml:space="preserve"> i</w:t>
      </w:r>
      <w:r w:rsidRPr="00FC2616">
        <w:rPr>
          <w:lang w:eastAsia="sv-SE"/>
        </w:rPr>
        <w:t xml:space="preserve"> ökade kostnader </w:t>
      </w:r>
      <w:r w:rsidR="00372C04">
        <w:rPr>
          <w:lang w:eastAsia="sv-SE"/>
        </w:rPr>
        <w:t>för</w:t>
      </w:r>
      <w:r w:rsidRPr="00FC2616">
        <w:rPr>
          <w:lang w:eastAsia="sv-SE"/>
        </w:rPr>
        <w:t xml:space="preserve"> försörjningsstöd per invånare 2019. I en mediankommun med 16</w:t>
      </w:r>
      <w:r w:rsidRPr="00FC2616" w:rsidR="006B7FA2">
        <w:rPr>
          <w:lang w:eastAsia="sv-SE"/>
        </w:rPr>
        <w:t> </w:t>
      </w:r>
      <w:r w:rsidRPr="00FC2616">
        <w:rPr>
          <w:lang w:eastAsia="sv-SE"/>
        </w:rPr>
        <w:t>000 invånare motsvarar en procentenhets ökad arbetslöshet en ökad kostnad på mellan 1,1 och 1,9 miljoner kronor som skulle kunna användas till kommunal kärnverksamhet om de generella arbetsmarknads</w:t>
      </w:r>
      <w:r w:rsidR="00C95529">
        <w:rPr>
          <w:lang w:eastAsia="sv-SE"/>
        </w:rPr>
        <w:softHyphen/>
      </w:r>
      <w:r w:rsidRPr="00FC2616">
        <w:rPr>
          <w:lang w:eastAsia="sv-SE"/>
        </w:rPr>
        <w:t>åtgärderna på statlig nivå täckt dessa kostnader. I</w:t>
      </w:r>
      <w:r w:rsidRPr="00FC2616" w:rsidR="006B7FA2">
        <w:rPr>
          <w:lang w:eastAsia="sv-SE"/>
        </w:rPr>
        <w:t xml:space="preserve"> </w:t>
      </w:r>
      <w:r w:rsidRPr="00FC2616">
        <w:rPr>
          <w:lang w:eastAsia="sv-SE"/>
        </w:rPr>
        <w:t>stället har detta i högre utsträckning finansiera</w:t>
      </w:r>
      <w:r w:rsidR="00372C04">
        <w:rPr>
          <w:lang w:eastAsia="sv-SE"/>
        </w:rPr>
        <w:t>t</w:t>
      </w:r>
      <w:r w:rsidRPr="00FC2616">
        <w:rPr>
          <w:lang w:eastAsia="sv-SE"/>
        </w:rPr>
        <w:t>s genom ökade kommunala skattesatser.</w:t>
      </w:r>
    </w:p>
    <w:p w:rsidRPr="00FC2616" w:rsidR="004371ED" w:rsidP="00CC444C" w:rsidRDefault="004371ED" w14:paraId="39F20619" w14:textId="1DA95881">
      <w:r w:rsidRPr="00FC2616">
        <w:t xml:space="preserve">Den nytillträdda regeringen bygger på ett samarbete mellan delar av den forna Alliansen och Sverigedemokraterna, det organiserade kapitalets och den organiserade rasismens parlamentariska företrädare. Tidöavtalets skrivningar pekar fram mot en ekonomisk politik som liknar Alliansens negativa arbetslinje, men nu med etniska förtecken. </w:t>
      </w:r>
    </w:p>
    <w:p w:rsidRPr="00FC2616" w:rsidR="004371ED" w:rsidP="00896804" w:rsidRDefault="004371ED" w14:paraId="14E0BAB6" w14:textId="33C0FE3B">
      <w:r w:rsidRPr="00FC2616">
        <w:t>Den negativa arbetslinjen gick ut på att utarma trygghetssystem, underfinansiera välfärden och möjliggöra stora vinstuttag ur densamma för att finansiera skatte</w:t>
      </w:r>
      <w:r w:rsidR="00C95529">
        <w:softHyphen/>
      </w:r>
      <w:r w:rsidRPr="00FC2616">
        <w:t>sänkningar för höginkomsttagare, under förespeglingen att det skulle skapa fler arbetstillfällen. Genom att göra de redan utsatta ännu mer utsatta skulle dessa bli mer benägna att arbeta. På så vis kunde stora resurser omfördelas från de delar av befolkning</w:t>
      </w:r>
      <w:r w:rsidR="009C3EDC">
        <w:t>en</w:t>
      </w:r>
      <w:r w:rsidRPr="00FC2616">
        <w:t xml:space="preserve"> som har mindre tillgångar till de redan förmögna. </w:t>
      </w:r>
    </w:p>
    <w:p w:rsidRPr="00FC2616" w:rsidR="004371ED" w:rsidP="00896804" w:rsidRDefault="004371ED" w14:paraId="49B182C1" w14:textId="0DE5F34E">
      <w:pPr>
        <w:rPr>
          <w:lang w:eastAsia="sv-SE"/>
        </w:rPr>
      </w:pPr>
      <w:r w:rsidRPr="00FC2616">
        <w:t>Alliansregeringen riktade sina attacker mot sjuka och arbetslösa. När sjuk</w:t>
      </w:r>
      <w:r w:rsidR="00C95529">
        <w:softHyphen/>
      </w:r>
      <w:r w:rsidRPr="00FC2616">
        <w:t xml:space="preserve">försäkringen och </w:t>
      </w:r>
      <w:r w:rsidRPr="00FC2616" w:rsidR="00ED50F2">
        <w:t>a</w:t>
      </w:r>
      <w:r w:rsidRPr="00FC2616">
        <w:t xml:space="preserve">-kassan skulle nedmonteras beskrevs dessa grupper som lata, simulanter och belastningar för samhället. Därmed blev nedskärningarna lättare att motivera. I </w:t>
      </w:r>
      <w:r w:rsidRPr="00FC2616" w:rsidR="0050733D">
        <w:t xml:space="preserve">Tidöavtalet </w:t>
      </w:r>
      <w:r w:rsidRPr="00FC2616">
        <w:t>har utrikesfödda fått ta över rollen som grunden till Sveriges alla problem. Genom att utmåla dem som inte fötts här som ett hot och en belastning blir det lättare att villkora deras välfärd och rättigheter. Att montera ned trygghetssystemen, välfärden och rättighetsskydden är lättare att motivera om man pekar på vissa grupper och börjar där.</w:t>
      </w:r>
    </w:p>
    <w:p w:rsidRPr="00FC2616" w:rsidR="000B1ECF" w:rsidP="00B50CBA" w:rsidRDefault="00A975F1" w14:paraId="4A40D849" w14:textId="52633334">
      <w:pPr>
        <w:pStyle w:val="Rubrik3numrerat"/>
      </w:pPr>
      <w:bookmarkStart w:name="_Toc149814511" w:id="8"/>
      <w:r w:rsidRPr="00FC2616">
        <w:t>Brott, straff och skjutvapenvåld</w:t>
      </w:r>
      <w:bookmarkEnd w:id="8"/>
    </w:p>
    <w:p w:rsidRPr="00FC2616" w:rsidR="00FD1022" w:rsidP="00FD1022" w:rsidRDefault="007A61E1" w14:paraId="316B08E0" w14:textId="41AA88F0">
      <w:pPr>
        <w:pStyle w:val="Normalutanindragellerluft"/>
        <w:rPr>
          <w:lang w:eastAsia="sv-SE"/>
        </w:rPr>
      </w:pPr>
      <w:r w:rsidRPr="00FC2616">
        <w:rPr>
          <w:lang w:eastAsia="sv-SE"/>
        </w:rPr>
        <w:t xml:space="preserve">Sverige har länge varit ett land med relativt låg kriminalitet. Det beror inte på att vi har haft längre straff eller fler poliser på gatorna. Det har däremot en direkt koppling till att vi haft ett starkt välfärdssamhälle med en välfungerande omsorg och skola samt tillgång till arbete och bostäder. Det gäller dock inte längre överallt. </w:t>
      </w:r>
      <w:r w:rsidRPr="00FC2616" w:rsidR="00117F41">
        <w:rPr>
          <w:lang w:eastAsia="sv-SE"/>
        </w:rPr>
        <w:t xml:space="preserve">I takt med att samhället har slitits isär har </w:t>
      </w:r>
      <w:r w:rsidRPr="00FC2616">
        <w:rPr>
          <w:lang w:eastAsia="sv-SE"/>
        </w:rPr>
        <w:t>en organiserad brottslighet med löften om snabba pengar kunnat växa fram och slå rot. Många ungdomar</w:t>
      </w:r>
      <w:r w:rsidRPr="00FC2616" w:rsidR="00D94BE9">
        <w:rPr>
          <w:lang w:eastAsia="sv-SE"/>
        </w:rPr>
        <w:t>, i synnerhet pojkar och unga män,</w:t>
      </w:r>
      <w:r w:rsidRPr="00FC2616">
        <w:rPr>
          <w:lang w:eastAsia="sv-SE"/>
        </w:rPr>
        <w:t xml:space="preserve"> som inte ser någon väg framåt genom studier och arbete lockas av möjligheten att tjäna pengar och</w:t>
      </w:r>
      <w:r w:rsidRPr="00FC2616" w:rsidR="00D94BE9">
        <w:rPr>
          <w:lang w:eastAsia="sv-SE"/>
        </w:rPr>
        <w:t xml:space="preserve"> </w:t>
      </w:r>
      <w:r w:rsidRPr="00FC2616">
        <w:rPr>
          <w:lang w:eastAsia="sv-SE"/>
        </w:rPr>
        <w:t>vinna anseende genom brott, inte minst relaterade till droghandeln på gator, torg och barer.</w:t>
      </w:r>
      <w:r w:rsidRPr="00FC2616" w:rsidR="00D94BE9">
        <w:rPr>
          <w:lang w:eastAsia="sv-SE"/>
        </w:rPr>
        <w:t xml:space="preserve"> </w:t>
      </w:r>
      <w:r w:rsidRPr="00FC2616">
        <w:rPr>
          <w:lang w:eastAsia="sv-SE"/>
        </w:rPr>
        <w:t>Efterfrågan</w:t>
      </w:r>
      <w:r w:rsidRPr="00FC2616" w:rsidR="00F72EEF">
        <w:rPr>
          <w:lang w:eastAsia="sv-SE"/>
        </w:rPr>
        <w:t xml:space="preserve"> på droger</w:t>
      </w:r>
      <w:r w:rsidRPr="00FC2616">
        <w:rPr>
          <w:lang w:eastAsia="sv-SE"/>
        </w:rPr>
        <w:t xml:space="preserve"> driver på våldet.</w:t>
      </w:r>
      <w:r w:rsidRPr="00FC2616" w:rsidR="00FD1022">
        <w:rPr>
          <w:lang w:eastAsia="sv-SE"/>
        </w:rPr>
        <w:t xml:space="preserve"> </w:t>
      </w:r>
    </w:p>
    <w:p w:rsidRPr="00FC2616" w:rsidR="005F3468" w:rsidP="005F3468" w:rsidRDefault="00FD1022" w14:paraId="1A2C7CBD" w14:textId="44BD3A2C">
      <w:pPr>
        <w:rPr>
          <w:lang w:eastAsia="sv-SE"/>
        </w:rPr>
      </w:pPr>
      <w:r w:rsidRPr="00FC2616">
        <w:rPr>
          <w:lang w:eastAsia="sv-SE"/>
        </w:rPr>
        <w:t>När</w:t>
      </w:r>
      <w:r w:rsidRPr="00FC2616" w:rsidDel="00DD49D7">
        <w:rPr>
          <w:lang w:eastAsia="sv-SE"/>
        </w:rPr>
        <w:t xml:space="preserve"> </w:t>
      </w:r>
      <w:r w:rsidRPr="00FC2616">
        <w:rPr>
          <w:lang w:eastAsia="sv-SE"/>
        </w:rPr>
        <w:t>klassklyftorna ökar skapas en mer gynnsam grogrund för grov kriminalitet, särskilt i de fattigaste områdena</w:t>
      </w:r>
      <w:r w:rsidRPr="00FC2616" w:rsidR="00ED50F2">
        <w:rPr>
          <w:lang w:eastAsia="sv-SE"/>
        </w:rPr>
        <w:t>,</w:t>
      </w:r>
      <w:r w:rsidRPr="00FC2616">
        <w:rPr>
          <w:lang w:eastAsia="sv-SE"/>
        </w:rPr>
        <w:t xml:space="preserve"> såsom eftersatta förorter. De av oss som bor i dessa områden är särskilt utsatta för våld och det finns en uppgivenhet över att samhället övergivit området. I</w:t>
      </w:r>
      <w:r w:rsidRPr="00FC2616" w:rsidR="00ED50F2">
        <w:rPr>
          <w:lang w:eastAsia="sv-SE"/>
        </w:rPr>
        <w:t xml:space="preserve"> </w:t>
      </w:r>
      <w:r w:rsidRPr="00FC2616">
        <w:rPr>
          <w:lang w:eastAsia="sv-SE"/>
        </w:rPr>
        <w:t xml:space="preserve">stället för framtidsdrömmar om utbildning och bra jobb känner många en desperation inför en hopplös framtid. I spåren av brottsligheten finns </w:t>
      </w:r>
      <w:r w:rsidRPr="00FC2616">
        <w:rPr>
          <w:lang w:eastAsia="sv-SE"/>
        </w:rPr>
        <w:lastRenderedPageBreak/>
        <w:t>mänskliga tragedier. Där finns människor som dödas eller skadas för livet och anhöriga, grannar och andra som känner oro och otrygghet. På landsbygden finns dessutom problem med att 112 ger beskedet att det inte finns någon polis att skicka när någonting händer.</w:t>
      </w:r>
    </w:p>
    <w:p w:rsidRPr="00FC2616" w:rsidR="007A61E1" w:rsidP="007A61E1" w:rsidRDefault="007A61E1" w14:paraId="6F41E3F2" w14:textId="49B3B0F5">
      <w:pPr>
        <w:rPr>
          <w:lang w:eastAsia="sv-SE"/>
        </w:rPr>
      </w:pPr>
      <w:r w:rsidRPr="00FC2616">
        <w:rPr>
          <w:lang w:eastAsia="sv-SE"/>
        </w:rPr>
        <w:t>Det är Vänsterpartiets absoluta övertygelse att en stark, gemensamt finansierad och jämlik välfärd med en väl fungerande skola, fritidsverksamhet, sjukvård, socialtjänst, låg arbetslöshet och ett starkt socialt försäkringssystem är det bästa sättet att motverka klassamhället och att förebygga kriminalitet. Åtgärder mot gängvåldet i utsatta områden måste ske i dialog med de människor som bor där, som är de som drabbas allra värst. Samtidigt måste grov brottslighet</w:t>
      </w:r>
      <w:r w:rsidRPr="00FC2616" w:rsidR="00E93B07">
        <w:rPr>
          <w:lang w:eastAsia="sv-SE"/>
        </w:rPr>
        <w:t>,</w:t>
      </w:r>
      <w:r w:rsidRPr="00FC2616">
        <w:rPr>
          <w:lang w:eastAsia="sv-SE"/>
        </w:rPr>
        <w:t xml:space="preserve"> som gängkriminalitet och våldsbejakande extremism</w:t>
      </w:r>
      <w:r w:rsidRPr="00FC2616" w:rsidR="00E93B07">
        <w:rPr>
          <w:lang w:eastAsia="sv-SE"/>
        </w:rPr>
        <w:t>,</w:t>
      </w:r>
      <w:r w:rsidRPr="00FC2616">
        <w:rPr>
          <w:lang w:eastAsia="sv-SE"/>
        </w:rPr>
        <w:t xml:space="preserve"> bekämpas på ett effektivt sätt med hjälp av lagstiftning som bygger på de grund</w:t>
      </w:r>
      <w:r w:rsidR="00C95529">
        <w:rPr>
          <w:lang w:eastAsia="sv-SE"/>
        </w:rPr>
        <w:softHyphen/>
      </w:r>
      <w:r w:rsidRPr="00FC2616">
        <w:rPr>
          <w:lang w:eastAsia="sv-SE"/>
        </w:rPr>
        <w:t>läggande rättsliga principerna i en rättsstat.</w:t>
      </w:r>
    </w:p>
    <w:p w:rsidRPr="00FC2616" w:rsidR="003F6449" w:rsidP="003F6449" w:rsidRDefault="003F6449" w14:paraId="1D2228ED" w14:textId="20A352E5">
      <w:pPr>
        <w:rPr>
          <w:lang w:eastAsia="sv-SE"/>
        </w:rPr>
      </w:pPr>
      <w:r w:rsidRPr="00FC2616">
        <w:rPr>
          <w:lang w:eastAsia="sv-SE"/>
        </w:rPr>
        <w:t>I dagens kriminalpolitiska debatt framstår det som om all kriminalitet växer helt okontrollerat. I själva verket har det dödliga våldet sedan 1990-talets början stadigt minskat i Sverige, fram till för några år sedan, då nedgången bröts och i stället övergick i en uppgång. Nivån i dag är dock fortfarande lägre än under 1990-talet.</w:t>
      </w:r>
      <w:r w:rsidRPr="00FC2616">
        <w:rPr>
          <w:rStyle w:val="Fotnotsreferens"/>
          <w:lang w:eastAsia="sv-SE"/>
        </w:rPr>
        <w:footnoteReference w:id="10"/>
      </w:r>
      <w:r w:rsidRPr="00FC2616">
        <w:rPr>
          <w:lang w:eastAsia="sv-SE"/>
        </w:rPr>
        <w:t xml:space="preserve"> En rapport från Institutet för framtidsstudier (IFF) 2018 visar att brottsligheten i Sverige ligger på en stabil nivå.</w:t>
      </w:r>
      <w:r w:rsidRPr="00FC2616">
        <w:rPr>
          <w:rStyle w:val="Fotnotsreferens"/>
          <w:lang w:eastAsia="sv-SE"/>
        </w:rPr>
        <w:footnoteReference w:id="11"/>
      </w:r>
      <w:r w:rsidRPr="00FC2616">
        <w:rPr>
          <w:lang w:eastAsia="sv-SE"/>
        </w:rPr>
        <w:t xml:space="preserve"> Exempelvis har antalet bostadsinbrott och personrån varit oförändrat under i stort sett hela 2010-talet och andelen som uppger att de utsatts för misshandel har minskat. Flera större studier i Sverige under 2000-talet visar att andelen individer som utsätts för den stora majoriteten av brott</w:t>
      </w:r>
      <w:r w:rsidR="00B8710C">
        <w:rPr>
          <w:lang w:eastAsia="sv-SE"/>
        </w:rPr>
        <w:t>,</w:t>
      </w:r>
      <w:r w:rsidRPr="00FC2616">
        <w:rPr>
          <w:lang w:eastAsia="sv-SE"/>
        </w:rPr>
        <w:t xml:space="preserve"> våld, stöld</w:t>
      </w:r>
      <w:r w:rsidR="00B8710C">
        <w:rPr>
          <w:lang w:eastAsia="sv-SE"/>
        </w:rPr>
        <w:t xml:space="preserve"> och</w:t>
      </w:r>
      <w:r w:rsidRPr="00FC2616">
        <w:rPr>
          <w:lang w:eastAsia="sv-SE"/>
        </w:rPr>
        <w:t xml:space="preserve"> skadegörelse, minskar sedan 10–15</w:t>
      </w:r>
      <w:r w:rsidR="007F5FD5">
        <w:rPr>
          <w:lang w:eastAsia="sv-SE"/>
        </w:rPr>
        <w:t> </w:t>
      </w:r>
      <w:r w:rsidRPr="00FC2616">
        <w:rPr>
          <w:lang w:eastAsia="sv-SE"/>
        </w:rPr>
        <w:t>år tillbaka.</w:t>
      </w:r>
      <w:r w:rsidRPr="00FC2616">
        <w:rPr>
          <w:rStyle w:val="Fotnotsreferens"/>
          <w:lang w:eastAsia="sv-SE"/>
        </w:rPr>
        <w:footnoteReference w:id="12"/>
      </w:r>
      <w:r w:rsidRPr="00FC2616">
        <w:rPr>
          <w:lang w:eastAsia="sv-SE"/>
        </w:rPr>
        <w:t xml:space="preserve"> Samtidigt har det dödliga skjutvapenvåldet ökat.</w:t>
      </w:r>
      <w:r w:rsidRPr="00FC2616">
        <w:rPr>
          <w:rStyle w:val="Fotnotsreferens"/>
          <w:lang w:eastAsia="sv-SE"/>
        </w:rPr>
        <w:footnoteReference w:id="13"/>
      </w:r>
      <w:r w:rsidRPr="00FC2616">
        <w:rPr>
          <w:lang w:eastAsia="sv-SE"/>
        </w:rPr>
        <w:t xml:space="preserve"> </w:t>
      </w:r>
    </w:p>
    <w:p w:rsidRPr="00FC2616" w:rsidR="00F0131F" w:rsidP="003F6449" w:rsidRDefault="00F0131F" w14:paraId="73CBBF0F" w14:textId="6667A72D">
      <w:pPr>
        <w:rPr>
          <w:lang w:eastAsia="sv-SE"/>
        </w:rPr>
      </w:pPr>
      <w:r w:rsidRPr="00FC2616">
        <w:rPr>
          <w:lang w:eastAsia="sv-SE"/>
        </w:rPr>
        <w:t xml:space="preserve">Enligt Nationella trygghetsundersökningen (NTU) 2022 som Brottsförebyggande rådet (Brå) presenterade </w:t>
      </w:r>
      <w:r w:rsidR="007F5FD5">
        <w:rPr>
          <w:lang w:eastAsia="sv-SE"/>
        </w:rPr>
        <w:t xml:space="preserve">den </w:t>
      </w:r>
      <w:r w:rsidRPr="00FC2616">
        <w:rPr>
          <w:lang w:eastAsia="sv-SE"/>
        </w:rPr>
        <w:t>11</w:t>
      </w:r>
      <w:r w:rsidR="007F5FD5">
        <w:rPr>
          <w:lang w:eastAsia="sv-SE"/>
        </w:rPr>
        <w:t> </w:t>
      </w:r>
      <w:r w:rsidRPr="00FC2616">
        <w:rPr>
          <w:lang w:eastAsia="sv-SE"/>
        </w:rPr>
        <w:t>augusti 2022 har den självrapporterade utsattheten för brott mot person minskat för tredje året i rad och ligger nu på den lägsta nivån sedan 2016. För nästan alla brottstyper har andelen utsatta legat stabilt eller minskat sedan 2021. Försäljningsbedrägerier</w:t>
      </w:r>
      <w:r w:rsidR="008B3DDE">
        <w:rPr>
          <w:lang w:eastAsia="sv-SE"/>
        </w:rPr>
        <w:t>na</w:t>
      </w:r>
      <w:r w:rsidRPr="00FC2616">
        <w:rPr>
          <w:lang w:eastAsia="sv-SE"/>
        </w:rPr>
        <w:t xml:space="preserve"> har dock ökat under tidsperioden. Vidare är förtroendet för rättsväsendet fortsatt högt i årets undersökning, och för flera av rättsväsendets myndigheter är nivån den högsta hittills.</w:t>
      </w:r>
      <w:r w:rsidRPr="00FC2616">
        <w:rPr>
          <w:rStyle w:val="Fotnotsreferens"/>
          <w:lang w:eastAsia="sv-SE"/>
        </w:rPr>
        <w:footnoteReference w:id="14"/>
      </w:r>
    </w:p>
    <w:p w:rsidRPr="00FC2616" w:rsidR="003F6449" w:rsidP="003F6449" w:rsidRDefault="003F6449" w14:paraId="17492C9D" w14:textId="598DA928">
      <w:pPr>
        <w:rPr>
          <w:lang w:eastAsia="sv-SE"/>
        </w:rPr>
      </w:pPr>
      <w:r w:rsidRPr="00FC2616">
        <w:rPr>
          <w:lang w:eastAsia="sv-SE"/>
        </w:rPr>
        <w:t xml:space="preserve">Det är en förhållandevis liten grupp unga män som begår den största delen av de grövsta brotten. Det är inte särskilt sannolikt att ”hårdare tag” med längre straff kommer att avhålla denna grupp </w:t>
      </w:r>
      <w:r w:rsidRPr="00FC2616" w:rsidR="000B1ECF">
        <w:rPr>
          <w:lang w:eastAsia="sv-SE"/>
        </w:rPr>
        <w:t xml:space="preserve">av </w:t>
      </w:r>
      <w:r w:rsidRPr="00FC2616">
        <w:rPr>
          <w:lang w:eastAsia="sv-SE"/>
        </w:rPr>
        <w:t>män och andra unga män som befinner sig i riskzonen för liknande kriminalitet från att begå brott. Vårt resonemang bekräftas och styrks av forskning som visar att längre straff inte är effektiva i den meningen att de får människor att begå färre brott</w:t>
      </w:r>
      <w:r w:rsidRPr="00FC2616" w:rsidDel="00E00E08">
        <w:rPr>
          <w:lang w:eastAsia="sv-SE"/>
        </w:rPr>
        <w:t>.</w:t>
      </w:r>
      <w:r w:rsidRPr="00FC2616">
        <w:rPr>
          <w:rStyle w:val="Fotnotsreferens"/>
          <w:lang w:eastAsia="sv-SE"/>
        </w:rPr>
        <w:footnoteReference w:id="15"/>
      </w:r>
      <w:r w:rsidRPr="00FC2616">
        <w:rPr>
          <w:lang w:eastAsia="sv-SE"/>
        </w:rPr>
        <w:t xml:space="preserve"> Vi vänder oss bestämt emot en utveckling där människor sitter inlåsta på lång obestämd tid utan möjlighet till rehabilitering och återanpassning till samhället. </w:t>
      </w:r>
    </w:p>
    <w:p w:rsidRPr="00FC2616" w:rsidR="003F6449" w:rsidP="003F6449" w:rsidRDefault="00E00E08" w14:paraId="7D13CBE2" w14:textId="49DBB54A">
      <w:pPr>
        <w:rPr>
          <w:lang w:eastAsia="sv-SE"/>
        </w:rPr>
      </w:pPr>
      <w:r w:rsidRPr="00FC2616">
        <w:rPr>
          <w:lang w:eastAsia="sv-SE"/>
        </w:rPr>
        <w:t>T</w:t>
      </w:r>
      <w:r w:rsidRPr="00FC2616" w:rsidR="003F6449">
        <w:rPr>
          <w:lang w:eastAsia="sv-SE"/>
        </w:rPr>
        <w:t xml:space="preserve">rots stora resurstillskott till polisen, höjningar av </w:t>
      </w:r>
      <w:r w:rsidRPr="00FC2616" w:rsidR="007C6686">
        <w:rPr>
          <w:lang w:eastAsia="sv-SE"/>
        </w:rPr>
        <w:t>flera</w:t>
      </w:r>
      <w:r w:rsidRPr="00FC2616" w:rsidR="003F6449">
        <w:rPr>
          <w:lang w:eastAsia="sv-SE"/>
        </w:rPr>
        <w:t xml:space="preserve"> straff och ökad användning </w:t>
      </w:r>
      <w:r w:rsidRPr="00FC2616" w:rsidR="00647844">
        <w:rPr>
          <w:lang w:eastAsia="sv-SE"/>
        </w:rPr>
        <w:t xml:space="preserve">av </w:t>
      </w:r>
      <w:r w:rsidRPr="00FC2616" w:rsidR="003F6449">
        <w:rPr>
          <w:lang w:eastAsia="sv-SE"/>
        </w:rPr>
        <w:t xml:space="preserve">hemliga tvångsmedel så har </w:t>
      </w:r>
      <w:r w:rsidR="00C130B8">
        <w:rPr>
          <w:lang w:eastAsia="sv-SE"/>
        </w:rPr>
        <w:t xml:space="preserve">de </w:t>
      </w:r>
      <w:r w:rsidRPr="00FC2616" w:rsidR="003F6449">
        <w:rPr>
          <w:lang w:eastAsia="sv-SE"/>
        </w:rPr>
        <w:t>gängrelaterade brott</w:t>
      </w:r>
      <w:r w:rsidR="00C130B8">
        <w:rPr>
          <w:lang w:eastAsia="sv-SE"/>
        </w:rPr>
        <w:t>en</w:t>
      </w:r>
      <w:r w:rsidRPr="00FC2616" w:rsidR="003F6449">
        <w:rPr>
          <w:lang w:eastAsia="sv-SE"/>
        </w:rPr>
        <w:t xml:space="preserve"> och skjutningar</w:t>
      </w:r>
      <w:r w:rsidR="00C130B8">
        <w:rPr>
          <w:lang w:eastAsia="sv-SE"/>
        </w:rPr>
        <w:t>na</w:t>
      </w:r>
      <w:r w:rsidRPr="00FC2616" w:rsidR="003F6449">
        <w:rPr>
          <w:lang w:eastAsia="sv-SE"/>
        </w:rPr>
        <w:t xml:space="preserve"> inte </w:t>
      </w:r>
      <w:r w:rsidRPr="00FC2616" w:rsidR="003F6449">
        <w:rPr>
          <w:lang w:eastAsia="sv-SE"/>
        </w:rPr>
        <w:lastRenderedPageBreak/>
        <w:t xml:space="preserve">minskat. Polisens uppklarning av mord och skjutningar i gängmiljö har samtidigt sjunkit. Det visar att det är andra åtgärder som behövs. </w:t>
      </w:r>
    </w:p>
    <w:p w:rsidRPr="00FC2616" w:rsidR="003F6449" w:rsidP="003F6449" w:rsidRDefault="003F6449" w14:paraId="362C0EB4" w14:textId="4F40E13A">
      <w:pPr>
        <w:rPr>
          <w:lang w:eastAsia="sv-SE"/>
        </w:rPr>
      </w:pPr>
      <w:r w:rsidRPr="00FC2616">
        <w:rPr>
          <w:lang w:eastAsia="sv-SE"/>
        </w:rPr>
        <w:t>Skjutvapenvåld</w:t>
      </w:r>
      <w:r w:rsidR="003B5920">
        <w:rPr>
          <w:lang w:eastAsia="sv-SE"/>
        </w:rPr>
        <w:t>et</w:t>
      </w:r>
      <w:r w:rsidRPr="00FC2616">
        <w:rPr>
          <w:lang w:eastAsia="sv-SE"/>
        </w:rPr>
        <w:t xml:space="preserve"> och handgranatsdetonationer</w:t>
      </w:r>
      <w:r w:rsidR="003B5920">
        <w:rPr>
          <w:lang w:eastAsia="sv-SE"/>
        </w:rPr>
        <w:t>na</w:t>
      </w:r>
      <w:r w:rsidRPr="00FC2616">
        <w:rPr>
          <w:lang w:eastAsia="sv-SE"/>
        </w:rPr>
        <w:t xml:space="preserve"> är starkt koncentrerade till socialt utsatta områden i svenska storstäder. Flera studier visar att våldet främst drabbar unga män som är aktiva i, eller vistas i närhet av, kriminella miljöer.</w:t>
      </w:r>
      <w:r w:rsidRPr="00FC2616">
        <w:rPr>
          <w:rStyle w:val="Fotnotsreferens"/>
          <w:lang w:eastAsia="sv-SE"/>
        </w:rPr>
        <w:footnoteReference w:id="16"/>
      </w:r>
      <w:r w:rsidRPr="00FC2616">
        <w:rPr>
          <w:lang w:eastAsia="sv-SE"/>
        </w:rPr>
        <w:t xml:space="preserve"> Dessvärre finns det flera fall de senaste åren där personer som bara råkat vara på fel plats vid fel tillfälle blivit offer för kriminella gängs skjutvapenvåld. I juni 2021 sköts en polis till döds på öppen gata under tjänsteutövning. Flera skjutningar har inträffat i bostadsområden, köpcentrum och andra centrala områden där många människor befunnit sig. Det är helt oacceptabelt. </w:t>
      </w:r>
    </w:p>
    <w:p w:rsidRPr="00FC2616" w:rsidR="003F6449" w:rsidP="003F6449" w:rsidRDefault="003F6449" w14:paraId="63D4C235" w14:textId="0D9874A2">
      <w:pPr>
        <w:rPr>
          <w:lang w:eastAsia="sv-SE"/>
        </w:rPr>
      </w:pPr>
      <w:r w:rsidRPr="00FC2616">
        <w:rPr>
          <w:lang w:eastAsia="sv-SE"/>
        </w:rPr>
        <w:t xml:space="preserve">Regeringen måste omgående ta ett helhetsgrepp </w:t>
      </w:r>
      <w:r w:rsidR="00695EBF">
        <w:rPr>
          <w:lang w:eastAsia="sv-SE"/>
        </w:rPr>
        <w:t>om</w:t>
      </w:r>
      <w:r w:rsidRPr="00FC2616">
        <w:rPr>
          <w:lang w:eastAsia="sv-SE"/>
        </w:rPr>
        <w:t xml:space="preserve"> problematiken med utgångs</w:t>
      </w:r>
      <w:r w:rsidR="00C95529">
        <w:rPr>
          <w:lang w:eastAsia="sv-SE"/>
        </w:rPr>
        <w:softHyphen/>
      </w:r>
      <w:r w:rsidRPr="00FC2616">
        <w:rPr>
          <w:lang w:eastAsia="sv-SE"/>
        </w:rPr>
        <w:t>punkt i forskning och beprövad erfarenhet. Dessvärre låter högerpartierna ofta känslor och rent tyckande ligga till grund för rättspolitiska åtgärder. Men för att verkligen minska den grova kriminaliteten och stärka människors trygghet i utsatta områden krävs, i</w:t>
      </w:r>
      <w:r w:rsidRPr="00FC2616" w:rsidR="0080323F">
        <w:rPr>
          <w:lang w:eastAsia="sv-SE"/>
        </w:rPr>
        <w:t xml:space="preserve"> </w:t>
      </w:r>
      <w:r w:rsidRPr="00FC2616">
        <w:rPr>
          <w:lang w:eastAsia="sv-SE"/>
        </w:rPr>
        <w:t xml:space="preserve">stället för politikers prat om längre och hårdare straff, visitationszoner och avlyssning utan brottsmisstanke, en gemensam politisk vilja att minska klassklyftorna i samhället. </w:t>
      </w:r>
    </w:p>
    <w:p w:rsidRPr="00FC2616" w:rsidR="003F6449" w:rsidP="003F6449" w:rsidRDefault="003F6449" w14:paraId="742B4923" w14:textId="3C03C24A">
      <w:pPr>
        <w:rPr>
          <w:lang w:eastAsia="sv-SE"/>
        </w:rPr>
      </w:pPr>
      <w:r w:rsidRPr="00FC2616">
        <w:rPr>
          <w:lang w:eastAsia="sv-SE"/>
        </w:rPr>
        <w:t>För att få ner den grova brottsligheten går det inte bara att vara hård mot de kriminella</w:t>
      </w:r>
      <w:r w:rsidRPr="00FC2616" w:rsidR="00D94BE9">
        <w:rPr>
          <w:lang w:eastAsia="sv-SE"/>
        </w:rPr>
        <w:t xml:space="preserve"> –</w:t>
      </w:r>
      <w:r w:rsidRPr="00FC2616">
        <w:rPr>
          <w:lang w:eastAsia="sv-SE"/>
        </w:rPr>
        <w:t xml:space="preserve"> det gäller att vara smartare än de kriminella. Vissa straff kan behöva höjas men mycket mer fokus måste riktas mot att förhindra rekryteringen av nya barn till gängkriminalitet. Det brottsförebyggande arbetet börjar med en väl utbyggd välfärd för alla, även i s.k. socialt utsatta områden. Om skolan, fritidsaktiviteter och samhället i övrigt fungerar väl så minskar möjligheterna att rekrytera barn och ungdomar in i kriminalitet. Skola och fritidsverksamheter behöver få bättre resurser, likaså social</w:t>
      </w:r>
      <w:r w:rsidR="00C95529">
        <w:rPr>
          <w:lang w:eastAsia="sv-SE"/>
        </w:rPr>
        <w:softHyphen/>
      </w:r>
      <w:r w:rsidRPr="00FC2616">
        <w:rPr>
          <w:lang w:eastAsia="sv-SE"/>
        </w:rPr>
        <w:t>tjänsten. Barn och ungdomar måste få möjligheter till kommunalt stödda fritids</w:t>
      </w:r>
      <w:r w:rsidR="00C95529">
        <w:rPr>
          <w:lang w:eastAsia="sv-SE"/>
        </w:rPr>
        <w:softHyphen/>
      </w:r>
      <w:r w:rsidRPr="00FC2616">
        <w:rPr>
          <w:lang w:eastAsia="sv-SE"/>
        </w:rPr>
        <w:t xml:space="preserve">aktiviteter, skolan måste få bättre resurser för att stödja elever som behöver det för att klara betygen och socialtjänsten behöver förstärkas med tillräckliga resurser och kunskap för att arbeta både förebyggande och med barnskydd. </w:t>
      </w:r>
    </w:p>
    <w:p w:rsidRPr="00FC2616" w:rsidR="003F6449" w:rsidP="003F6449" w:rsidRDefault="003F6449" w14:paraId="4592DAD0" w14:textId="41798D98">
      <w:pPr>
        <w:rPr>
          <w:lang w:eastAsia="sv-SE"/>
        </w:rPr>
      </w:pPr>
      <w:bookmarkStart w:name="_Hlk116547913" w:id="9"/>
      <w:r w:rsidRPr="00FC2616">
        <w:rPr>
          <w:lang w:eastAsia="sv-SE"/>
        </w:rPr>
        <w:t>Det handlar även om insatser på kort sikt, som att sprida ”sluta skjut”</w:t>
      </w:r>
      <w:r w:rsidRPr="00FC2616" w:rsidR="0080323F">
        <w:rPr>
          <w:lang w:eastAsia="sv-SE"/>
        </w:rPr>
        <w:t>-</w:t>
      </w:r>
      <w:r w:rsidRPr="00FC2616">
        <w:rPr>
          <w:lang w:eastAsia="sv-SE"/>
        </w:rPr>
        <w:t xml:space="preserve">projektet till hela landet och att inrätta sociala insatsgrupper i områden som särskilt drabbats av grov kriminalitet. Vi har också återkommande föreslagit bl.a. en nationell haverikommission mot skjutningarna och en nationell avhopparverksamhet för kriminella. </w:t>
      </w:r>
    </w:p>
    <w:p w:rsidRPr="00FC2616" w:rsidR="003F6449" w:rsidP="003F6449" w:rsidRDefault="003F6449" w14:paraId="3561CD38" w14:textId="244345E6">
      <w:pPr>
        <w:rPr>
          <w:lang w:eastAsia="sv-SE"/>
        </w:rPr>
      </w:pPr>
      <w:r w:rsidRPr="00FC2616">
        <w:rPr>
          <w:lang w:eastAsia="sv-SE"/>
        </w:rPr>
        <w:t xml:space="preserve">Det är viktigt med tillräckligt många poliser men </w:t>
      </w:r>
      <w:r w:rsidRPr="00FC2616" w:rsidR="0080323F">
        <w:rPr>
          <w:lang w:eastAsia="sv-SE"/>
        </w:rPr>
        <w:t xml:space="preserve">vi </w:t>
      </w:r>
      <w:r w:rsidRPr="00FC2616">
        <w:rPr>
          <w:lang w:eastAsia="sv-SE"/>
        </w:rPr>
        <w:t>vill även skapa bättre förut</w:t>
      </w:r>
      <w:r w:rsidR="00C95529">
        <w:rPr>
          <w:lang w:eastAsia="sv-SE"/>
        </w:rPr>
        <w:softHyphen/>
      </w:r>
      <w:r w:rsidRPr="00FC2616">
        <w:rPr>
          <w:lang w:eastAsia="sv-SE"/>
        </w:rPr>
        <w:t>sättningar för polisens arbete. Vi har föreslagit en ny polisberedning eftersom polisens verksamhet, kapacitet och kompetens långsiktigt måste motsvara samhällsutvecklingen. Vi har också föreslagit att polisens brottsförebyggande och trygghetsskapande arbets</w:t>
      </w:r>
      <w:r w:rsidR="00C95529">
        <w:rPr>
          <w:lang w:eastAsia="sv-SE"/>
        </w:rPr>
        <w:softHyphen/>
      </w:r>
      <w:r w:rsidRPr="00FC2616">
        <w:rPr>
          <w:lang w:eastAsia="sv-SE"/>
        </w:rPr>
        <w:t xml:space="preserve">metoder, t.ex. bilpatrullering, ska utvärderas för att se vad som verkligen fungerar. Polisutbildningen måste bli en högskoleutbildning, ingångarna till utbildningen behöver breddas och polisforskningen måste utvecklas. </w:t>
      </w:r>
      <w:r w:rsidRPr="00FC2616" w:rsidR="005F3468">
        <w:rPr>
          <w:lang w:eastAsia="sv-SE"/>
        </w:rPr>
        <w:t>För att inte det forensiska arbetet ska bli en flaskhals i rättsväsendet och leda till att brottsutredningar drar ut på tiden behöver r</w:t>
      </w:r>
      <w:r w:rsidRPr="00FC2616" w:rsidR="00FD1022">
        <w:rPr>
          <w:lang w:eastAsia="sv-SE"/>
        </w:rPr>
        <w:t>esurserna till Nationellt forensiskt centrum</w:t>
      </w:r>
      <w:r w:rsidRPr="00FC2616" w:rsidR="00170841">
        <w:rPr>
          <w:lang w:eastAsia="sv-SE"/>
        </w:rPr>
        <w:t xml:space="preserve"> </w:t>
      </w:r>
      <w:r w:rsidRPr="00FC2616" w:rsidR="00FD1022">
        <w:rPr>
          <w:lang w:eastAsia="sv-SE"/>
        </w:rPr>
        <w:t>öka</w:t>
      </w:r>
      <w:r w:rsidRPr="00FC2616" w:rsidR="005F3468">
        <w:rPr>
          <w:lang w:eastAsia="sv-SE"/>
        </w:rPr>
        <w:t>. Vi</w:t>
      </w:r>
      <w:r w:rsidRPr="00FC2616" w:rsidR="00FD1022">
        <w:rPr>
          <w:lang w:eastAsia="sv-SE"/>
        </w:rPr>
        <w:t xml:space="preserve"> föreslår </w:t>
      </w:r>
      <w:r w:rsidRPr="00FC2616" w:rsidR="00170841">
        <w:rPr>
          <w:lang w:eastAsia="sv-SE"/>
        </w:rPr>
        <w:t xml:space="preserve">därför </w:t>
      </w:r>
      <w:r w:rsidRPr="00FC2616" w:rsidR="00FD1022">
        <w:rPr>
          <w:lang w:eastAsia="sv-SE"/>
        </w:rPr>
        <w:t>ett höjt anslag med 40</w:t>
      </w:r>
      <w:r w:rsidR="00695EBF">
        <w:rPr>
          <w:lang w:eastAsia="sv-SE"/>
        </w:rPr>
        <w:t> </w:t>
      </w:r>
      <w:r w:rsidRPr="00FC2616" w:rsidR="00FD1022">
        <w:rPr>
          <w:lang w:eastAsia="sv-SE"/>
        </w:rPr>
        <w:t xml:space="preserve">miljoner kronor per år, jämfört med regeringen. </w:t>
      </w:r>
    </w:p>
    <w:p w:rsidRPr="00FC2616" w:rsidR="00907E36" w:rsidP="000A43CB" w:rsidRDefault="003F6449" w14:paraId="24101837" w14:textId="5A989491">
      <w:pPr>
        <w:rPr>
          <w:lang w:eastAsia="sv-SE"/>
        </w:rPr>
      </w:pPr>
      <w:r w:rsidRPr="00FC2616">
        <w:rPr>
          <w:lang w:eastAsia="sv-SE"/>
        </w:rPr>
        <w:t xml:space="preserve">Vidare måste insmugglingen av narkotika och illegala vapen stoppas redan vid landets gränser för att underminera gängens svarta ekonomi. Vi </w:t>
      </w:r>
      <w:r w:rsidRPr="00FC2616" w:rsidR="009476B0">
        <w:rPr>
          <w:lang w:eastAsia="sv-SE"/>
        </w:rPr>
        <w:t>vill därför se</w:t>
      </w:r>
      <w:r w:rsidRPr="00FC2616">
        <w:rPr>
          <w:lang w:eastAsia="sv-SE"/>
        </w:rPr>
        <w:t xml:space="preserve"> mer </w:t>
      </w:r>
      <w:r w:rsidRPr="00FC2616">
        <w:rPr>
          <w:lang w:eastAsia="sv-SE"/>
        </w:rPr>
        <w:lastRenderedPageBreak/>
        <w:t xml:space="preserve">resurser till </w:t>
      </w:r>
      <w:r w:rsidR="003C6A01">
        <w:rPr>
          <w:lang w:eastAsia="sv-SE"/>
        </w:rPr>
        <w:t>t</w:t>
      </w:r>
      <w:r w:rsidRPr="00FC2616">
        <w:rPr>
          <w:lang w:eastAsia="sv-SE"/>
        </w:rPr>
        <w:t>ullen</w:t>
      </w:r>
      <w:r w:rsidRPr="00FC2616" w:rsidR="00FD1022">
        <w:rPr>
          <w:lang w:eastAsia="sv-SE"/>
        </w:rPr>
        <w:t xml:space="preserve"> och föreslår ett höjt anslag med 50</w:t>
      </w:r>
      <w:r w:rsidR="003C6A01">
        <w:rPr>
          <w:lang w:eastAsia="sv-SE"/>
        </w:rPr>
        <w:t> </w:t>
      </w:r>
      <w:r w:rsidRPr="00FC2616" w:rsidR="00FD1022">
        <w:rPr>
          <w:lang w:eastAsia="sv-SE"/>
        </w:rPr>
        <w:t>miljoner kronor per år, jämfört med regeringen</w:t>
      </w:r>
      <w:r w:rsidRPr="00FC2616">
        <w:rPr>
          <w:lang w:eastAsia="sv-SE"/>
        </w:rPr>
        <w:t xml:space="preserve">. </w:t>
      </w:r>
      <w:r w:rsidRPr="00FC2616" w:rsidR="007C6686">
        <w:rPr>
          <w:lang w:eastAsia="sv-SE"/>
        </w:rPr>
        <w:t xml:space="preserve">För vidare läsning om åtgärder mot våldet, se vår motion </w:t>
      </w:r>
      <w:bookmarkStart w:name="_Hlk119401345" w:id="10"/>
      <w:r w:rsidR="005F00AC">
        <w:rPr>
          <w:lang w:eastAsia="sv-SE"/>
        </w:rPr>
        <w:t>Å</w:t>
      </w:r>
      <w:r w:rsidRPr="00FC2616" w:rsidR="005F00AC">
        <w:rPr>
          <w:lang w:eastAsia="sv-SE"/>
        </w:rPr>
        <w:t xml:space="preserve">tgärder </w:t>
      </w:r>
      <w:r w:rsidR="005F00AC">
        <w:rPr>
          <w:lang w:eastAsia="sv-SE"/>
        </w:rPr>
        <w:t>med syfte att s</w:t>
      </w:r>
      <w:r w:rsidRPr="00FC2616" w:rsidR="007C6686">
        <w:rPr>
          <w:lang w:eastAsia="sv-SE"/>
        </w:rPr>
        <w:t xml:space="preserve">toppa våldskulturen </w:t>
      </w:r>
      <w:bookmarkEnd w:id="10"/>
      <w:r w:rsidRPr="00FC2616" w:rsidR="007C6686">
        <w:rPr>
          <w:lang w:eastAsia="sv-SE"/>
        </w:rPr>
        <w:t xml:space="preserve">(mot. </w:t>
      </w:r>
      <w:r w:rsidRPr="00FC2616" w:rsidR="0080323F">
        <w:rPr>
          <w:lang w:eastAsia="sv-SE"/>
        </w:rPr>
        <w:t>20</w:t>
      </w:r>
      <w:r w:rsidRPr="00FC2616" w:rsidR="007C6686">
        <w:rPr>
          <w:lang w:eastAsia="sv-SE"/>
        </w:rPr>
        <w:t>22/23:</w:t>
      </w:r>
      <w:r w:rsidR="003C6A01">
        <w:rPr>
          <w:lang w:eastAsia="sv-SE"/>
        </w:rPr>
        <w:t>1217</w:t>
      </w:r>
      <w:r w:rsidRPr="00FC2616" w:rsidR="007C6686">
        <w:rPr>
          <w:lang w:eastAsia="sv-SE"/>
        </w:rPr>
        <w:t>).</w:t>
      </w:r>
    </w:p>
    <w:p w:rsidRPr="00FC2616" w:rsidR="00907E36" w:rsidP="00B50CBA" w:rsidRDefault="00E67E26" w14:paraId="2B58B6F5" w14:textId="6A26FE82">
      <w:pPr>
        <w:pStyle w:val="Rubrik3numrerat"/>
      </w:pPr>
      <w:bookmarkStart w:name="_Toc149814512" w:id="11"/>
      <w:bookmarkEnd w:id="9"/>
      <w:r w:rsidRPr="00FC2616">
        <w:t>Underbara dagar framför oss?</w:t>
      </w:r>
      <w:bookmarkEnd w:id="11"/>
    </w:p>
    <w:p w:rsidRPr="00FC2616" w:rsidR="000A43CB" w:rsidP="00E67E26" w:rsidRDefault="007A61E1" w14:paraId="056D9CAB" w14:textId="2349659E">
      <w:pPr>
        <w:pStyle w:val="Normalutanindragellerluft"/>
        <w:rPr>
          <w:lang w:eastAsia="sv-SE"/>
        </w:rPr>
      </w:pPr>
      <w:r w:rsidRPr="00FC2616">
        <w:rPr>
          <w:lang w:eastAsia="sv-SE"/>
        </w:rPr>
        <w:t>Det är hög tid att satsa på det svikna Sverige. Alla de delar av landet som sett jobben och samhällsservicen försvinna, bostäder förfalla och tryggheten gå förlorad. Där engagemanget finns, men möjligheter saknas. Det är hög tid att ge alla i Sverige samma chanser. Vi ska kunna lita på att välfärdssamhället fungerar oavsett var vi bor. Avståndet till storstädernas centrum ska inte avgöra hur stark välfärden är. Tillgång till vårdcentral, skola, fritids och förlossningskliniker ska inte styras av marknadslogik och utgå från efterfrågan</w:t>
      </w:r>
      <w:r w:rsidRPr="00FC2616" w:rsidR="00D074C8">
        <w:rPr>
          <w:lang w:eastAsia="sv-SE"/>
        </w:rPr>
        <w:t xml:space="preserve"> i stället för behov</w:t>
      </w:r>
      <w:r w:rsidRPr="00FC2616">
        <w:rPr>
          <w:lang w:eastAsia="sv-SE"/>
        </w:rPr>
        <w:t xml:space="preserve">. Sverige ska vara ett land som håller ihop. </w:t>
      </w:r>
    </w:p>
    <w:p w:rsidRPr="00FC2616" w:rsidR="003F6449" w:rsidP="003F6449" w:rsidRDefault="003F6449" w14:paraId="79EF4FA7" w14:textId="43DD4339">
      <w:pPr>
        <w:rPr>
          <w:lang w:eastAsia="sv-SE"/>
        </w:rPr>
      </w:pPr>
      <w:r w:rsidRPr="00FC2616">
        <w:rPr>
          <w:lang w:eastAsia="sv-SE"/>
        </w:rPr>
        <w:t>Viktigt för en positiv utveckling av landsbygden är en aktiv, långsiktig regional</w:t>
      </w:r>
      <w:r w:rsidR="00C95529">
        <w:rPr>
          <w:lang w:eastAsia="sv-SE"/>
        </w:rPr>
        <w:softHyphen/>
      </w:r>
      <w:r w:rsidRPr="00FC2616">
        <w:rPr>
          <w:lang w:eastAsia="sv-SE"/>
        </w:rPr>
        <w:t xml:space="preserve">politik som ger kommunerna likvärdiga möjligheter och garanterar service, utbildning och infrastruktur i hela landet. Dessutom måste människor ges möjlighet till reellt inflytande över sin vardag. Det handlar dels om makt och fördelning av resurser, dels om att mobilisera den utvecklingskraft som finns i hela landet. Samma sak gäller för storstädernas förorter, där det geografiska avståndet till centrum inte nödvändigtvis är särskilt långt, men där man ändå lever med skilda villkor. Politikens uppgift är att skapa förutsättningarna för detta. </w:t>
      </w:r>
    </w:p>
    <w:p w:rsidRPr="00FC2616" w:rsidR="003F6449" w:rsidP="003F6449" w:rsidRDefault="003F6449" w14:paraId="6CCFA21E" w14:textId="3FC6FE11">
      <w:pPr>
        <w:rPr>
          <w:lang w:eastAsia="sv-SE"/>
        </w:rPr>
      </w:pPr>
      <w:r w:rsidRPr="00FC2616">
        <w:rPr>
          <w:lang w:eastAsia="sv-SE"/>
        </w:rPr>
        <w:t xml:space="preserve">Vänsterpartiets turism-, jordbruks-, skogs-, miljö- och </w:t>
      </w:r>
      <w:proofErr w:type="spellStart"/>
      <w:r w:rsidRPr="00FC2616">
        <w:rPr>
          <w:lang w:eastAsia="sv-SE"/>
        </w:rPr>
        <w:t>klimatpolitik</w:t>
      </w:r>
      <w:proofErr w:type="spellEnd"/>
      <w:r w:rsidRPr="00FC2616">
        <w:rPr>
          <w:lang w:eastAsia="sv-SE"/>
        </w:rPr>
        <w:t xml:space="preserve"> är intimt förbunden med utvecklingsmöjligheter för den svenska lands- och skogsbygden. </w:t>
      </w:r>
      <w:r w:rsidRPr="00FC2616" w:rsidR="00601BD8">
        <w:rPr>
          <w:lang w:eastAsia="sv-SE"/>
        </w:rPr>
        <w:t xml:space="preserve">Omfattande infrastruktursatsningar, arbetsmarknadsinsatser och investeringar i förnybar energi är viktiga delar i att skapa </w:t>
      </w:r>
      <w:r w:rsidRPr="00FC2616">
        <w:rPr>
          <w:lang w:eastAsia="sv-SE"/>
        </w:rPr>
        <w:t xml:space="preserve">en hållbar utveckling av den svenska landsbygden samtidigt som det skapar möjligheter för en hållbar klimatomställning. </w:t>
      </w:r>
    </w:p>
    <w:p w:rsidRPr="00FC2616" w:rsidR="00140A01" w:rsidP="00140A01" w:rsidRDefault="003F6449" w14:paraId="748B3AD4" w14:textId="1659A6E4">
      <w:pPr>
        <w:rPr>
          <w:lang w:eastAsia="sv-SE"/>
        </w:rPr>
      </w:pPr>
      <w:r w:rsidRPr="00FC2616">
        <w:rPr>
          <w:lang w:eastAsia="sv-SE"/>
        </w:rPr>
        <w:t xml:space="preserve">För </w:t>
      </w:r>
      <w:r w:rsidR="002B3236">
        <w:rPr>
          <w:lang w:eastAsia="sv-SE"/>
        </w:rPr>
        <w:t xml:space="preserve">att </w:t>
      </w:r>
      <w:r w:rsidRPr="00FC2616">
        <w:rPr>
          <w:lang w:eastAsia="sv-SE"/>
        </w:rPr>
        <w:t xml:space="preserve">företag över hela landet ska kunna utvecklas krävs bl.a. en upprustning och utbyggnad av transportinfrastrukturen, en fungerande telefoni och bredband och postservice. </w:t>
      </w:r>
      <w:r w:rsidRPr="00FC2616" w:rsidR="00662E59">
        <w:rPr>
          <w:lang w:eastAsia="sv-SE"/>
        </w:rPr>
        <w:t xml:space="preserve">Viktiga tågbanor som </w:t>
      </w:r>
      <w:proofErr w:type="spellStart"/>
      <w:r w:rsidRPr="00FC2616">
        <w:rPr>
          <w:lang w:eastAsia="sv-SE"/>
        </w:rPr>
        <w:t>Nor</w:t>
      </w:r>
      <w:r w:rsidR="00B55DF0">
        <w:rPr>
          <w:lang w:eastAsia="sv-SE"/>
        </w:rPr>
        <w:t>r</w:t>
      </w:r>
      <w:r w:rsidRPr="00FC2616">
        <w:rPr>
          <w:lang w:eastAsia="sv-SE"/>
        </w:rPr>
        <w:t>botniabanan</w:t>
      </w:r>
      <w:proofErr w:type="spellEnd"/>
      <w:r w:rsidRPr="00FC2616">
        <w:rPr>
          <w:lang w:eastAsia="sv-SE"/>
        </w:rPr>
        <w:t xml:space="preserve">, Inlandsbanan och nya stambanor, s.k. höghastighetsbanor är en nyckel för att Sverige ska hänga samman. Med en lånefinansierad satsning på nya stambanor för höghastighetståg samt investeringar på 490 miljarder kronor över tio år i en stärkt transportinfrastruktur med fokus på järnvägsutbyggnad stärker vi förutsättningarna för resande över landet, men även små och medelstora företags exportmöjligheter. </w:t>
      </w:r>
    </w:p>
    <w:p w:rsidRPr="00FC2616" w:rsidR="003F6449" w:rsidP="00140A01" w:rsidRDefault="00461DF1" w14:paraId="0C65AB47" w14:textId="25C0AB18">
      <w:pPr>
        <w:rPr>
          <w:lang w:eastAsia="sv-SE"/>
        </w:rPr>
      </w:pPr>
      <w:r w:rsidRPr="00FC2616">
        <w:rPr>
          <w:rFonts w:ascii="Times New Roman" w:hAnsi="Times New Roman" w:eastAsia="Times New Roman" w:cs="Times New Roman"/>
        </w:rPr>
        <w:t xml:space="preserve">Människor från andra länder </w:t>
      </w:r>
      <w:r w:rsidRPr="00FC2616" w:rsidR="003F6449">
        <w:rPr>
          <w:lang w:eastAsia="sv-SE"/>
        </w:rPr>
        <w:t xml:space="preserve">har stor betydelse för kompetensförsörjningen på landsbygden. Ett väl fungerande mottagande av nyanlända innebär en möjlighet för landsbygdens näringsliv och kommuner att få rätt kompetens. </w:t>
      </w:r>
      <w:bookmarkStart w:name="_Hlk116549317" w:id="12"/>
      <w:r w:rsidRPr="00FC2616" w:rsidR="001A1B76">
        <w:rPr>
          <w:lang w:eastAsia="sv-SE"/>
        </w:rPr>
        <w:t>Vänsterpartiet vill se en utökad närvaro av Arbetsförmedlingen och bemannade kontor utanför centralorten och att projektet Jämställd etablering blir en del av myndighetens ordinarie verksamhet i hela landet.</w:t>
      </w:r>
      <w:r w:rsidRPr="00FC2616" w:rsidR="00F727E9">
        <w:rPr>
          <w:lang w:eastAsia="sv-SE"/>
        </w:rPr>
        <w:t xml:space="preserve"> </w:t>
      </w:r>
    </w:p>
    <w:p w:rsidRPr="00FC2616" w:rsidR="00140A01" w:rsidP="00BA1FD2" w:rsidRDefault="003F6449" w14:paraId="5604E860" w14:textId="288523CC">
      <w:r w:rsidRPr="00FC2616">
        <w:rPr>
          <w:lang w:eastAsia="sv-SE"/>
        </w:rPr>
        <w:t xml:space="preserve">Vården kommer alltid att vara mer kostnadskrävande i glesbygden, </w:t>
      </w:r>
      <w:r w:rsidR="00B970DB">
        <w:rPr>
          <w:lang w:eastAsia="sv-SE"/>
        </w:rPr>
        <w:t xml:space="preserve">och </w:t>
      </w:r>
      <w:r w:rsidRPr="00FC2616">
        <w:rPr>
          <w:lang w:eastAsia="sv-SE"/>
        </w:rPr>
        <w:t xml:space="preserve">därför måste våra gemensamma resurser fördelas efter de förutsättningarna. Vänsterpartiet vill se en nationell styrning för en jämlik sjukvård i hela </w:t>
      </w:r>
      <w:r w:rsidRPr="00FC2616" w:rsidR="00AC2553">
        <w:rPr>
          <w:lang w:eastAsia="sv-SE"/>
        </w:rPr>
        <w:t xml:space="preserve">Sverige </w:t>
      </w:r>
      <w:r w:rsidRPr="00FC2616">
        <w:rPr>
          <w:lang w:eastAsia="sv-SE"/>
        </w:rPr>
        <w:t xml:space="preserve">och att samhället står som garant för en likvärdig vård och omsorg. För att säkra tillgången </w:t>
      </w:r>
      <w:r w:rsidR="00A54010">
        <w:rPr>
          <w:lang w:eastAsia="sv-SE"/>
        </w:rPr>
        <w:t>till</w:t>
      </w:r>
      <w:r w:rsidRPr="00FC2616">
        <w:rPr>
          <w:lang w:eastAsia="sv-SE"/>
        </w:rPr>
        <w:t xml:space="preserve"> vård och omsorg också i glest befolkade områden vill vi se ett glesbygdstillägg om </w:t>
      </w:r>
      <w:r w:rsidRPr="00FC2616" w:rsidR="00AD6248">
        <w:rPr>
          <w:lang w:eastAsia="sv-SE"/>
        </w:rPr>
        <w:t>1</w:t>
      </w:r>
      <w:r w:rsidR="00C30D40">
        <w:rPr>
          <w:lang w:eastAsia="sv-SE"/>
        </w:rPr>
        <w:t> </w:t>
      </w:r>
      <w:r w:rsidRPr="00FC2616">
        <w:rPr>
          <w:lang w:eastAsia="sv-SE"/>
        </w:rPr>
        <w:t xml:space="preserve">miljard </w:t>
      </w:r>
      <w:r w:rsidRPr="00FC2616" w:rsidR="00AD6248">
        <w:rPr>
          <w:lang w:eastAsia="sv-SE"/>
        </w:rPr>
        <w:t xml:space="preserve">kronor </w:t>
      </w:r>
      <w:r w:rsidRPr="00FC2616">
        <w:rPr>
          <w:lang w:eastAsia="sv-SE"/>
        </w:rPr>
        <w:t xml:space="preserve">inom sjukvården. </w:t>
      </w:r>
      <w:r w:rsidRPr="00FC2616" w:rsidR="00271566">
        <w:rPr>
          <w:lang w:eastAsia="sv-SE"/>
        </w:rPr>
        <w:t xml:space="preserve">Dessutom vill vi se utökade medel för att kunna </w:t>
      </w:r>
      <w:r w:rsidRPr="00FC2616" w:rsidR="00271566">
        <w:t>erbjuda sjuksköterskor, inklusive barnmorskor, betald specialistutbildning i hela landet.</w:t>
      </w:r>
    </w:p>
    <w:bookmarkEnd w:id="12"/>
    <w:p w:rsidRPr="00FC2616" w:rsidR="00F66EC1" w:rsidDel="00204478" w:rsidP="00204478" w:rsidRDefault="007A61E1" w14:paraId="0254C8C3" w14:textId="1A68C42A">
      <w:pPr>
        <w:rPr>
          <w:lang w:eastAsia="sv-SE"/>
        </w:rPr>
      </w:pPr>
      <w:r w:rsidRPr="00FC2616">
        <w:rPr>
          <w:lang w:eastAsia="sv-SE"/>
        </w:rPr>
        <w:lastRenderedPageBreak/>
        <w:t>Jobben är helt avgörande för landsbygdens och förorternas framtid. Våra gemen</w:t>
      </w:r>
      <w:r w:rsidR="00C95529">
        <w:rPr>
          <w:lang w:eastAsia="sv-SE"/>
        </w:rPr>
        <w:softHyphen/>
      </w:r>
      <w:r w:rsidRPr="00FC2616">
        <w:rPr>
          <w:lang w:eastAsia="sv-SE"/>
        </w:rPr>
        <w:t>samma rikedomar skapas av hela landets resurser och hela landets arbete. Därför ska frukterna av det arbetet också komma hela landet till del. Vi behöver en annan politik, en politik som ger hopp och skapar förutsättningar för jobb, bostäder och god offentlig service och som fördelar resurserna jämlikt. Den negativa arbetslinjen måste ersättas med den positiva.</w:t>
      </w:r>
    </w:p>
    <w:p w:rsidRPr="00FC2616" w:rsidR="0049685F" w:rsidP="0049685F" w:rsidRDefault="0049685F" w14:paraId="0C6DDD19" w14:textId="77777777">
      <w:pPr>
        <w:pStyle w:val="Rubrik2numrerat"/>
      </w:pPr>
      <w:bookmarkStart w:name="_Toc149814513" w:id="13"/>
      <w:r w:rsidRPr="00FC2616">
        <w:t>Marknaden hör inte hemma i välfärden</w:t>
      </w:r>
      <w:bookmarkEnd w:id="13"/>
    </w:p>
    <w:p w:rsidRPr="00FC2616" w:rsidR="0049685F" w:rsidP="0049685F" w:rsidRDefault="0049685F" w14:paraId="21EEF492" w14:textId="227D6AAF">
      <w:pPr>
        <w:pStyle w:val="Normalutanindragellerluft"/>
      </w:pPr>
      <w:r w:rsidRPr="00FC2616">
        <w:t xml:space="preserve">I samband med </w:t>
      </w:r>
      <w:r w:rsidRPr="00FC2616" w:rsidR="00EA3050">
        <w:t>19</w:t>
      </w:r>
      <w:r w:rsidRPr="00FC2616">
        <w:t xml:space="preserve">90-talskrisen gjordes stora förändringar i styrningen av välfärden. Från att i huvudsak </w:t>
      </w:r>
      <w:r w:rsidR="005841B2">
        <w:t xml:space="preserve">ha </w:t>
      </w:r>
      <w:r w:rsidRPr="00FC2616">
        <w:t>drivits i egen regi öppnades välfärden upp för privata marknads</w:t>
      </w:r>
      <w:r w:rsidR="00C95529">
        <w:softHyphen/>
      </w:r>
      <w:r w:rsidRPr="00FC2616">
        <w:t xml:space="preserve">intressen. </w:t>
      </w:r>
      <w:r w:rsidRPr="00FC2616" w:rsidR="00565E8F">
        <w:t>Sedan dess</w:t>
      </w:r>
      <w:r w:rsidRPr="00FC2616">
        <w:t xml:space="preserve"> tid har marknaden trängt djupt in i skolan, sjukvården och äldreomsorgen på ett sätt som inneburit en ineffektiv och ojämlik resursfördelning.</w:t>
      </w:r>
    </w:p>
    <w:p w:rsidRPr="00FC2616" w:rsidR="0049685F" w:rsidP="0049685F" w:rsidRDefault="0049685F" w14:paraId="67295C2E" w14:textId="293E8C28">
      <w:r w:rsidRPr="00FC2616">
        <w:t>År 2000 var ca 9</w:t>
      </w:r>
      <w:r w:rsidR="00334093">
        <w:t> </w:t>
      </w:r>
      <w:r w:rsidRPr="00FC2616">
        <w:t>procent av alla välfärdsarbetare anställda i privata företag</w:t>
      </w:r>
      <w:r w:rsidR="00334093">
        <w:t>;</w:t>
      </w:r>
      <w:r w:rsidRPr="00FC2616">
        <w:t xml:space="preserve"> i</w:t>
      </w:r>
      <w:r w:rsidRPr="00FC2616" w:rsidR="00EA3050">
        <w:t xml:space="preserve"> </w:t>
      </w:r>
      <w:r w:rsidRPr="00FC2616">
        <w:t>dag är det så mycket som 20</w:t>
      </w:r>
      <w:r w:rsidR="00334093">
        <w:t> </w:t>
      </w:r>
      <w:r w:rsidRPr="00FC2616">
        <w:t>procent. Marknadsreformerna har inte inneburit någon ökning av andelen vård, skola och omsorg som bedrivs i ideella föreningar och stiftelser.</w:t>
      </w:r>
      <w:r w:rsidRPr="00FC2616">
        <w:rPr>
          <w:rFonts w:eastAsia="Times New Roman"/>
          <w:vertAlign w:val="superscript"/>
          <w:lang w:eastAsia="sv-SE"/>
        </w:rPr>
        <w:footnoteReference w:id="17"/>
      </w:r>
      <w:r w:rsidRPr="00FC2616">
        <w:t xml:space="preserve"> </w:t>
      </w:r>
    </w:p>
    <w:p w:rsidRPr="00FC2616" w:rsidR="0049685F" w:rsidP="0049685F" w:rsidRDefault="0049685F" w14:paraId="0D544479" w14:textId="4AC5DE09">
      <w:pPr>
        <w:rPr>
          <w:rFonts w:eastAsia="Times New Roman"/>
          <w:lang w:eastAsia="sv-SE"/>
        </w:rPr>
      </w:pPr>
      <w:r w:rsidRPr="00FC2616">
        <w:rPr>
          <w:rFonts w:eastAsia="Times New Roman"/>
          <w:lang w:eastAsia="sv-SE"/>
        </w:rPr>
        <w:t>Den svenska skolan har blivit alltmer segregerad, såväl socialt som etniskt och geografiskt</w:t>
      </w:r>
      <w:r w:rsidR="00CA31B5">
        <w:rPr>
          <w:rFonts w:eastAsia="Times New Roman"/>
          <w:lang w:eastAsia="sv-SE"/>
        </w:rPr>
        <w:t>,</w:t>
      </w:r>
      <w:r w:rsidRPr="00FC2616">
        <w:rPr>
          <w:rFonts w:eastAsia="Times New Roman"/>
          <w:lang w:eastAsia="sv-SE"/>
        </w:rPr>
        <w:t xml:space="preserve"> och elever med olika bakgrund möts i allt lägre grad i klassrummen. Det råder i</w:t>
      </w:r>
      <w:r w:rsidRPr="00FC2616" w:rsidR="00EA3050">
        <w:rPr>
          <w:rFonts w:eastAsia="Times New Roman"/>
          <w:lang w:eastAsia="sv-SE"/>
        </w:rPr>
        <w:t xml:space="preserve"> </w:t>
      </w:r>
      <w:r w:rsidRPr="00FC2616">
        <w:rPr>
          <w:rFonts w:eastAsia="Times New Roman"/>
          <w:lang w:eastAsia="sv-SE"/>
        </w:rPr>
        <w:t>dag bred konsensus inom forskningen om att skolval och en ökad förekomst av fristående skolor bidragit till ökad snarare än minskad social och etnisk segregation i den svenska grundskolan. Dessa slutsatser får också stöd av internationella erfarenheter av skolval, enligt bl</w:t>
      </w:r>
      <w:r w:rsidRPr="00FC2616" w:rsidR="00EA3050">
        <w:rPr>
          <w:rFonts w:eastAsia="Times New Roman"/>
          <w:lang w:eastAsia="sv-SE"/>
        </w:rPr>
        <w:t>.</w:t>
      </w:r>
      <w:r w:rsidRPr="00FC2616">
        <w:rPr>
          <w:rFonts w:eastAsia="Times New Roman"/>
          <w:lang w:eastAsia="sv-SE"/>
        </w:rPr>
        <w:t>a</w:t>
      </w:r>
      <w:r w:rsidRPr="00FC2616" w:rsidR="00EA3050">
        <w:rPr>
          <w:rFonts w:eastAsia="Times New Roman"/>
          <w:lang w:eastAsia="sv-SE"/>
        </w:rPr>
        <w:t>.</w:t>
      </w:r>
      <w:r w:rsidRPr="00FC2616">
        <w:rPr>
          <w:rFonts w:eastAsia="Times New Roman"/>
          <w:lang w:eastAsia="sv-SE"/>
        </w:rPr>
        <w:t xml:space="preserve"> OECD. En forskningsöversikt av internationella erfarenheter visar att skolval alltid, oavsett sammanhang och specifika detaljer i skolvalets konstruktion, lett till ökad segregation</w:t>
      </w:r>
      <w:r w:rsidRPr="00FC2616">
        <w:rPr>
          <w:rFonts w:eastAsia="Calibri"/>
          <w:lang w:eastAsia="sv-SE"/>
        </w:rPr>
        <w:t>.</w:t>
      </w:r>
      <w:r w:rsidRPr="00FC2616">
        <w:rPr>
          <w:rFonts w:eastAsia="Times New Roman"/>
          <w:vertAlign w:val="superscript"/>
          <w:lang w:eastAsia="sv-SE"/>
        </w:rPr>
        <w:footnoteReference w:id="18"/>
      </w:r>
      <w:r w:rsidRPr="00FC2616">
        <w:rPr>
          <w:rFonts w:eastAsia="Times New Roman"/>
          <w:lang w:eastAsia="sv-SE"/>
        </w:rPr>
        <w:t xml:space="preserve"> </w:t>
      </w:r>
    </w:p>
    <w:p w:rsidRPr="00FC2616" w:rsidR="001F2091" w:rsidP="001F2091" w:rsidRDefault="0049685F" w14:paraId="64F86211" w14:textId="4072720C">
      <w:r w:rsidRPr="00FC2616">
        <w:t>En vård och omsorg som ges efter behov fyller en mycket viktig omfördelande funktion. För även om medellivslängden har ökat generellt de senaste decennierna varierar utvecklingen beroende på exempelvis klass och kön. Bland kvinnor med förgymnasial utbildning har den förväntade medellivslängden förkortats medan den förväntade medellivslängden</w:t>
      </w:r>
      <w:r w:rsidR="004F3AE7">
        <w:t xml:space="preserve"> </w:t>
      </w:r>
      <w:r w:rsidRPr="00FC2616" w:rsidR="004F3AE7">
        <w:t>för både män och kvinnor med gymnasial och efter</w:t>
      </w:r>
      <w:r w:rsidR="00C95529">
        <w:softHyphen/>
      </w:r>
      <w:r w:rsidRPr="00FC2616" w:rsidR="004F3AE7">
        <w:t>gymnasial utbildning ökar</w:t>
      </w:r>
      <w:r w:rsidRPr="00FC2616">
        <w:t>, från redan högre nivåer. Dessutom varierar antalet friska år utifrån klass och kön.</w:t>
      </w:r>
      <w:r w:rsidRPr="00FC2616">
        <w:rPr>
          <w:rFonts w:eastAsia="Calibri"/>
          <w:vertAlign w:val="superscript"/>
        </w:rPr>
        <w:footnoteReference w:id="19"/>
      </w:r>
      <w:r w:rsidRPr="00FC2616" w:rsidR="001F2091">
        <w:t xml:space="preserve"> </w:t>
      </w:r>
    </w:p>
    <w:p w:rsidRPr="00FC2616" w:rsidR="001F2091" w:rsidP="001F2091" w:rsidRDefault="001F2091" w14:paraId="7E286B1F" w14:textId="75036A23">
      <w:r w:rsidRPr="00FC2616">
        <w:t xml:space="preserve">Den här utvecklingen saknar folkligt stöd. Majoriteten av </w:t>
      </w:r>
      <w:r w:rsidR="008D3C50">
        <w:t xml:space="preserve">de </w:t>
      </w:r>
      <w:r w:rsidRPr="00FC2616">
        <w:t>svenska medborgar</w:t>
      </w:r>
      <w:r w:rsidR="008D3C50">
        <w:t>na</w:t>
      </w:r>
      <w:r w:rsidRPr="00FC2616">
        <w:t xml:space="preserve"> är negativa till privatiseringen av sjukvård och äldreomsorg och att satsa mer på friskolor. Skepsisen i befolkningen har ökat i takt med att den privata marknaden har ökat.</w:t>
      </w:r>
      <w:r w:rsidRPr="00FC2616">
        <w:rPr>
          <w:rStyle w:val="Fotnotsreferens"/>
        </w:rPr>
        <w:footnoteReference w:id="20"/>
      </w:r>
    </w:p>
    <w:p w:rsidRPr="00FC2616" w:rsidR="0049685F" w:rsidP="001F2091" w:rsidRDefault="0049685F" w14:paraId="7449021A" w14:textId="018E123A">
      <w:r w:rsidRPr="00FC2616">
        <w:t>Förutsättningarna för välfärden att minska klyftorna i folkhälsa, som följer av ojämlikheten i samhället, kräver att välfärden kan verka kompensatoriskt. Välfärds</w:t>
      </w:r>
      <w:r w:rsidR="00C95529">
        <w:softHyphen/>
      </w:r>
      <w:r w:rsidRPr="00FC2616">
        <w:t xml:space="preserve">resurserna måste därför styras efter en behovsprincip, där störst behov kommer först. </w:t>
      </w:r>
      <w:r w:rsidRPr="00FC2616">
        <w:lastRenderedPageBreak/>
        <w:t>För nätläkarbolagen och andra privata vårdgivare är de friskaste patienterna, som kräver minst insats men ger hög ersättning, de mest lönsamma. Dessa aktörers utbredning inom välfärden har gjort vinstmöjligheterna mer styrande av hur vårdresurserna fördelas i</w:t>
      </w:r>
      <w:r w:rsidRPr="00FC2616" w:rsidR="009B1A74">
        <w:t xml:space="preserve"> </w:t>
      </w:r>
      <w:r w:rsidRPr="00FC2616">
        <w:t xml:space="preserve">stället för att behoven </w:t>
      </w:r>
      <w:r w:rsidR="001524F0">
        <w:t xml:space="preserve">tillåts </w:t>
      </w:r>
      <w:r w:rsidRPr="00FC2616">
        <w:t xml:space="preserve">styra. Därmed blir det också den offentliga vårdens ansvar att vårda de med störst vårdbehov, vilket innebär </w:t>
      </w:r>
      <w:r w:rsidR="00357229">
        <w:t xml:space="preserve">en </w:t>
      </w:r>
      <w:r w:rsidRPr="00FC2616">
        <w:t xml:space="preserve">ökad belastning på den offentliga vården. </w:t>
      </w:r>
    </w:p>
    <w:p w:rsidRPr="00FC2616" w:rsidR="0049685F" w:rsidP="0049685F" w:rsidRDefault="0049685F" w14:paraId="2FE29EC0" w14:textId="6D528160">
      <w:pPr>
        <w:rPr>
          <w:rFonts w:eastAsia="Calibri"/>
        </w:rPr>
      </w:pPr>
      <w:r w:rsidRPr="00FC2616">
        <w:rPr>
          <w:rFonts w:eastAsia="Calibri"/>
        </w:rPr>
        <w:t xml:space="preserve">För att minska de negativa och segregerande effekter som de fristående skolorna har på utbildningsväsendet behöver de flera bestämmelser som på olika sätt gynnar de fristående skolorna ses över. Möjligheten för friskolor att anta elever baserat på kötid bör avskaffas eftersom denna möjlighet har en segregerande effekt och samma regler bör gälla </w:t>
      </w:r>
      <w:r w:rsidR="009E0153">
        <w:rPr>
          <w:rFonts w:eastAsia="Calibri"/>
        </w:rPr>
        <w:t xml:space="preserve">för </w:t>
      </w:r>
      <w:r w:rsidRPr="00FC2616">
        <w:rPr>
          <w:rFonts w:eastAsia="Calibri"/>
        </w:rPr>
        <w:t>alla skolor.</w:t>
      </w:r>
    </w:p>
    <w:p w:rsidRPr="00FC2616" w:rsidR="0049685F" w:rsidP="0049685F" w:rsidRDefault="0049685F" w14:paraId="6E315D64" w14:textId="6DA69E88">
      <w:r w:rsidRPr="00FC2616">
        <w:t xml:space="preserve">Vänsterpartiet anser att den svenska sjukvården och äldreomsorgen behöver återgå till att styras med utgångspunkt från </w:t>
      </w:r>
      <w:r w:rsidRPr="00FC2616" w:rsidR="009B1A74">
        <w:t>h</w:t>
      </w:r>
      <w:r w:rsidRPr="00FC2616" w:rsidR="00124944">
        <w:t>älso- och sjukvårdslagens portalparagraf om vård efter behov</w:t>
      </w:r>
      <w:r w:rsidRPr="00FC2616">
        <w:t xml:space="preserve">. De nyliberala dogmerna måste </w:t>
      </w:r>
      <w:r w:rsidRPr="00FC2616" w:rsidR="00C63463">
        <w:t xml:space="preserve">mönstras </w:t>
      </w:r>
      <w:r w:rsidRPr="00FC2616">
        <w:t>ut.</w:t>
      </w:r>
    </w:p>
    <w:p w:rsidRPr="00FC2616" w:rsidR="0049685F" w:rsidP="00B50CBA" w:rsidRDefault="0049685F" w14:paraId="76D8B14C" w14:textId="77777777">
      <w:pPr>
        <w:pStyle w:val="Rubrik3numrerat"/>
      </w:pPr>
      <w:bookmarkStart w:name="_Toc115271211" w:id="14"/>
      <w:bookmarkStart w:name="_Toc116040842" w:id="15"/>
      <w:bookmarkStart w:name="_Toc149814514" w:id="16"/>
      <w:r w:rsidRPr="00FC2616">
        <w:t xml:space="preserve">Vinstförbud i </w:t>
      </w:r>
      <w:bookmarkEnd w:id="14"/>
      <w:bookmarkEnd w:id="15"/>
      <w:r w:rsidRPr="00FC2616">
        <w:t>välfärden</w:t>
      </w:r>
      <w:bookmarkEnd w:id="16"/>
    </w:p>
    <w:p w:rsidRPr="00FC2616" w:rsidR="0049685F" w:rsidP="00E909F7" w:rsidRDefault="0049685F" w14:paraId="6A143E1F" w14:textId="2DA2C451">
      <w:pPr>
        <w:pStyle w:val="Normalutanindragellerluft"/>
      </w:pPr>
      <w:r w:rsidRPr="00FC2616">
        <w:t>Sverige är i</w:t>
      </w:r>
      <w:r w:rsidRPr="00FC2616" w:rsidR="009B1A74">
        <w:t xml:space="preserve"> </w:t>
      </w:r>
      <w:r w:rsidRPr="00FC2616">
        <w:t>dag ensam</w:t>
      </w:r>
      <w:r w:rsidRPr="00FC2616" w:rsidR="5CEBE8D9">
        <w:t>t</w:t>
      </w:r>
      <w:r w:rsidRPr="00FC2616">
        <w:t xml:space="preserve"> i världen med att ha en lagstiftning som tillåter att skolor startas för att plocka ut vinster från skattemedel, helt utan begränsningar. Vinstdrivande fristående skolor etablerar sig där de har bäst. Vinstdrivna skolor har även ett intresse av att driva upp elevernas betyg med förhoppningen om att locka till sig fler elever. Offentligt drivna skolor är skyldiga att erbjuda alla elever utbildning, även barn som behöver mer stöd och barn vars tidigare skolor har försatts i konkurs.</w:t>
      </w:r>
    </w:p>
    <w:p w:rsidRPr="00FC2616" w:rsidR="0049685F" w:rsidP="00E909F7" w:rsidRDefault="0049685F" w14:paraId="07B9BF11" w14:textId="425DE2B5">
      <w:pPr>
        <w:tabs>
          <w:tab w:val="clear" w:pos="284"/>
        </w:tabs>
      </w:pPr>
      <w:r w:rsidRPr="00FC2616">
        <w:t xml:space="preserve">Vinstintresset förvrider välfärdens sätt att fungera. Den fria företagsetableringen innebär en ineffektiv resursallokering när vinstintresset snarare än medborgarintresset </w:t>
      </w:r>
      <w:r w:rsidRPr="00FC2616" w:rsidR="004A4062">
        <w:t xml:space="preserve">också </w:t>
      </w:r>
      <w:r w:rsidRPr="00FC2616">
        <w:t>styr var vårdcentraler eller äldreboenden öppnas. Vårdcentraler och läkar</w:t>
      </w:r>
      <w:r w:rsidR="00C95529">
        <w:softHyphen/>
      </w:r>
      <w:r w:rsidRPr="00FC2616">
        <w:t>mottagningar etablerar sig mycket oftare i områden där folk är välbeställda och relativt friska och riktar sin marknadsföring mot dessa grupper. Det gör att vårdens pengar inte räcker till områden där människor har lägre inkomster och där ohälsan är högre och sjukdomsbilden mer komplex.</w:t>
      </w:r>
    </w:p>
    <w:p w:rsidRPr="00FC2616" w:rsidR="0049685F" w:rsidP="0049685F" w:rsidRDefault="0049685F" w14:paraId="7BE3B4A2" w14:textId="037D27AB">
      <w:pPr>
        <w:tabs>
          <w:tab w:val="clear" w:pos="284"/>
        </w:tabs>
      </w:pPr>
      <w:r w:rsidRPr="00FC2616">
        <w:t>Personalen är avgörande för kvaliteten i skolan, vården och omsorgen. Det är också den som kostar mest pengar. Därför är det inte konstigt att välfärdsföretagen oftast sparar in på personalen för att göra vinst. Inom äldreomsorgen har privatiseringarna resulterat i många timvikarier, lägre bemanning, hög personalomsättning och sämre löner.</w:t>
      </w:r>
      <w:r w:rsidRPr="00FC2616">
        <w:rPr>
          <w:rStyle w:val="Fotnotsreferens"/>
        </w:rPr>
        <w:footnoteReference w:id="21"/>
      </w:r>
      <w:r w:rsidRPr="00FC2616">
        <w:t xml:space="preserve"> Enskilda förskolor har </w:t>
      </w:r>
      <w:r w:rsidR="005B2396">
        <w:t xml:space="preserve">en </w:t>
      </w:r>
      <w:r w:rsidRPr="00FC2616">
        <w:t>betydligt lägre andel utbildade förskollärare än de kommunala.</w:t>
      </w:r>
      <w:r w:rsidRPr="00FC2616">
        <w:rPr>
          <w:rStyle w:val="Fotnotsreferens"/>
        </w:rPr>
        <w:footnoteReference w:id="22"/>
      </w:r>
    </w:p>
    <w:p w:rsidRPr="00FC2616" w:rsidR="0049685F" w:rsidP="00E909F7" w:rsidRDefault="0049685F" w14:paraId="13E7D145" w14:textId="26CF16F8">
      <w:pPr>
        <w:tabs>
          <w:tab w:val="clear" w:pos="284"/>
        </w:tabs>
      </w:pPr>
      <w:r w:rsidRPr="00FC2616">
        <w:t>I</w:t>
      </w:r>
      <w:r w:rsidRPr="00FC2616" w:rsidR="00896804">
        <w:t xml:space="preserve"> </w:t>
      </w:r>
      <w:r w:rsidRPr="00FC2616">
        <w:t>dag går flera miljarder</w:t>
      </w:r>
      <w:r w:rsidRPr="00FC2616" w:rsidR="009B1A74">
        <w:t xml:space="preserve"> kronor</w:t>
      </w:r>
      <w:r w:rsidRPr="00FC2616">
        <w:t xml:space="preserve"> av det vi betalar i skatt för välfärd i</w:t>
      </w:r>
      <w:r w:rsidRPr="00FC2616" w:rsidR="009B1A74">
        <w:t xml:space="preserve"> </w:t>
      </w:r>
      <w:r w:rsidRPr="00FC2616">
        <w:t>stället till privata vinster. Avkastning</w:t>
      </w:r>
      <w:r w:rsidR="0015505D">
        <w:t>en</w:t>
      </w:r>
      <w:r w:rsidRPr="00FC2616">
        <w:t xml:space="preserve"> på eget kapital för företag inom hälso- och sjukvård var i snitt 24,5</w:t>
      </w:r>
      <w:r w:rsidR="0015505D">
        <w:t> </w:t>
      </w:r>
      <w:r w:rsidRPr="00FC2616">
        <w:t>procent 2019.</w:t>
      </w:r>
      <w:r w:rsidRPr="00FC2616">
        <w:rPr>
          <w:rStyle w:val="Fotnotsreferens"/>
        </w:rPr>
        <w:footnoteReference w:id="23"/>
      </w:r>
      <w:r w:rsidRPr="00FC2616">
        <w:t xml:space="preserve"> Det kan jämföras med avkastning</w:t>
      </w:r>
      <w:r w:rsidR="00D50C8D">
        <w:t>en</w:t>
      </w:r>
      <w:r w:rsidRPr="00FC2616">
        <w:t xml:space="preserve"> på eget kapital i hela tjänste</w:t>
      </w:r>
      <w:r w:rsidR="00C95529">
        <w:softHyphen/>
      </w:r>
      <w:r w:rsidRPr="00FC2616">
        <w:t>sektorn samma år som var 13,7</w:t>
      </w:r>
      <w:r w:rsidR="00CC3DC8">
        <w:t> </w:t>
      </w:r>
      <w:r w:rsidRPr="00FC2616">
        <w:t>procent. Vinstuttagen från välfärdsföretagen är svåra att reglera. Flera tar inte ut överskottet i verksamheten i vinst samma år, utan investerar i nya verksamheter eller uppköp av andra företag. Överskottet används då för att expandera och därmed höja värdet på företaget, som sedan kan säljas med stor vinst.</w:t>
      </w:r>
    </w:p>
    <w:p w:rsidRPr="00FC2616" w:rsidR="0049685F" w:rsidP="00E909F7" w:rsidRDefault="0049685F" w14:paraId="15858790" w14:textId="71B0E588">
      <w:pPr>
        <w:tabs>
          <w:tab w:val="clear" w:pos="284"/>
        </w:tabs>
      </w:pPr>
      <w:r w:rsidRPr="00FC2616">
        <w:lastRenderedPageBreak/>
        <w:t>Det har aldrig funnits en majoritet bland medborgarna för att tillåta vinstutdelning i skattefinansierad vård, skola och omsorg. Två tredjedelar av befolkningen tycker att det är ett bra förslag att inte tillåta vinstutdelning i skattefinansierad vård, skola och omsorg och andelen har ökat sedan 2019.</w:t>
      </w:r>
      <w:r w:rsidRPr="00FC2616">
        <w:rPr>
          <w:rStyle w:val="Fotnotsreferens"/>
        </w:rPr>
        <w:footnoteReference w:id="24"/>
      </w:r>
      <w:r w:rsidRPr="00FC2616">
        <w:t xml:space="preserve"> Lobbyism</w:t>
      </w:r>
      <w:r w:rsidR="009515AF">
        <w:t>en</w:t>
      </w:r>
      <w:r w:rsidRPr="00FC2616">
        <w:t xml:space="preserve"> för vinstdrivande aktörer i välfärden har dock ökat markant, vilket skulle kunna förklara den stora diskrepansen mellan majori</w:t>
      </w:r>
      <w:r w:rsidR="00C95529">
        <w:softHyphen/>
      </w:r>
      <w:r w:rsidRPr="00FC2616">
        <w:t>teten av riksdagspartiernas positiva inställning till vinster i välfärden och medborgarnas motstånd till desamma.</w:t>
      </w:r>
    </w:p>
    <w:p w:rsidRPr="00FC2616" w:rsidR="0049685F" w:rsidP="00E909F7" w:rsidRDefault="0049685F" w14:paraId="44CCB176" w14:textId="2A629083">
      <w:pPr>
        <w:tabs>
          <w:tab w:val="clear" w:pos="284"/>
        </w:tabs>
      </w:pPr>
      <w:r w:rsidRPr="00FC2616">
        <w:t xml:space="preserve">En välfärd utan vinstintresse är en fråga som Vänsterpartiet kommer </w:t>
      </w:r>
      <w:r w:rsidR="00D22242">
        <w:t xml:space="preserve">att </w:t>
      </w:r>
      <w:r w:rsidRPr="00FC2616">
        <w:t>fortsätta att prioritera under kommande mandatperiod. Vi bedömer att det redan i</w:t>
      </w:r>
      <w:r w:rsidRPr="00FC2616" w:rsidR="009B1A74">
        <w:t xml:space="preserve"> </w:t>
      </w:r>
      <w:r w:rsidRPr="00FC2616">
        <w:t>dag finns till</w:t>
      </w:r>
      <w:r w:rsidR="00C95529">
        <w:softHyphen/>
      </w:r>
      <w:r w:rsidRPr="00FC2616">
        <w:t>räckligt med underlag för att fråga</w:t>
      </w:r>
      <w:r w:rsidR="00B97082">
        <w:t>n</w:t>
      </w:r>
      <w:r w:rsidRPr="00FC2616">
        <w:t xml:space="preserve"> ska kunna utredas skyndsamt och ett vinstförbud ska kunna träda i kraft de närmaste åren.</w:t>
      </w:r>
    </w:p>
    <w:p w:rsidRPr="00FC2616" w:rsidR="0049685F" w:rsidP="00B50CBA" w:rsidRDefault="0049685F" w14:paraId="7BC0E73C" w14:textId="77777777">
      <w:pPr>
        <w:pStyle w:val="Rubrik3numrerat"/>
      </w:pPr>
      <w:bookmarkStart w:name="_Toc111116277" w:id="17"/>
      <w:bookmarkStart w:name="_Toc111475356" w:id="18"/>
      <w:bookmarkStart w:name="_Toc112409784" w:id="19"/>
      <w:bookmarkStart w:name="_Toc116040836" w:id="20"/>
      <w:bookmarkStart w:name="_Toc115271212" w:id="21"/>
      <w:bookmarkStart w:name="_Toc116040843" w:id="22"/>
      <w:bookmarkStart w:name="_Toc149814515" w:id="23"/>
      <w:r w:rsidRPr="00FC2616">
        <w:t>Valfrihet för brukare, inte företag</w:t>
      </w:r>
      <w:bookmarkEnd w:id="17"/>
      <w:bookmarkEnd w:id="18"/>
      <w:bookmarkEnd w:id="19"/>
      <w:bookmarkEnd w:id="20"/>
      <w:bookmarkEnd w:id="23"/>
    </w:p>
    <w:p w:rsidRPr="00FC2616" w:rsidR="0049685F" w:rsidP="00E909F7" w:rsidRDefault="0049685F" w14:paraId="256AC367" w14:textId="37489624">
      <w:pPr>
        <w:pStyle w:val="Normalutanindragellerluft"/>
      </w:pPr>
      <w:r w:rsidRPr="00FC2616">
        <w:t>LOV innebär fri etableringsrätt för alla företag som lever upp till de av kommunen ställda kvalitetskraven inom omsorgsområdet.</w:t>
      </w:r>
      <w:r w:rsidRPr="00FC2616">
        <w:rPr>
          <w:rStyle w:val="Fotnotsreferens"/>
        </w:rPr>
        <w:footnoteReference w:id="25"/>
      </w:r>
      <w:r w:rsidRPr="00FC2616">
        <w:t xml:space="preserve"> Sedan baseras resurserna från kommunen på hur många brukare de lyckas locka till sig. Systemet är obligatoriskt för regionerna inom primärvården sedan 2010 men frivilligt för kommuner i övrigt.</w:t>
      </w:r>
    </w:p>
    <w:p w:rsidRPr="00FC2616" w:rsidR="0049685F" w:rsidP="00E909F7" w:rsidRDefault="0049685F" w14:paraId="56E376D0" w14:textId="5A0630BA">
      <w:pPr>
        <w:tabs>
          <w:tab w:val="clear" w:pos="284"/>
        </w:tabs>
      </w:pPr>
      <w:r w:rsidRPr="00FC2616">
        <w:t>Ett syfte med vårdvalet är att det ska öka tillgängligheten. Det gör det, men sannolikt inte där ökad tillgänglighet behövs. De riktigt stora vårdbehoven finns dock inte i Stockholms innerstad utan i förorter och bostadsområden i utkanten av städerna, där privata aktörer med vinstintresse inte har lika starka drivkrafter att etablera sig.</w:t>
      </w:r>
    </w:p>
    <w:p w:rsidRPr="00FC2616" w:rsidR="0049685F" w:rsidP="00E909F7" w:rsidRDefault="0049685F" w14:paraId="334B9B11" w14:textId="224EC00B">
      <w:pPr>
        <w:tabs>
          <w:tab w:val="clear" w:pos="284"/>
        </w:tabs>
      </w:pPr>
      <w:r w:rsidRPr="00FC2616">
        <w:t>Det fria vårdvalet med den fria etableringsrätten har lett till fler huvudmän och därmed en bristande samordning av vården. De ökade inslagen av privata aktörer och införandet av valfrihetsmodeller ger också upphov till större byråkrati i och med att behoven av kontroll och uppföljning ökar. Denna väg leder allt längre bort från inne</w:t>
      </w:r>
      <w:r w:rsidR="00C95529">
        <w:softHyphen/>
      </w:r>
      <w:r w:rsidRPr="00FC2616">
        <w:t>hållet i hälso- och sjukvårdslagen och jämlik vård. Valfriheten ska gälla för de som behöver vård och omsorg, inte för privata företag.</w:t>
      </w:r>
      <w:bookmarkEnd w:id="21"/>
      <w:bookmarkEnd w:id="22"/>
    </w:p>
    <w:p w:rsidRPr="00FC2616" w:rsidR="0049685F" w:rsidP="0049685F" w:rsidRDefault="0049685F" w14:paraId="7688A055" w14:textId="77777777">
      <w:r w:rsidRPr="00FC2616">
        <w:t xml:space="preserve">På samma sätt finns inga hinder mot överetablering av friskolor. Det innebär i sin tur svårigheter för den kommunala skolan. Dels försvåras den långsiktiga planeringen, dels innebär etablering av nya fristående skolor en merkostnad för kommunerna. Det är inte hållbart att enskilda aktörer kan slå sönder skolsystemet genom en oreglerad etablering där det är allra mest lönsamt. </w:t>
      </w:r>
    </w:p>
    <w:p w:rsidRPr="00FC2616" w:rsidR="0049685F" w:rsidP="00B50CBA" w:rsidRDefault="0049685F" w14:paraId="727BCFD1" w14:textId="77777777">
      <w:pPr>
        <w:pStyle w:val="Rubrik3numrerat"/>
      </w:pPr>
      <w:bookmarkStart w:name="_Toc115271213" w:id="24"/>
      <w:bookmarkStart w:name="_Toc116040844" w:id="25"/>
      <w:bookmarkStart w:name="_Toc149814516" w:id="26"/>
      <w:r w:rsidRPr="00FC2616">
        <w:t>En stopplag för utförsäljning av samhällsfastigheter</w:t>
      </w:r>
      <w:bookmarkEnd w:id="24"/>
      <w:bookmarkEnd w:id="25"/>
      <w:bookmarkEnd w:id="26"/>
    </w:p>
    <w:p w:rsidRPr="00FC2616" w:rsidR="0049685F" w:rsidP="00E909F7" w:rsidRDefault="0049685F" w14:paraId="484F2C88" w14:textId="65259CDC">
      <w:pPr>
        <w:pStyle w:val="Normalutanindragellerluft"/>
      </w:pPr>
      <w:r w:rsidRPr="00FC2616">
        <w:t xml:space="preserve">Inom fastighetsbranschen har det på senare år vuxit fram en marknad för </w:t>
      </w:r>
      <w:r w:rsidRPr="00FC2616" w:rsidR="009B1A74">
        <w:t>s.k.</w:t>
      </w:r>
      <w:r w:rsidRPr="00FC2616">
        <w:t xml:space="preserve"> samhälls</w:t>
      </w:r>
      <w:r w:rsidR="00C95529">
        <w:softHyphen/>
      </w:r>
      <w:r w:rsidRPr="00FC2616">
        <w:t>fastigheter, dvs. att privata ägare och fastighetsförvaltare fokuserar på offentliga aktörers lokalbehov. Även om det inte är ett nytt fenomen har det blivit mer omfattande och mångfacetterat än det tidigare varit. Svaret på stora renoveringsbehov har från kommun- och regionledningar runtom i landet alltför ofta varit att privatisera fastig</w:t>
      </w:r>
      <w:r w:rsidR="00C95529">
        <w:softHyphen/>
      </w:r>
      <w:r w:rsidRPr="00FC2616">
        <w:t xml:space="preserve">heterna och sedan hyra in sig för att fortsätta </w:t>
      </w:r>
      <w:r w:rsidR="00420C98">
        <w:t xml:space="preserve">att </w:t>
      </w:r>
      <w:r w:rsidRPr="00FC2616">
        <w:t>bedriva verksamhet. I Stockholm sålde t</w:t>
      </w:r>
      <w:r w:rsidRPr="00FC2616" w:rsidR="00C109E0">
        <w:t>.ex.</w:t>
      </w:r>
      <w:r w:rsidRPr="00FC2616">
        <w:t xml:space="preserve"> den förra grönblå majoriteten fler än 30 utbildningsfastigheter under sin tid vid makten.</w:t>
      </w:r>
    </w:p>
    <w:p w:rsidRPr="00FC2616" w:rsidR="0049685F" w:rsidP="00E909F7" w:rsidRDefault="0049685F" w14:paraId="723161D3" w14:textId="33BF5823">
      <w:r w:rsidRPr="00FC2616">
        <w:t>När samhället ger upp rådigheten över dessa fastigheter så försätts det allmänna i en beroendesituation gentemot privata fastighetsägare för lång tid framöver. Det under</w:t>
      </w:r>
      <w:r w:rsidR="00C95529">
        <w:softHyphen/>
      </w:r>
      <w:r w:rsidRPr="00FC2616">
        <w:lastRenderedPageBreak/>
        <w:t>minerar möjligheterna till att göra nödvändiga klimatinvesteringar men också möjlig</w:t>
      </w:r>
      <w:r w:rsidR="00C95529">
        <w:softHyphen/>
      </w:r>
      <w:r w:rsidRPr="00FC2616">
        <w:t xml:space="preserve">heten för samhället att göra justeringar av fastigheterna för att möta framtidens behov. </w:t>
      </w:r>
      <w:r w:rsidRPr="00FC2616" w:rsidR="00957EA9">
        <w:t xml:space="preserve">Det innebär dessutom en ekonomisk förlustaffär. </w:t>
      </w:r>
      <w:r w:rsidRPr="00FC2616">
        <w:t>Det kommunalägda kreditmarknads</w:t>
      </w:r>
      <w:r w:rsidR="00C95529">
        <w:softHyphen/>
      </w:r>
      <w:r w:rsidRPr="00FC2616">
        <w:t>bolaget Kommuninvest menar att det i ett långsiktigt perspektiv finns tydliga ekonomiska motiv för kommuner att själva äga lokalerna där verksamheten bedrivs.</w:t>
      </w:r>
      <w:r w:rsidRPr="00FC2616">
        <w:rPr>
          <w:vertAlign w:val="superscript"/>
        </w:rPr>
        <w:footnoteReference w:id="26"/>
      </w:r>
    </w:p>
    <w:p w:rsidRPr="00FC2616" w:rsidR="0049685F" w:rsidP="000E6A23" w:rsidRDefault="000E6A23" w14:paraId="6B82C9F2" w14:textId="4EA50E61">
      <w:r w:rsidRPr="00FC2616">
        <w:t>Vi menar att det finns goda skäl att införa ett stopplag för utförsäljning av samhälls</w:t>
      </w:r>
      <w:r w:rsidR="00C95529">
        <w:softHyphen/>
      </w:r>
      <w:r w:rsidRPr="00FC2616">
        <w:t xml:space="preserve">fastigheter. </w:t>
      </w:r>
      <w:r w:rsidRPr="00FC2616" w:rsidR="0049685F">
        <w:t>Det är tydligt att vinstdrivande bolag hittat ett nytt segment för att göra vinst och det kan i framtiden bli ännu viktigare för bolagen. Vid ett vinstförbud kan de i</w:t>
      </w:r>
      <w:r w:rsidRPr="00FC2616" w:rsidR="008954FA">
        <w:t xml:space="preserve"> </w:t>
      </w:r>
      <w:r w:rsidRPr="00FC2616" w:rsidR="0049685F">
        <w:t xml:space="preserve">stället för vanliga vinstuttag försöka ta ut medel via höga hyror till fastighetsbolag som de själva äger. Ett vinstförbud behöver hantera även det, men för att säkra upp så mycket som möjligt är det angeläget att snabbt stoppa utförsäljningar. </w:t>
      </w:r>
    </w:p>
    <w:p w:rsidRPr="00FC2616" w:rsidR="009D399E" w:rsidP="00BF3DF5" w:rsidRDefault="009D399E" w14:paraId="03A813AD" w14:textId="5F257457">
      <w:pPr>
        <w:pStyle w:val="Rubrik1numrerat"/>
      </w:pPr>
      <w:bookmarkStart w:name="_Toc149814517" w:id="27"/>
      <w:r w:rsidRPr="00FC2616">
        <w:t>Regeringens ekonomiska politik</w:t>
      </w:r>
      <w:bookmarkEnd w:id="27"/>
    </w:p>
    <w:p w:rsidRPr="00FC2616" w:rsidR="005B5761" w:rsidP="00231E56" w:rsidRDefault="00231E56" w14:paraId="63E9A41D" w14:textId="149F638A">
      <w:pPr>
        <w:pStyle w:val="Normalutanindragellerluft"/>
      </w:pPr>
      <w:r w:rsidRPr="00FC2616">
        <w:t>Vänsterpartiet välkomnar en del av regeringens förslag i budgetpropositionen. Tyvärr tvingas vi dock konstatera att regeringen inte på allvar tar tag i Sveriges samhälls</w:t>
      </w:r>
      <w:r w:rsidR="00C95529">
        <w:softHyphen/>
      </w:r>
      <w:r w:rsidRPr="00FC2616">
        <w:t>problem. Problem som är kända sedan länge. En sönderprivatiserad och under</w:t>
      </w:r>
      <w:r w:rsidR="00C95529">
        <w:softHyphen/>
      </w:r>
      <w:r w:rsidRPr="00FC2616">
        <w:t>finansierad välfärd</w:t>
      </w:r>
      <w:r w:rsidR="00854DBF">
        <w:t>,</w:t>
      </w:r>
      <w:r w:rsidRPr="00FC2616">
        <w:t xml:space="preserve"> där friskolorna sätter glädjebetyg och väljer bort olönsamma elever och där skattepengar går till friskolekoncernernas expansionsplaner utomlands. En klimatkris som hotar själva förutsättningarna för liv på </w:t>
      </w:r>
      <w:r w:rsidRPr="00FC2616" w:rsidR="00F477AA">
        <w:t xml:space="preserve">vår </w:t>
      </w:r>
      <w:r w:rsidRPr="00FC2616">
        <w:t>planet. En kraftig ökad ojämlikhet av samhällets resurser och förmögenheter som sliter isär och splittrar samhället.</w:t>
      </w:r>
      <w:r w:rsidRPr="00FC2616" w:rsidR="005B5761">
        <w:t xml:space="preserve"> Inga av dessa avgörande utmaningar som Sverige står inför har regeringen något verkligt effektivt svar på.</w:t>
      </w:r>
    </w:p>
    <w:p w:rsidRPr="00FC2616" w:rsidR="00231E56" w:rsidP="00BF3DF5" w:rsidRDefault="005B5761" w14:paraId="7A5FF4DA" w14:textId="129DA0D5">
      <w:pPr>
        <w:pStyle w:val="Rubrik2numrerat"/>
      </w:pPr>
      <w:bookmarkStart w:name="_Toc149814518" w:id="28"/>
      <w:r w:rsidRPr="00FC2616">
        <w:t>Åtstramningar i välfärden</w:t>
      </w:r>
      <w:bookmarkEnd w:id="28"/>
    </w:p>
    <w:p w:rsidRPr="00FC2616" w:rsidR="005B5761" w:rsidRDefault="00231E56" w14:paraId="3F15741F" w14:textId="550AB2C5">
      <w:pPr>
        <w:pStyle w:val="Normalutanindragellerluft"/>
      </w:pPr>
      <w:r w:rsidRPr="00FC2616">
        <w:t xml:space="preserve">I budgetpropositionen anslår regeringen </w:t>
      </w:r>
      <w:r w:rsidRPr="00FC2616" w:rsidR="008954FA">
        <w:t>6</w:t>
      </w:r>
      <w:r w:rsidR="00FF027D">
        <w:t> </w:t>
      </w:r>
      <w:r w:rsidRPr="00FC2616">
        <w:t xml:space="preserve">miljarder </w:t>
      </w:r>
      <w:r w:rsidRPr="00FC2616" w:rsidR="008954FA">
        <w:t xml:space="preserve">kronor </w:t>
      </w:r>
      <w:r w:rsidRPr="00FC2616" w:rsidR="00AB581B">
        <w:t xml:space="preserve">i generella statsbidrag </w:t>
      </w:r>
      <w:r w:rsidRPr="00FC2616">
        <w:t>till kommunsektorn</w:t>
      </w:r>
      <w:r w:rsidRPr="00FC2616" w:rsidR="00AB581B">
        <w:t>, tillsamman</w:t>
      </w:r>
      <w:r w:rsidRPr="00FC2616" w:rsidR="008954FA">
        <w:t>s</w:t>
      </w:r>
      <w:r w:rsidRPr="00FC2616" w:rsidR="00AB581B">
        <w:t xml:space="preserve"> med en förlängning av en del riktade statsbidrag på totalt ytterligare </w:t>
      </w:r>
      <w:r w:rsidRPr="00FC2616" w:rsidR="008954FA">
        <w:t>6</w:t>
      </w:r>
      <w:r w:rsidR="0036201D">
        <w:t> </w:t>
      </w:r>
      <w:r w:rsidRPr="00FC2616" w:rsidR="00AB581B">
        <w:t xml:space="preserve">miljarder kronor. </w:t>
      </w:r>
      <w:r w:rsidRPr="00FC2616" w:rsidR="00367FF3">
        <w:t>Detta kommer att medföra kraftiga åtstramn</w:t>
      </w:r>
      <w:r w:rsidRPr="00FC2616" w:rsidR="00B26081">
        <w:t>i</w:t>
      </w:r>
      <w:r w:rsidRPr="00FC2616" w:rsidR="006D03FA">
        <w:t>n</w:t>
      </w:r>
      <w:r w:rsidRPr="00FC2616" w:rsidR="00367FF3">
        <w:t xml:space="preserve">gar i välfärden. </w:t>
      </w:r>
    </w:p>
    <w:p w:rsidRPr="00FC2616" w:rsidR="005B5761" w:rsidP="005B5761" w:rsidRDefault="00AB581B" w14:paraId="276F531F" w14:textId="7F42FC2D">
      <w:r w:rsidRPr="00FC2616">
        <w:t xml:space="preserve">Sveriges kommuner och regioner har i en hemställan till regeringen </w:t>
      </w:r>
      <w:r w:rsidRPr="00FC2616" w:rsidR="00150108">
        <w:t>beskrivit att de behöver totalt ca</w:t>
      </w:r>
      <w:r w:rsidR="008179E2">
        <w:t> </w:t>
      </w:r>
      <w:r w:rsidRPr="00FC2616" w:rsidR="00150108">
        <w:t>20</w:t>
      </w:r>
      <w:r w:rsidR="008179E2">
        <w:t> </w:t>
      </w:r>
      <w:r w:rsidRPr="00FC2616" w:rsidR="00150108">
        <w:t>miljarder kronor för att bibehålla den reala nivån på statsbidragen 2023.</w:t>
      </w:r>
      <w:r w:rsidRPr="00FC2616" w:rsidR="00150108">
        <w:rPr>
          <w:rStyle w:val="Fotnotsreferens"/>
        </w:rPr>
        <w:footnoteReference w:id="27"/>
      </w:r>
      <w:r w:rsidRPr="00FC2616" w:rsidR="00150108">
        <w:t xml:space="preserve"> I samma hemställan lyfter SKR att det behövs särskilda stöd till kommuner med särskilt svåra ekonomiska förutsättningar. Vidare trycker SKR på att riktade statsbidrag skapar ett ineffektivt resursutnyttjande </w:t>
      </w:r>
      <w:r w:rsidRPr="00FC2616" w:rsidR="00222013">
        <w:t>och</w:t>
      </w:r>
      <w:r w:rsidRPr="00FC2616" w:rsidR="00150108">
        <w:t xml:space="preserve"> ger ökade permanenta kostnader för verk</w:t>
      </w:r>
      <w:r w:rsidR="00C95529">
        <w:softHyphen/>
      </w:r>
      <w:r w:rsidRPr="00FC2616" w:rsidR="00150108">
        <w:t>samheten.</w:t>
      </w:r>
      <w:r w:rsidRPr="00FC2616" w:rsidR="00232638">
        <w:t xml:space="preserve"> </w:t>
      </w:r>
      <w:r w:rsidRPr="00FC2616" w:rsidR="00222013">
        <w:t>Vänsterpartiet avslår i sin budgetmotion därför stora delar av regeringens förslag til</w:t>
      </w:r>
      <w:r w:rsidRPr="00FC2616" w:rsidR="003B0413">
        <w:t>l</w:t>
      </w:r>
      <w:r w:rsidRPr="00FC2616" w:rsidR="00222013">
        <w:t xml:space="preserve"> riktade satsningar och föreslår i stället att de generella bidragen till kommuner och r</w:t>
      </w:r>
      <w:r w:rsidRPr="00FC2616" w:rsidR="00232638">
        <w:t>egi</w:t>
      </w:r>
      <w:r w:rsidRPr="00FC2616" w:rsidR="00222013">
        <w:t xml:space="preserve">oner höjs med </w:t>
      </w:r>
      <w:r w:rsidRPr="00FC2616" w:rsidR="00CF026D">
        <w:t>14</w:t>
      </w:r>
      <w:r w:rsidR="005744FC">
        <w:t> </w:t>
      </w:r>
      <w:r w:rsidRPr="00FC2616" w:rsidR="00222013">
        <w:t>miljarder</w:t>
      </w:r>
      <w:r w:rsidRPr="00FC2616" w:rsidR="005717C0">
        <w:t xml:space="preserve"> kronor</w:t>
      </w:r>
      <w:r w:rsidRPr="00FC2616" w:rsidR="00222013">
        <w:t>.</w:t>
      </w:r>
      <w:r w:rsidRPr="00FC2616" w:rsidR="00232638">
        <w:t xml:space="preserve"> </w:t>
      </w:r>
    </w:p>
    <w:p w:rsidRPr="00FC2616" w:rsidR="005B5761" w:rsidP="00BF3DF5" w:rsidRDefault="005B5761" w14:paraId="757F7A12" w14:textId="0A0B9C43">
      <w:pPr>
        <w:pStyle w:val="Rubrik2numrerat"/>
      </w:pPr>
      <w:bookmarkStart w:name="_Toc149814519" w:id="29"/>
      <w:r w:rsidRPr="00FC2616">
        <w:lastRenderedPageBreak/>
        <w:t>Orättvis fördelning av krisens bördor</w:t>
      </w:r>
      <w:bookmarkEnd w:id="29"/>
    </w:p>
    <w:p w:rsidRPr="00FC2616" w:rsidR="008E362D" w:rsidP="008E362D" w:rsidRDefault="00231E56" w14:paraId="0FC9A2ED" w14:textId="65C36B6E">
      <w:pPr>
        <w:pStyle w:val="Normalutanindragellerluft"/>
      </w:pPr>
      <w:r w:rsidRPr="00FC2616">
        <w:t xml:space="preserve">Sveriges hushåll är hårt pressade av stigande räntor och kraftigt stigande priser på allt ifrån el till livsmedel. Regeringens svar på en situation där stora grupper har svårt att få pengarna att räcka hela månaden ut är talande för dess ideologiska kompass. </w:t>
      </w:r>
      <w:r w:rsidRPr="00FC2616" w:rsidR="008E362D">
        <w:t>Regeringen skriver i budgetpropositionen att hushållen bör kompenseras för de prisökningar som skett – med särskil</w:t>
      </w:r>
      <w:r w:rsidR="00D639E8">
        <w:t>t</w:t>
      </w:r>
      <w:r w:rsidRPr="00FC2616" w:rsidR="008E362D">
        <w:t xml:space="preserve"> fokus på ekonomiskt utsatta grupper. Men i</w:t>
      </w:r>
      <w:r w:rsidRPr="00FC2616" w:rsidR="00EE2B55">
        <w:t xml:space="preserve"> </w:t>
      </w:r>
      <w:r w:rsidRPr="00FC2616" w:rsidR="008E362D">
        <w:t xml:space="preserve">stället </w:t>
      </w:r>
      <w:r w:rsidRPr="00FC2616">
        <w:t xml:space="preserve">för att stödja de grupper som har det sämst ställt </w:t>
      </w:r>
      <w:r w:rsidRPr="00FC2616" w:rsidR="008E362D">
        <w:t xml:space="preserve">använder man en betydande del av reformutrymmet till att sänka skatten för </w:t>
      </w:r>
      <w:r w:rsidRPr="00FC2616" w:rsidR="002D4D50">
        <w:t>de som kör</w:t>
      </w:r>
      <w:r w:rsidRPr="00FC2616" w:rsidR="008E362D">
        <w:t xml:space="preserve"> bensin- och dieseldrivna bilar. Samtidigt släpper regeringen fram en skattepolitik som ensidigt gynnar höginkomsttagare. En mycket kraftig uppräkning av skiktgränsen för statlig inkomstskatt</w:t>
      </w:r>
      <w:r w:rsidRPr="00FC2616" w:rsidR="00D82A5A">
        <w:t xml:space="preserve"> – med 10,</w:t>
      </w:r>
      <w:r w:rsidRPr="00FC2616" w:rsidR="00C56E31">
        <w:t>7</w:t>
      </w:r>
      <w:r w:rsidR="00D16B77">
        <w:t> </w:t>
      </w:r>
      <w:r w:rsidRPr="00FC2616" w:rsidR="00D82A5A">
        <w:t xml:space="preserve">procent – </w:t>
      </w:r>
      <w:r w:rsidRPr="00FC2616" w:rsidR="008E362D">
        <w:t xml:space="preserve">ger skattelättnader </w:t>
      </w:r>
      <w:r w:rsidRPr="00FC2616" w:rsidR="00596212">
        <w:t>på ca</w:t>
      </w:r>
      <w:r w:rsidR="00D16B77">
        <w:t> </w:t>
      </w:r>
      <w:r w:rsidRPr="00FC2616" w:rsidR="00596212">
        <w:t>13</w:t>
      </w:r>
      <w:r w:rsidR="00D16B77">
        <w:t> </w:t>
      </w:r>
      <w:r w:rsidRPr="00FC2616" w:rsidR="00596212">
        <w:t xml:space="preserve">miljarder kronor totalt </w:t>
      </w:r>
      <w:r w:rsidRPr="00FC2616" w:rsidR="008E362D">
        <w:t>till de individer som har de allra högsta lönerna – de som tjänar 46 000 kronor i månaden och mer.</w:t>
      </w:r>
    </w:p>
    <w:p w:rsidRPr="00FC2616" w:rsidR="008E362D" w:rsidP="00BF3DF5" w:rsidRDefault="008E362D" w14:paraId="457C1193" w14:textId="47D141A2">
      <w:r w:rsidRPr="00FC2616">
        <w:t>Vänsterpartiet presenterar i denna budgetmotion i stället ett paket som på riktigt handlar om att skydda de som har det sämst ställt, exempelvis genom att höja pensio</w:t>
      </w:r>
      <w:r w:rsidR="00C95529">
        <w:softHyphen/>
      </w:r>
      <w:r w:rsidRPr="00FC2616">
        <w:t>nerna och att höja taket i arbetslöshetsförsäkringen så att 80</w:t>
      </w:r>
      <w:r w:rsidR="00FF5073">
        <w:t> </w:t>
      </w:r>
      <w:r w:rsidRPr="00FC2616">
        <w:t xml:space="preserve">procent av löntagarna omfattas av försäkringen fullt ut. Vidare menar Vänsterpartiet att bördorna i en kris som denna bör fördelas solidariskt. För att skapa utrymme </w:t>
      </w:r>
      <w:r w:rsidR="008058FA">
        <w:t>för</w:t>
      </w:r>
      <w:r w:rsidRPr="00FC2616">
        <w:t xml:space="preserve"> en prioriterad resursökning till välfärdssektorn, sänkta kostnader i kollektivtrafiken, ett högkostnadsskydd i tandvården och högre ersättningar i arbetslöshetsersättningen så anser vi att personer med högre inkomster bör bidra mer.</w:t>
      </w:r>
    </w:p>
    <w:p w:rsidRPr="00FC2616" w:rsidR="00BE319A" w:rsidP="00BE319A" w:rsidRDefault="00BE319A" w14:paraId="77D51C26" w14:textId="453F903A">
      <w:r w:rsidRPr="00FC2616">
        <w:t>Regeringen planerar att betala tillbaka 55</w:t>
      </w:r>
      <w:r w:rsidR="00422D02">
        <w:t> </w:t>
      </w:r>
      <w:r w:rsidRPr="00FC2616">
        <w:t>miljarder till hushåll och företag för perioden oktober 2021 till september 2022 i en elpriskompensation. Detta utifrån EU:s rekommendation om att staten bör stödja de hushåll som pressas av de höga elräk</w:t>
      </w:r>
      <w:r w:rsidR="00C95529">
        <w:softHyphen/>
      </w:r>
      <w:r w:rsidRPr="00FC2616">
        <w:t>ningarna. Det förslag som regeringen gått fram med innebär att alla elavtal får ett pristak på 75</w:t>
      </w:r>
      <w:r w:rsidR="00E55764">
        <w:t> </w:t>
      </w:r>
      <w:r w:rsidRPr="00FC2616">
        <w:t>öre. Staten betalar mellanskillnaden mellan 75</w:t>
      </w:r>
      <w:r w:rsidR="00E55764">
        <w:t> </w:t>
      </w:r>
      <w:r w:rsidRPr="00FC2616">
        <w:t>öre och det medelpris som gällt i elprisområdet. Det betyder att i södra Sverige får elkunderna 79</w:t>
      </w:r>
      <w:r w:rsidR="00F87891">
        <w:t> </w:t>
      </w:r>
      <w:r w:rsidRPr="00FC2616">
        <w:t>öre per kilowatt de förbrukat och i mellersta Sverige får de 50</w:t>
      </w:r>
      <w:r w:rsidR="00F87891">
        <w:t> </w:t>
      </w:r>
      <w:r w:rsidRPr="00FC2616">
        <w:t>öre. I norra Sverige får man ingenting då medelpriset varit lägre än 75</w:t>
      </w:r>
      <w:r w:rsidR="00F87891">
        <w:t> </w:t>
      </w:r>
      <w:r w:rsidRPr="00FC2616">
        <w:t xml:space="preserve">öre. </w:t>
      </w:r>
    </w:p>
    <w:p w:rsidRPr="00FC2616" w:rsidR="005B5761" w:rsidP="00BE319A" w:rsidRDefault="00BE319A" w14:paraId="662E9A9E" w14:textId="328CC9E7">
      <w:r w:rsidRPr="00FC2616">
        <w:t>De tillägg som Energimarknadsinspektionen gjorde till regeringens förslag innebär att förslaget har justerats till det bättre eftersom det nu råder ett tak på vilka belopp som får betalas ut. Taket på förbrukning till max 3</w:t>
      </w:r>
      <w:r w:rsidR="00397F00">
        <w:t> </w:t>
      </w:r>
      <w:r w:rsidRPr="00FC2616">
        <w:t xml:space="preserve">miljoner kilowattimmar är högt satt och träffar i praktiken bara mycket elintensiva företag. Modellen innebär emellertid att storförbrukande hushåll, framförallt höginkomsttagare, gynnas eftersom de kommer </w:t>
      </w:r>
      <w:r w:rsidR="00F93EB5">
        <w:t xml:space="preserve">att </w:t>
      </w:r>
      <w:r w:rsidRPr="00FC2616">
        <w:t xml:space="preserve">kompenseras per </w:t>
      </w:r>
      <w:proofErr w:type="spellStart"/>
      <w:r w:rsidRPr="00FC2616">
        <w:t>elabo</w:t>
      </w:r>
      <w:r w:rsidR="00B55DF0">
        <w:t>n</w:t>
      </w:r>
      <w:r w:rsidRPr="00FC2616">
        <w:t>nemang</w:t>
      </w:r>
      <w:proofErr w:type="spellEnd"/>
      <w:r w:rsidRPr="00FC2616">
        <w:t>. Regeringen hade kunnat hantera frågan om energi</w:t>
      </w:r>
      <w:r w:rsidR="00C95529">
        <w:softHyphen/>
      </w:r>
      <w:r w:rsidRPr="00FC2616">
        <w:t>priskompensation annorlunda och eftersökt en bättre fördelning så att stödet landar där det gör som störst nytta.</w:t>
      </w:r>
      <w:r w:rsidRPr="00FC2616" w:rsidR="00CD02BD">
        <w:rPr>
          <w:rStyle w:val="Fotnotsreferens"/>
        </w:rPr>
        <w:footnoteReference w:id="28"/>
      </w:r>
    </w:p>
    <w:p w:rsidRPr="00FC2616" w:rsidR="005B5761" w:rsidP="00192C79" w:rsidRDefault="005B5761" w14:paraId="6EDB663B" w14:textId="418A5691">
      <w:pPr>
        <w:pStyle w:val="Rubrik2numrerat"/>
      </w:pPr>
      <w:bookmarkStart w:name="_Toc149814520" w:id="30"/>
      <w:r w:rsidRPr="00FC2616">
        <w:t>Sänkta klimatambitioner</w:t>
      </w:r>
      <w:bookmarkEnd w:id="30"/>
    </w:p>
    <w:p w:rsidRPr="00FC2616" w:rsidR="005B5761" w:rsidP="005B5761" w:rsidRDefault="00C54A4D" w14:paraId="594B290E" w14:textId="0139D183">
      <w:pPr>
        <w:pStyle w:val="Normalutanindragellerluft"/>
      </w:pPr>
      <w:r w:rsidRPr="00FC2616">
        <w:t xml:space="preserve">I en tid då världssamfundet behöver kraftsamla för att möta klimatutmaningen skämmer regeringen ut Sverige och sänker de svenska klimatambitionerna. </w:t>
      </w:r>
      <w:r w:rsidRPr="00FC2616" w:rsidR="008802D8">
        <w:t xml:space="preserve">Regeringen har tagit sin hand från klimat- och miljöpolitiken och underlåter att agera. </w:t>
      </w:r>
    </w:p>
    <w:p w:rsidRPr="00FC2616" w:rsidR="00C54A4D" w:rsidP="00192C79" w:rsidRDefault="008802D8" w14:paraId="5C587ECA" w14:textId="5E2A6BAC">
      <w:r w:rsidRPr="00FC2616">
        <w:t>I budgetpropositionen</w:t>
      </w:r>
      <w:r w:rsidRPr="00FC2616" w:rsidR="00C54A4D">
        <w:t xml:space="preserve"> konstaterar </w:t>
      </w:r>
      <w:r w:rsidRPr="00FC2616">
        <w:t>regeringen</w:t>
      </w:r>
      <w:r w:rsidRPr="00FC2616" w:rsidR="00C54A4D">
        <w:t xml:space="preserve"> att utsläppen kan komma att öka till följd av flera klimatskadliga förslag. Hit hör inte minst sänkningen av drivmedels</w:t>
      </w:r>
      <w:r w:rsidR="00C95529">
        <w:softHyphen/>
      </w:r>
      <w:r w:rsidRPr="00FC2616" w:rsidR="00C54A4D">
        <w:t>skatten, regeringens största reform</w:t>
      </w:r>
      <w:r w:rsidRPr="00FC2616" w:rsidR="00DC21E2">
        <w:t xml:space="preserve">, men även det faktum att man stoppar en omfattande </w:t>
      </w:r>
      <w:r w:rsidRPr="00FC2616" w:rsidR="00DC21E2">
        <w:lastRenderedPageBreak/>
        <w:t>reformering för att göra systemet med reseavdrag färdmedelsneutralt</w:t>
      </w:r>
      <w:r w:rsidRPr="00FC2616" w:rsidR="00C54A4D">
        <w:t>. Det är uppenbart att regeringens och Sverigedemokraternas ointresse för klimatet och miljön nu har omsatts i passivitet och ett klimatfientligt reformprogram. De som satte sin tilltro till Liberalerna</w:t>
      </w:r>
      <w:r w:rsidRPr="00FC2616" w:rsidR="00C8719E">
        <w:t xml:space="preserve"> i hopp om</w:t>
      </w:r>
      <w:r w:rsidRPr="00FC2616" w:rsidR="00C54A4D">
        <w:t xml:space="preserve"> att de skulle värna klimatperspektivet i en högernationalistisk regering har all anledning att känna sig besvikna när löftesbrotten</w:t>
      </w:r>
      <w:r w:rsidRPr="00FC2616" w:rsidR="00C8719E">
        <w:t xml:space="preserve"> nu</w:t>
      </w:r>
      <w:r w:rsidRPr="00FC2616" w:rsidR="00C54A4D">
        <w:t xml:space="preserve"> duggar tätt. </w:t>
      </w:r>
    </w:p>
    <w:p w:rsidRPr="00FC2616" w:rsidR="005B5761" w:rsidP="005B5761" w:rsidRDefault="00C54A4D" w14:paraId="5AB24FA9" w14:textId="52E0EAF4">
      <w:r w:rsidRPr="00FC2616">
        <w:t xml:space="preserve">Bristen på investeringar, reformer och initiativ för att stärka Sveriges klimatåtagande är ett historiskt svek mot kommande generationer och samtidigt en </w:t>
      </w:r>
      <w:r w:rsidRPr="00FC2616" w:rsidR="00CD5EE9">
        <w:t>dålig</w:t>
      </w:r>
      <w:r w:rsidRPr="00FC2616">
        <w:t xml:space="preserve"> politik för vår tid. När näringslivet, civilsamhället, kommuner och regioner gör sig redo att investera för klimatet gör de det regeringens </w:t>
      </w:r>
      <w:proofErr w:type="spellStart"/>
      <w:r w:rsidRPr="00FC2616">
        <w:t>klimatpolitik</w:t>
      </w:r>
      <w:proofErr w:type="spellEnd"/>
      <w:r w:rsidRPr="00FC2616">
        <w:t xml:space="preserve"> till trots. De högernationalistiska har vänt den svenska innovation</w:t>
      </w:r>
      <w:r w:rsidRPr="00FC2616" w:rsidR="001A690A">
        <w:t>sviljan</w:t>
      </w:r>
      <w:r w:rsidRPr="00FC2616">
        <w:t xml:space="preserve"> och </w:t>
      </w:r>
      <w:r w:rsidRPr="00FC2616" w:rsidR="00014003">
        <w:t>klimatpolitiken ryggen och sällar sig i</w:t>
      </w:r>
      <w:r w:rsidRPr="00FC2616" w:rsidR="00D017E0">
        <w:t xml:space="preserve"> </w:t>
      </w:r>
      <w:r w:rsidRPr="00FC2616" w:rsidR="00014003">
        <w:t xml:space="preserve">stället till den krympande skaran av regeringar som ömsom ignorerar och ömsom ifrågasätter </w:t>
      </w:r>
      <w:proofErr w:type="spellStart"/>
      <w:r w:rsidRPr="00FC2616" w:rsidR="00014003">
        <w:t>klimathotet</w:t>
      </w:r>
      <w:proofErr w:type="spellEnd"/>
      <w:r w:rsidRPr="00FC2616" w:rsidR="00014003">
        <w:t xml:space="preserve">. Det är mycket allvarligt. </w:t>
      </w:r>
    </w:p>
    <w:p w:rsidRPr="00FC2616" w:rsidR="00BF1E87" w:rsidP="005B5761" w:rsidRDefault="00014003" w14:paraId="5333F6FD" w14:textId="4B536C1F">
      <w:r w:rsidRPr="00FC2616">
        <w:t>Regeringens bristande krisinsikt och reformvilja riskerar att försena eller förhindra omställningen inom industrin, transportsektorn och fastighetssektorn. När klimat</w:t>
      </w:r>
      <w:r w:rsidR="00C95529">
        <w:softHyphen/>
      </w:r>
      <w:r w:rsidRPr="00FC2616">
        <w:t xml:space="preserve">bonusen </w:t>
      </w:r>
      <w:r w:rsidRPr="00FC2616" w:rsidR="008802D8">
        <w:t>för elbilar</w:t>
      </w:r>
      <w:r w:rsidRPr="00FC2616">
        <w:t xml:space="preserve"> nu avskaffas och satsningar på järnväg uteblir ter sig målet om minskade utsläpp med 70</w:t>
      </w:r>
      <w:r w:rsidR="00877AEF">
        <w:t> </w:t>
      </w:r>
      <w:r w:rsidRPr="00FC2616" w:rsidR="00487536">
        <w:t>procent</w:t>
      </w:r>
      <w:r w:rsidRPr="00FC2616">
        <w:t xml:space="preserve"> till 2030 inom transportsektorn som onåbart. Trots att svenskarnas omställningsvilja generellt sett är stor och efterfrågan på ökade järnvägs</w:t>
      </w:r>
      <w:r w:rsidR="00C95529">
        <w:softHyphen/>
      </w:r>
      <w:r w:rsidRPr="00FC2616">
        <w:t xml:space="preserve">transporter är växande ignorerar regeringen </w:t>
      </w:r>
      <w:r w:rsidRPr="00FC2616" w:rsidR="00F4509B">
        <w:t xml:space="preserve">möjligheterna </w:t>
      </w:r>
      <w:r w:rsidRPr="00FC2616" w:rsidR="00C8719E">
        <w:t xml:space="preserve">som en stärkt </w:t>
      </w:r>
      <w:r w:rsidRPr="00FC2616" w:rsidR="00F4509B">
        <w:t>järnväg</w:t>
      </w:r>
      <w:r w:rsidRPr="00FC2616" w:rsidR="00C8719E">
        <w:t xml:space="preserve"> medger</w:t>
      </w:r>
      <w:r w:rsidRPr="00FC2616" w:rsidR="00F4509B">
        <w:t xml:space="preserve"> för att i</w:t>
      </w:r>
      <w:r w:rsidRPr="00FC2616" w:rsidR="00D017E0">
        <w:t xml:space="preserve"> </w:t>
      </w:r>
      <w:r w:rsidRPr="00FC2616" w:rsidR="00F4509B">
        <w:t xml:space="preserve">stället fortsatt subventionera de fossila transportslagen. </w:t>
      </w:r>
    </w:p>
    <w:p w:rsidRPr="00FC2616" w:rsidR="00C8719E" w:rsidP="00192C79" w:rsidRDefault="00C8719E" w14:paraId="67BDB946" w14:textId="76ED8140">
      <w:r w:rsidRPr="00FC2616">
        <w:t>I</w:t>
      </w:r>
      <w:r w:rsidRPr="00FC2616" w:rsidR="00D017E0">
        <w:t xml:space="preserve"> </w:t>
      </w:r>
      <w:r w:rsidRPr="00FC2616">
        <w:t xml:space="preserve">stället för att bejaka den kunskap som finns om miljösatsningarnas värde har regeringen inlett en drakonisk nedskärningspolitik på miljöområdet. Nedläggandet av </w:t>
      </w:r>
      <w:r w:rsidRPr="00FC2616" w:rsidR="00D017E0">
        <w:t>M</w:t>
      </w:r>
      <w:r w:rsidRPr="00FC2616">
        <w:t>iljödepartementet utgjorde ett flagrant ställningstagande på miljöområdet. Tyvärr är det långt ifrån det enda exemplet på regeringens skadliga miljöpolitik. Anslagen till återställandet av våtmarker dras ned och fram till 2025 har regeringen aviserat en halvering av miljöbudgeten. Det utgör ett hårt slag mot skyddet av biologisk mångfald och den svenska naturskatt som uppskattas av miljontals svenskar.</w:t>
      </w:r>
    </w:p>
    <w:p w:rsidRPr="00FC2616" w:rsidR="00BF1E87" w:rsidP="0087017B" w:rsidRDefault="00B825A2" w14:paraId="419761AB" w14:textId="511855F0">
      <w:r w:rsidRPr="00FC2616">
        <w:t>På energiområdet har regeringen aviserat reformer som kastar tillbaka Sverige flera årtionden i utveckling. Det ensidiga fokuset på kärnkraft hotar den stora investerings</w:t>
      </w:r>
      <w:r w:rsidR="00C95529">
        <w:softHyphen/>
      </w:r>
      <w:r w:rsidRPr="00FC2616">
        <w:t xml:space="preserve">vilja som finns i såväl land- som havsbaserad vindkraft. Regeringens energipolitik är fylld av symbolfrågor men mycket lite som faktiskt stärker Sveriges energiberedskap och möjlighet att möta det ökande behovet av elektrifiering. </w:t>
      </w:r>
    </w:p>
    <w:p w:rsidRPr="00FC2616" w:rsidR="00C8719E" w:rsidP="00192C79" w:rsidRDefault="00C8719E" w14:paraId="73A6332F" w14:textId="48F644DA">
      <w:r w:rsidRPr="00FC2616">
        <w:t>För Vänsterpartiet är det självklart att samhällets åtagande i klimat- och miljö</w:t>
      </w:r>
      <w:r w:rsidR="00C95529">
        <w:softHyphen/>
      </w:r>
      <w:r w:rsidRPr="00FC2616">
        <w:t>politiken behöver stärkas, inte minska. Vi vill genomföra e</w:t>
      </w:r>
      <w:r w:rsidRPr="00FC2616" w:rsidR="00E444F7">
        <w:t>tt</w:t>
      </w:r>
      <w:r w:rsidRPr="00FC2616">
        <w:t xml:space="preserve"> omfattande klimat</w:t>
      </w:r>
      <w:r w:rsidR="00C95529">
        <w:softHyphen/>
      </w:r>
      <w:r w:rsidRPr="00FC2616">
        <w:t>investeringsprogram som tar sikte på att nå de högt satta klimatmål som Sverige åtagit sig.</w:t>
      </w:r>
      <w:r w:rsidRPr="00FC2616" w:rsidR="0087017B">
        <w:t xml:space="preserve"> </w:t>
      </w:r>
      <w:r w:rsidRPr="00FC2616" w:rsidR="009844C0">
        <w:t>Den gemensamma nämnaren för alla de investeringar och klimatsatsningar som Vänsterpartiet vill genomföra är att de tar krisen på allvar och värdesätter ett aktivt samhälle för att åstadkomma förändring. En annan klimat- och miljöpolitik än regeringens är inte bara möjlig utan också väsentligt bättre. Det är en klimat- och miljöpolitik som stärker Sverige, vår innovationskraft, vår</w:t>
      </w:r>
      <w:r w:rsidRPr="00FC2616" w:rsidR="000820F2">
        <w:t>a</w:t>
      </w:r>
      <w:r w:rsidRPr="00FC2616" w:rsidR="009844C0">
        <w:t xml:space="preserve"> levnadsvillkor och våra åtaganden i världen. </w:t>
      </w:r>
    </w:p>
    <w:p w:rsidRPr="00FC2616" w:rsidR="00231E56" w:rsidP="00192C79" w:rsidRDefault="00195425" w14:paraId="76C2DB46" w14:textId="7496A98D">
      <w:pPr>
        <w:pStyle w:val="Rubrik2numrerat"/>
      </w:pPr>
      <w:bookmarkStart w:name="_Toc149814521" w:id="31"/>
      <w:r w:rsidRPr="00FC2616">
        <w:t>Sveriges roll i världen</w:t>
      </w:r>
      <w:bookmarkEnd w:id="31"/>
    </w:p>
    <w:p w:rsidRPr="00FC2616" w:rsidR="000411AD" w:rsidP="00192C79" w:rsidRDefault="00A271C5" w14:paraId="1EF650BE" w14:textId="52F36EF9">
      <w:pPr>
        <w:pStyle w:val="Normalutanindragellerluft"/>
      </w:pPr>
      <w:r w:rsidRPr="00FC2616">
        <w:t xml:space="preserve">Regeringens budget </w:t>
      </w:r>
      <w:r w:rsidRPr="00FC2616" w:rsidR="00195425">
        <w:t>innebär ett avsteg från</w:t>
      </w:r>
      <w:r w:rsidRPr="00FC2616">
        <w:t xml:space="preserve"> en lång tradition av svensk biståndspolitik. Det etablerade enprocentsmålet överges och ersätts med ett mål satt i kronor och ören. I ett första steg fryser man biståndet strax under den tidigare nivån, men prognosen visar att det snabbt kommer att bli en betydande sänkning i förhållande till BNI. Samtidigt </w:t>
      </w:r>
      <w:r w:rsidRPr="00FC2616">
        <w:lastRenderedPageBreak/>
        <w:t xml:space="preserve">slår </w:t>
      </w:r>
      <w:r w:rsidRPr="00FC2616" w:rsidR="00AF3E30">
        <w:t xml:space="preserve">budgetpropositionen </w:t>
      </w:r>
      <w:r w:rsidRPr="00FC2616">
        <w:t xml:space="preserve">fast att biståndet ska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 </w:t>
      </w:r>
    </w:p>
    <w:p w:rsidRPr="00FC2616" w:rsidR="000411AD" w:rsidDel="00AF3E30" w:rsidP="00AF3E30" w:rsidRDefault="00DB3774" w14:paraId="06D76007" w14:textId="6399EAC0">
      <w:r w:rsidRPr="00FC2616">
        <w:t xml:space="preserve">Sveriges roll i världen har förändrats. </w:t>
      </w:r>
      <w:r w:rsidRPr="00FC2616" w:rsidR="000411AD">
        <w:t xml:space="preserve">Den nytillträdda regeringen har gett vika för Turkiets påtryckningar och sätter ett svenskt medlemskap i Nato före demokrati och rättsstatens principer. </w:t>
      </w:r>
      <w:r w:rsidRPr="00FC2616" w:rsidR="00EF2087">
        <w:t xml:space="preserve">Man konstaterar att Sverige inte längre ska driva en feministisk utrikespolitik, minskar antalet kvotflyktingar drastiskt och </w:t>
      </w:r>
      <w:r w:rsidRPr="00FC2616" w:rsidR="005A7408">
        <w:t xml:space="preserve">begränsar kärnstödet till </w:t>
      </w:r>
      <w:r w:rsidRPr="00FC2616" w:rsidR="003D09B1">
        <w:t xml:space="preserve">multilaterala organisationer </w:t>
      </w:r>
      <w:r w:rsidRPr="00FC2616" w:rsidR="005A7408">
        <w:t xml:space="preserve">såsom </w:t>
      </w:r>
      <w:r w:rsidRPr="00FC2616" w:rsidR="003D09B1">
        <w:t>viktiga FN-organ. I</w:t>
      </w:r>
      <w:r w:rsidRPr="00FC2616" w:rsidR="001426D1">
        <w:t xml:space="preserve"> och med budgetpropositionen ser Sverige inte längre ut </w:t>
      </w:r>
      <w:r w:rsidRPr="00FC2616">
        <w:t xml:space="preserve">att nå </w:t>
      </w:r>
      <w:r w:rsidRPr="00FC2616" w:rsidR="001426D1">
        <w:t>klimatmålen</w:t>
      </w:r>
      <w:r w:rsidRPr="00FC2616">
        <w:t xml:space="preserve">, någonting </w:t>
      </w:r>
      <w:r w:rsidRPr="00FC2616" w:rsidR="001426D1">
        <w:t xml:space="preserve">regeringen </w:t>
      </w:r>
      <w:r w:rsidRPr="00FC2616">
        <w:t xml:space="preserve">tycks </w:t>
      </w:r>
      <w:r w:rsidRPr="00FC2616" w:rsidR="001426D1">
        <w:t>ta</w:t>
      </w:r>
      <w:r w:rsidRPr="00FC2616">
        <w:t xml:space="preserve"> lätt på. </w:t>
      </w:r>
      <w:r w:rsidRPr="00FC2616" w:rsidR="001426D1">
        <w:t xml:space="preserve">När rika länder som Sverige åsidosätter klimatet spelar det stor roll för hur andra länder agerar. </w:t>
      </w:r>
      <w:r w:rsidRPr="00FC2616" w:rsidR="00EF2087">
        <w:t xml:space="preserve">Det är tydligt att regeringen inte har några ambitioner om att </w:t>
      </w:r>
      <w:r w:rsidRPr="00FC2616" w:rsidR="003D09B1">
        <w:t xml:space="preserve">Sverige ska fortsätta </w:t>
      </w:r>
      <w:r w:rsidR="007C7BF0">
        <w:t xml:space="preserve">att </w:t>
      </w:r>
      <w:r w:rsidRPr="00FC2616" w:rsidR="003D09B1">
        <w:t xml:space="preserve">ta ansvar för den globala utvecklingen. </w:t>
      </w:r>
    </w:p>
    <w:p w:rsidRPr="00FC2616" w:rsidR="00852628" w:rsidP="00852628" w:rsidRDefault="00852628" w14:paraId="790BD440" w14:textId="3965AD80">
      <w:r w:rsidRPr="00FC2616">
        <w:t xml:space="preserve">Sverige ska vara en röst för solidaritet, demokrati och mänskliga rättigheter världen över. I Vänsterpartiets budgetmotion </w:t>
      </w:r>
      <w:r w:rsidRPr="00FC2616" w:rsidR="002726BA">
        <w:t xml:space="preserve">både </w:t>
      </w:r>
      <w:r w:rsidRPr="00FC2616">
        <w:t xml:space="preserve">återställer vi enprocentsmålet och höjer antalet kvotflyktingar till tidigare nivåer. Vi lägger också förslag om ett additionellt klimatbistånd </w:t>
      </w:r>
      <w:r w:rsidRPr="00FC2616" w:rsidR="00D34F51">
        <w:t xml:space="preserve">på </w:t>
      </w:r>
      <w:r w:rsidRPr="00FC2616" w:rsidR="007225CD">
        <w:t xml:space="preserve">500 </w:t>
      </w:r>
      <w:r w:rsidRPr="00FC2616" w:rsidR="00D34F51">
        <w:t>mi</w:t>
      </w:r>
      <w:r w:rsidRPr="00FC2616" w:rsidR="007225CD">
        <w:t>ljoner</w:t>
      </w:r>
      <w:r w:rsidRPr="00FC2616" w:rsidR="00D34F51">
        <w:t xml:space="preserve"> kronor</w:t>
      </w:r>
      <w:r w:rsidRPr="00FC2616" w:rsidR="007225CD">
        <w:t xml:space="preserve"> år ett för att sedan trappa upp det till 1</w:t>
      </w:r>
      <w:r w:rsidR="0088306A">
        <w:t> </w:t>
      </w:r>
      <w:r w:rsidRPr="00FC2616" w:rsidR="007225CD">
        <w:t xml:space="preserve">miljard </w:t>
      </w:r>
      <w:r w:rsidRPr="00FC2616" w:rsidR="00D80BB6">
        <w:t xml:space="preserve">kronor </w:t>
      </w:r>
      <w:r w:rsidRPr="00FC2616" w:rsidR="007225CD">
        <w:t>de nästkommande åren, detta</w:t>
      </w:r>
      <w:r w:rsidRPr="00FC2616">
        <w:t xml:space="preserve"> för att motverka effekterna av klimatkrisen.</w:t>
      </w:r>
    </w:p>
    <w:p w:rsidRPr="00576F3F" w:rsidR="00FB66A6" w:rsidP="003277FC" w:rsidRDefault="00FB66A6" w14:paraId="156130E4" w14:textId="77777777">
      <w:pPr>
        <w:pStyle w:val="Rubrik1numrerat"/>
      </w:pPr>
      <w:bookmarkStart w:name="_Toc149814522" w:id="32"/>
      <w:r w:rsidRPr="00576F3F">
        <w:t>Vänsterpartiets riktlinjer för den ekonomiska politiken</w:t>
      </w:r>
      <w:bookmarkEnd w:id="32"/>
    </w:p>
    <w:p w:rsidRPr="00FC2616" w:rsidR="00FB66A6" w:rsidP="00235CF2" w:rsidRDefault="00FB66A6" w14:paraId="4C9D5965" w14:textId="77777777">
      <w:pPr>
        <w:pStyle w:val="Normalutanindragellerluft"/>
      </w:pPr>
      <w:r w:rsidRPr="00FC2616">
        <w:t>En egen försörjning är grunden för personlig frihet och självständighet. Arbete utgör basen för ett ekonomiskt välstånd och ger möjlighet till delaktighet i samhällslivet. Vänsterpartiets ekonomiska politik strävar mot hållbar tillväxt, full sysselsättning och ekonomisk jämlikhet. Den ekonomiska politiken bör därför ha som inriktning att pressa ner arbetslösheten och att skapa förutsättningar för en hög sysselsättning i ett jämlikt samhälle med trygga löntagare.</w:t>
      </w:r>
    </w:p>
    <w:p w:rsidRPr="00FC2616" w:rsidR="009D399E" w:rsidP="006A2BF0" w:rsidRDefault="009D399E" w14:paraId="4B7B44DE" w14:textId="77777777">
      <w:pPr>
        <w:pStyle w:val="Rubrik2numrerat"/>
      </w:pPr>
      <w:bookmarkStart w:name="_Toc149814523" w:id="33"/>
      <w:r w:rsidRPr="00FC2616">
        <w:t>Den svenska modellen</w:t>
      </w:r>
      <w:bookmarkEnd w:id="33"/>
    </w:p>
    <w:p w:rsidRPr="00FC2616" w:rsidR="00FB66A6" w:rsidP="008878AD" w:rsidRDefault="00FB66A6" w14:paraId="54D51122" w14:textId="2DEE4164">
      <w:pPr>
        <w:pStyle w:val="Normalutanindragellerluft"/>
      </w:pPr>
      <w:r w:rsidRPr="00FC2616">
        <w:t>Grunden för den svenska arbetsmarknadsmodellen är starka parter: välorganiserade fackföreningar och arbetsgivare med stor legitimitet och makt. Löntagarnas ställning på arbetsmarknaden avgörs primärt av fem centrala områden</w:t>
      </w:r>
      <w:r w:rsidRPr="00FC2616" w:rsidR="008516B0">
        <w:t>:</w:t>
      </w:r>
    </w:p>
    <w:p w:rsidRPr="00576F3F" w:rsidR="00FB66A6" w:rsidP="00576F3F" w:rsidRDefault="00FB66A6" w14:paraId="32A1695F" w14:textId="586997FB">
      <w:pPr>
        <w:pStyle w:val="ListaPunkt"/>
        <w:ind w:left="340" w:hanging="340"/>
      </w:pPr>
      <w:r w:rsidRPr="00576F3F">
        <w:t>Arbetsmarknadsläget</w:t>
      </w:r>
      <w:r w:rsidRPr="00576F3F" w:rsidR="009F0D59">
        <w:t>.</w:t>
      </w:r>
      <w:r w:rsidRPr="00576F3F">
        <w:t xml:space="preserve"> En politik för full sysselsättning är helt central. Först när det är balans mellan utbud och efterfrågan på arbetsmarknaden försvinner risken </w:t>
      </w:r>
      <w:r w:rsidRPr="00576F3F" w:rsidR="002A0241">
        <w:t xml:space="preserve">för </w:t>
      </w:r>
      <w:r w:rsidRPr="00576F3F">
        <w:t xml:space="preserve">att arbetslösa ställs mot arbetande. En stark arbetsmarknad innebär en möjlighet för arbetskraften att kräva sin del av löneutrymmet, i termer av </w:t>
      </w:r>
      <w:r w:rsidRPr="00576F3F" w:rsidR="002A0241">
        <w:t xml:space="preserve">både </w:t>
      </w:r>
      <w:r w:rsidRPr="00576F3F">
        <w:t>löner, arbetsvillkor och möjligheter att fortbilda sig i arbetet.</w:t>
      </w:r>
    </w:p>
    <w:p w:rsidRPr="00576F3F" w:rsidR="00FB66A6" w:rsidP="00576F3F" w:rsidRDefault="00FB66A6" w14:paraId="3811A46D" w14:textId="58DD120F">
      <w:pPr>
        <w:pStyle w:val="ListaPunkt"/>
        <w:ind w:left="340" w:hanging="340"/>
      </w:pPr>
      <w:r w:rsidRPr="00576F3F">
        <w:t xml:space="preserve">Arbetsmarknadspolitiken. En aktiv arbetsmarknadspolitik skyddar och stödjer individer som blivit arbetslösa </w:t>
      </w:r>
      <w:r w:rsidRPr="00576F3F" w:rsidR="002A0241">
        <w:t>så</w:t>
      </w:r>
      <w:r w:rsidRPr="00576F3F">
        <w:t xml:space="preserve"> att</w:t>
      </w:r>
      <w:r w:rsidRPr="00576F3F" w:rsidR="002A0241">
        <w:t xml:space="preserve"> de kan</w:t>
      </w:r>
      <w:r w:rsidRPr="00576F3F">
        <w:t xml:space="preserve"> komma tillbaka i bra och utvecklande arbeten. Med rätt utbildningssystem får vi en bättre matchning mellan arbetssökande och de arbeten som växer fram och färre personer blir arbetslösa.</w:t>
      </w:r>
    </w:p>
    <w:p w:rsidRPr="00576F3F" w:rsidR="00FB66A6" w:rsidP="00576F3F" w:rsidRDefault="00FB66A6" w14:paraId="2E581720" w14:textId="752E507A">
      <w:pPr>
        <w:pStyle w:val="ListaPunkt"/>
        <w:ind w:left="340" w:hanging="340"/>
      </w:pPr>
      <w:r w:rsidRPr="00576F3F">
        <w:lastRenderedPageBreak/>
        <w:t>Trygghetssystemen. Starka trygghetssystem ger ett skydd för individer vid tillfälliga perioder av arbetslöshet, sjukdom</w:t>
      </w:r>
      <w:r w:rsidRPr="00576F3F" w:rsidR="002A0241">
        <w:t xml:space="preserve"> och</w:t>
      </w:r>
      <w:r w:rsidRPr="00576F3F">
        <w:t xml:space="preserve"> föräldraledighet samt när arbetslivet är slut. Det är även ett skydd för ekonomin som helhet vid större konjunkturnedgångar. Arbetslöshetsförsäkringen förhindrar att en arbetslös tvingas acceptera en lägre lön eller sämre villkor. Sjukförsäkringen säkerställer att sjukdom inte leder till förlorat arbete och möjliggör rehabilitering tillbaka till arbetet. Föräldraförsäkringen och den medföljande rätten till föräldraledighet tryggar inkomst</w:t>
      </w:r>
      <w:r w:rsidRPr="00576F3F" w:rsidR="002A0241">
        <w:t>en</w:t>
      </w:r>
      <w:r w:rsidRPr="00576F3F">
        <w:t xml:space="preserve"> och rätten till arbete för den som skaffar barn. Pensionssystemet gör så att vi kan sluta arbeta när vi inte längre orkar.</w:t>
      </w:r>
    </w:p>
    <w:p w:rsidRPr="00576F3F" w:rsidR="00FB66A6" w:rsidP="00576F3F" w:rsidRDefault="00FB66A6" w14:paraId="20761195" w14:textId="45D9161A">
      <w:pPr>
        <w:pStyle w:val="ListaPunkt"/>
        <w:ind w:left="340" w:hanging="340"/>
      </w:pPr>
      <w:r w:rsidRPr="00576F3F">
        <w:t xml:space="preserve">Arbetsrätt och anställningsskydd. Ett starkt anställningsskydd reglerar hur en arbetsgivare får säga upp en anställning. Vid arbetsbrist gäller turordning – sist in först ut – och lagen ger rätt till återanställning. Detta är en utgångspunkt som </w:t>
      </w:r>
      <w:r w:rsidRPr="00576F3F" w:rsidR="002A0241">
        <w:t xml:space="preserve">det </w:t>
      </w:r>
      <w:r w:rsidRPr="00576F3F">
        <w:t>går att förhandla utifrån. Det hindrar att arbetsgivaren byter ut en anställd mot en arbetslös för att sänka lönerna och motverkar godtycke från arbetsgivarens sida.</w:t>
      </w:r>
    </w:p>
    <w:p w:rsidRPr="00576F3F" w:rsidR="00FB66A6" w:rsidP="00576F3F" w:rsidRDefault="00FB66A6" w14:paraId="02ABD304" w14:textId="59D141FB">
      <w:pPr>
        <w:pStyle w:val="ListaPunkt"/>
        <w:ind w:left="340" w:hanging="340"/>
      </w:pPr>
      <w:r w:rsidRPr="00576F3F">
        <w:t>Kollektivavtalstäckning. Rikstäckande kollektivavtal gäller alla som säljer samma sorts arbete. Avtalen är bindande för arbetsgivarna, vilket innebär att de inte kan hota en enskild anställd med lägre lön eller sämre villkor. I grunden är förhållandet mellan arbetsgivaren och den enskilde löntagaren ojämn</w:t>
      </w:r>
      <w:r w:rsidRPr="00576F3F" w:rsidR="002A0241">
        <w:t>t</w:t>
      </w:r>
      <w:r w:rsidRPr="00576F3F">
        <w:t xml:space="preserve"> till arbetsgivarens fördel. För löntagarna är den kollektiva organiseringen och regler som bygger på den helt avgörande.</w:t>
      </w:r>
    </w:p>
    <w:p w:rsidRPr="00FC2616" w:rsidR="00FB66A6" w:rsidP="002A0241" w:rsidRDefault="00FB66A6" w14:paraId="489547CA" w14:textId="086DDF5B">
      <w:pPr>
        <w:pStyle w:val="Normalutanindragellerluft"/>
      </w:pPr>
      <w:r w:rsidRPr="00FC2616">
        <w:t>Den svenska arbetsmarknadsmodellen kompletteras och stärks av en stark och generell välfärd. Barn- och äldreomsorgen skapar likvärdiga villkor för våra barn och äldre och är samtidigt nödvändig för ett högt arbetskraftsdeltagande. Genom en offentligt finansierad omsorg får vi också en ökad professionalisering och högre kvalitet inom sektorn. En välfungerande sjuk- och hälsovård är grundläggande för att vi ska kunna leva långa och hälsosamma liv. En stark utbildningssektor är en förutsättning för en fungerande kompetensförsörjning och kompetensutveckling genom hela livet, men också för att vi ska ha samma möjligheter att medverka i det demokratiska samtalet och för att vi ska kunna gå samman och kräva våra rättigheter.</w:t>
      </w:r>
    </w:p>
    <w:p w:rsidRPr="00FC2616" w:rsidR="00FB66A6" w:rsidP="00FB66A6" w:rsidRDefault="00FB66A6" w14:paraId="21EFFBAF" w14:textId="77777777">
      <w:r w:rsidRPr="00FC2616">
        <w:t>Även bostadsförsörjningen och bostadspolitiken är en viktig pelare i hushållens möjligheter att bo och leva på de platser där arbete efterfrågas.</w:t>
      </w:r>
    </w:p>
    <w:p w:rsidRPr="00FC2616" w:rsidR="009D399E" w:rsidP="006A2BF0" w:rsidRDefault="009D399E" w14:paraId="0E972040" w14:textId="77777777">
      <w:pPr>
        <w:pStyle w:val="Rubrik2numrerat"/>
      </w:pPr>
      <w:bookmarkStart w:name="_Toc149814524" w:id="34"/>
      <w:r w:rsidRPr="00FC2616">
        <w:t>Bryt med normpolitiken</w:t>
      </w:r>
      <w:bookmarkEnd w:id="34"/>
    </w:p>
    <w:p w:rsidRPr="00FC2616" w:rsidR="00FB66A6" w:rsidP="00763919" w:rsidRDefault="00FB66A6" w14:paraId="284955F6" w14:textId="2ABC4087">
      <w:pPr>
        <w:pStyle w:val="Normalutanindragellerluft"/>
      </w:pPr>
      <w:r w:rsidRPr="00FC2616">
        <w:t>En politik för full sysselsättning kräver ett högt och ihållande efterfrågetryck i ekonomin. Den svenska ekonomisk-politiska diskussionen har i</w:t>
      </w:r>
      <w:r w:rsidRPr="00FC2616" w:rsidR="004B21F5">
        <w:t xml:space="preserve"> </w:t>
      </w:r>
      <w:r w:rsidRPr="00FC2616">
        <w:t>stället fastnat i att söka efter ekonomins jämvikt. Penning- och finanspolitik kan, enligt det förhärskande synsättet, endast bidra på kort sikt med att dämpa svängningarna kring den beräknade tillväxttrenden och påskynda ekonomins anpassning till den (antagna) potentiella jämviktsnivån. Vänsterpartiet har under en lång period på olika sätt ifrågasatt denna neoklassiska modell för ekonomisk politik, dess bevekelsegrunder och tillhörande antaganden. Det finns betydande teoretiskt och empiriskt stöd för synsättet att den lång</w:t>
      </w:r>
      <w:r w:rsidR="00C95529">
        <w:t>-</w:t>
      </w:r>
      <w:r w:rsidRPr="00FC2616">
        <w:lastRenderedPageBreak/>
        <w:t>siktiga produktionen i ett samhälle bestäms av den aggregerade efterfrågan på varor och tjänster, i kombination med strukturella utbudsfaktorer.</w:t>
      </w:r>
      <w:r w:rsidRPr="00FC2616">
        <w:rPr>
          <w:vertAlign w:val="superscript"/>
        </w:rPr>
        <w:footnoteReference w:id="29"/>
      </w:r>
    </w:p>
    <w:p w:rsidRPr="00FC2616" w:rsidR="00FB66A6" w:rsidP="00C01700" w:rsidRDefault="00FB66A6" w14:paraId="094A8CFB" w14:textId="2856D971">
      <w:r w:rsidRPr="00FC2616">
        <w:t>Vänsterpartiet anser att finanspolitiken, men även penningpolitiken, har stor betydelse för att hålla uppe en långsiktigt hög nivå på efterfrågan såväl som att stabilisera ekonomin vid risk för hög- och lågkonjunktur. Investeringarna har en nyckelroll i ekonomin, både för konjunkturvariationer och den långsiktiga utvecklingen. Det är dock inte företagens vinster eller det inhemska sparandet som driver invester</w:t>
      </w:r>
      <w:r w:rsidR="00C95529">
        <w:softHyphen/>
      </w:r>
      <w:r w:rsidRPr="00FC2616">
        <w:t>ingar – utan investerares syn på framtiden. Staten kan därför vara en viktig pådrivande aktör för att öka investeringarna.</w:t>
      </w:r>
    </w:p>
    <w:p w:rsidRPr="00FC2616" w:rsidR="00FB66A6" w:rsidP="00C01700" w:rsidRDefault="00FB66A6" w14:paraId="0C0F1BCE" w14:textId="11470ED1">
      <w:pPr>
        <w:rPr>
          <w:rFonts w:eastAsia="Calibri"/>
        </w:rPr>
      </w:pPr>
      <w:r w:rsidRPr="00FC2616">
        <w:rPr>
          <w:rFonts w:eastAsia="Calibri"/>
        </w:rPr>
        <w:t xml:space="preserve">Uppfattningen att det finns en naturlig ekonomisk jämvikt att återvända </w:t>
      </w:r>
      <w:r w:rsidR="005542C9">
        <w:rPr>
          <w:rFonts w:eastAsia="Calibri"/>
        </w:rPr>
        <w:t xml:space="preserve">till </w:t>
      </w:r>
      <w:r w:rsidRPr="00FC2616">
        <w:rPr>
          <w:rFonts w:eastAsia="Calibri"/>
        </w:rPr>
        <w:t>har blivit en självuppfyllande profetia för den svenska arbetslösheten. Anledningen är att beräk</w:t>
      </w:r>
      <w:r w:rsidR="00C95529">
        <w:rPr>
          <w:rFonts w:eastAsia="Calibri"/>
        </w:rPr>
        <w:softHyphen/>
      </w:r>
      <w:r w:rsidRPr="00FC2616">
        <w:rPr>
          <w:rFonts w:eastAsia="Calibri"/>
        </w:rPr>
        <w:t xml:space="preserve">ningar av jämviktsarbetslösheten ligger till grund för bedömningen av hur stort </w:t>
      </w:r>
      <w:proofErr w:type="spellStart"/>
      <w:r w:rsidRPr="00FC2616">
        <w:rPr>
          <w:rFonts w:eastAsia="Calibri"/>
        </w:rPr>
        <w:t>ut</w:t>
      </w:r>
      <w:r w:rsidR="00C95529">
        <w:rPr>
          <w:rFonts w:eastAsia="Calibri"/>
        </w:rPr>
        <w:t>-</w:t>
      </w:r>
      <w:r w:rsidRPr="00FC2616">
        <w:rPr>
          <w:rFonts w:eastAsia="Calibri"/>
        </w:rPr>
        <w:t>rymmet</w:t>
      </w:r>
      <w:proofErr w:type="spellEnd"/>
      <w:r w:rsidRPr="00FC2616">
        <w:rPr>
          <w:rFonts w:eastAsia="Calibri"/>
        </w:rPr>
        <w:t xml:space="preserve"> för finanspolitiska reformer bedöms vara. Detsamma gäller penningpolitiken och beräkningar </w:t>
      </w:r>
      <w:r w:rsidR="005542C9">
        <w:rPr>
          <w:rFonts w:eastAsia="Calibri"/>
        </w:rPr>
        <w:t xml:space="preserve">av </w:t>
      </w:r>
      <w:r w:rsidRPr="00FC2616">
        <w:rPr>
          <w:rFonts w:eastAsia="Calibri"/>
        </w:rPr>
        <w:t>vilken ränta som är förenlig med fullt resursutnyttjande i ekonomin – den s</w:t>
      </w:r>
      <w:r w:rsidRPr="00FC2616" w:rsidR="00996E54">
        <w:rPr>
          <w:rFonts w:eastAsia="Calibri"/>
        </w:rPr>
        <w:t>.k.</w:t>
      </w:r>
      <w:r w:rsidRPr="00FC2616">
        <w:rPr>
          <w:rFonts w:eastAsia="Calibri"/>
        </w:rPr>
        <w:t xml:space="preserve"> </w:t>
      </w:r>
      <w:r w:rsidRPr="00FC2616">
        <w:rPr>
          <w:rFonts w:eastAsia="Calibri"/>
          <w:i/>
          <w:iCs/>
        </w:rPr>
        <w:t>neutrala räntan</w:t>
      </w:r>
      <w:r w:rsidRPr="00FC2616">
        <w:rPr>
          <w:rFonts w:eastAsia="Calibri"/>
        </w:rPr>
        <w:t>.</w:t>
      </w:r>
      <w:r w:rsidRPr="00FC2616">
        <w:rPr>
          <w:rStyle w:val="Fotnotsreferens"/>
          <w:rFonts w:eastAsia="Calibri"/>
        </w:rPr>
        <w:footnoteReference w:id="30"/>
      </w:r>
    </w:p>
    <w:p w:rsidRPr="00FC2616" w:rsidR="00FB66A6" w:rsidP="00C01700" w:rsidRDefault="00FB66A6" w14:paraId="3AAA5E2A" w14:textId="680EA6EE">
      <w:pPr>
        <w:rPr>
          <w:rFonts w:eastAsia="Calibri"/>
        </w:rPr>
      </w:pPr>
      <w:r w:rsidRPr="00FC2616">
        <w:rPr>
          <w:rFonts w:eastAsia="Calibri"/>
        </w:rPr>
        <w:t>Vänsterpartiet anser att den ekonomiska politiken i</w:t>
      </w:r>
      <w:r w:rsidRPr="00FC2616" w:rsidR="00996E54">
        <w:rPr>
          <w:rFonts w:eastAsia="Calibri"/>
        </w:rPr>
        <w:t xml:space="preserve"> </w:t>
      </w:r>
      <w:r w:rsidRPr="00FC2616">
        <w:rPr>
          <w:rFonts w:eastAsia="Calibri"/>
        </w:rPr>
        <w:t>stället bör styras av reala mål om ökad sysselsättning, investeringar och klimatomställning – där offentligfinansiella</w:t>
      </w:r>
      <w:r w:rsidR="006262A6">
        <w:rPr>
          <w:rFonts w:eastAsia="Calibri"/>
        </w:rPr>
        <w:t xml:space="preserve"> mål</w:t>
      </w:r>
      <w:r w:rsidRPr="00FC2616">
        <w:rPr>
          <w:rFonts w:eastAsia="Calibri"/>
        </w:rPr>
        <w:t xml:space="preserve"> och inflationsmål blir verktyg för att uppnå de reala målen. </w:t>
      </w:r>
    </w:p>
    <w:p w:rsidRPr="00FC2616" w:rsidR="009D399E" w:rsidP="006A2BF0" w:rsidRDefault="009D399E" w14:paraId="34EB512B" w14:textId="5FC88D06">
      <w:pPr>
        <w:pStyle w:val="Rubrik2numrerat"/>
      </w:pPr>
      <w:bookmarkStart w:name="_Toc149814525" w:id="35"/>
      <w:r w:rsidRPr="00FC2616">
        <w:t>En aktiv arbetsmarknadspolitik och trygga försäkringar</w:t>
      </w:r>
      <w:bookmarkEnd w:id="35"/>
    </w:p>
    <w:p w:rsidRPr="00FC2616" w:rsidR="00FB66A6" w:rsidP="00F45C81" w:rsidRDefault="00FB66A6" w14:paraId="01F279A7" w14:textId="795FE273">
      <w:pPr>
        <w:pStyle w:val="Normalutanindragellerluft"/>
      </w:pPr>
      <w:r w:rsidRPr="00FC2616">
        <w:t>Sverige var länge ett föregångsland vad gäller aktiv arbetsmarknadspolitik. Under ett knappt halvsekel, från 1950-talet till början av 2000-talet, satsade Sverige betydligt mer på aktiv arbetsmarknadspolitik än andra jämförbara länder. Så är det inte längre. I</w:t>
      </w:r>
      <w:r w:rsidRPr="00FC2616" w:rsidR="00996E54">
        <w:t xml:space="preserve"> </w:t>
      </w:r>
      <w:r w:rsidRPr="00FC2616">
        <w:t>stället har det skett en successiv tillbakagång för den aktiva arbetsmarknadspolitiken i Sverige, vilket har gått hand i hand med att målet om full sysselsättning har övergetts. Utveck</w:t>
      </w:r>
      <w:r w:rsidR="00C95529">
        <w:softHyphen/>
      </w:r>
      <w:r w:rsidRPr="00FC2616">
        <w:t>lingen har drivits fram av såväl socialdemokratiska som borgerliga regeringar. En politik inriktad på rustande och</w:t>
      </w:r>
      <w:r w:rsidRPr="00FC2616" w:rsidR="00F45C81">
        <w:t xml:space="preserve"> </w:t>
      </w:r>
      <w:r w:rsidRPr="00FC2616">
        <w:t>kompetenshöjande insatser för att förbättra arbets</w:t>
      </w:r>
      <w:r w:rsidR="00C95529">
        <w:softHyphen/>
      </w:r>
      <w:r w:rsidRPr="00FC2616">
        <w:t>sökandes möjligheter på arbetsmarknaden har i hög grad ersatts av en politik för att höja sökintensiteten och maximera arbetsutbudet.</w:t>
      </w:r>
      <w:r w:rsidRPr="00FC2616">
        <w:rPr>
          <w:rStyle w:val="Fotnotsreferens"/>
        </w:rPr>
        <w:footnoteReference w:id="31"/>
      </w:r>
      <w:r w:rsidRPr="00FC2616">
        <w:t xml:space="preserve"> Den pågående ”reformeringen” av Arbetsförmedlingen är ett led i denna utveckling.</w:t>
      </w:r>
    </w:p>
    <w:p w:rsidRPr="00FC2616" w:rsidR="00FB66A6" w:rsidP="00C80979" w:rsidRDefault="00FB66A6" w14:paraId="6027D1FF" w14:textId="0D6C91D3">
      <w:pPr>
        <w:tabs>
          <w:tab w:val="clear" w:pos="284"/>
        </w:tabs>
      </w:pPr>
      <w:r w:rsidRPr="00FC2616">
        <w:t>En arbetslöshetsförsäkring som ger inkomsttrygghet vid arbetslöshet är avgörande för att skapa starka och trygga löntagare. Försäkringen har flera syften. För den enskilde löntagaren ger a-kassan inkomsttrygghet i övergången från ett arbete till ett annat. För löntagarna som kollektiv bidrar försäkringen till att förhindra underbudskonkurrens och att upprätthålla löner på en anständig nivå också i tider av hög arbetslöshet. Arbets</w:t>
      </w:r>
      <w:r w:rsidR="00C95529">
        <w:softHyphen/>
      </w:r>
      <w:r w:rsidRPr="00FC2616">
        <w:t>löshetsförsäkringen har även en viktig roll i samhällsekonomin. Den dämpar konjunk</w:t>
      </w:r>
      <w:r w:rsidR="007D3914">
        <w:softHyphen/>
      </w:r>
      <w:r w:rsidRPr="00FC2616">
        <w:t>turnedgångar, förbättrar arbetsmarknadens funktionssätt, har en positiv effekt på produktiviteten, ökar arbetskraftsutbudet och bidrar till ökad jämlikhet.</w:t>
      </w:r>
      <w:r w:rsidRPr="00FC2616">
        <w:rPr>
          <w:rStyle w:val="Fotnotsreferens"/>
        </w:rPr>
        <w:footnoteReference w:id="32"/>
      </w:r>
    </w:p>
    <w:p w:rsidRPr="00FC2616" w:rsidR="00FB66A6" w:rsidP="00FB66A6" w:rsidRDefault="00FB66A6" w14:paraId="72B01992" w14:textId="1922FA8F">
      <w:r w:rsidRPr="00FC2616">
        <w:lastRenderedPageBreak/>
        <w:t>Socialförsäkringen utgör en central del av den positiva arbetslinjen. Vi betalar och kvalificerar till socialförsäkringen genom arbete och vi skyddas därmed från stora inkomstbortfall när vi inte kan arbeta, exempelvis på grund av sjukdom, föräldra</w:t>
      </w:r>
      <w:r w:rsidR="007D3914">
        <w:softHyphen/>
      </w:r>
      <w:r w:rsidRPr="00FC2616">
        <w:t>ledighet eller vård av barn. En förutsättning för att alla som kan och vill ska kunna arbeta är också att vi ska klara oss ekonomiskt när vi inte kan arbeta. Socialförsäkringen är också en avgörande del i jämlikhetspolitiken. Den fördelar resurser mellan människor utifrån förmåga och efter behov samt mellan de olika livsfaser vi går igenom. Robusta generella trygghetssystem minskar också framväxten av privata lösningar som i sin tur leder till ökad ojämlikhet.</w:t>
      </w:r>
    </w:p>
    <w:p w:rsidRPr="00FC2616" w:rsidR="00FB66A6" w:rsidP="006A2BF0" w:rsidRDefault="00FB66A6" w14:paraId="68D1F27E" w14:textId="77777777">
      <w:pPr>
        <w:pStyle w:val="Rubrik2numrerat"/>
      </w:pPr>
      <w:bookmarkStart w:name="_Toc149814526" w:id="36"/>
      <w:r w:rsidRPr="00FC2616">
        <w:t>Generell välfärd en del i arbetslinjen</w:t>
      </w:r>
      <w:bookmarkEnd w:id="36"/>
    </w:p>
    <w:p w:rsidRPr="00FC2616" w:rsidR="00FB66A6" w:rsidP="00FB66A6" w:rsidRDefault="00FB66A6" w14:paraId="5950C0BC" w14:textId="6DF30E8C">
      <w:pPr>
        <w:pStyle w:val="Normalutanindragellerluft"/>
      </w:pPr>
      <w:r w:rsidRPr="00FC2616">
        <w:t>En fungerande offentlig välfärd är central för att kunna uppnå full sysselsättning. Det innefattar ett väl fungerande utbildningssystem som rustar ungdomar för arbetslivet och som sedan bidrar till att bibehålla och tillföra kompetens till arbetskraften. En utbyggd barn- och äldreomsorg gör att föräldrar och anhöriga kan delta fullt ut på arbets</w:t>
      </w:r>
      <w:r w:rsidR="007D3914">
        <w:softHyphen/>
      </w:r>
      <w:r w:rsidRPr="00FC2616">
        <w:t>marknaden.</w:t>
      </w:r>
    </w:p>
    <w:p w:rsidRPr="00FC2616" w:rsidR="00FB66A6" w:rsidP="00C30858" w:rsidRDefault="00FB66A6" w14:paraId="11203A91" w14:textId="14BD07B4">
      <w:pPr>
        <w:rPr>
          <w:rFonts w:eastAsia="Calibri"/>
        </w:rPr>
      </w:pPr>
      <w:r w:rsidRPr="00FC2616">
        <w:rPr>
          <w:rFonts w:eastAsia="Calibri"/>
        </w:rPr>
        <w:t>Den vård du erbjuds ska inte vara beroende av din samhällsklass, ditt kön, ditt ursprung eller din geografiska hemvist.</w:t>
      </w:r>
    </w:p>
    <w:p w:rsidRPr="00FC2616" w:rsidR="00FB66A6" w:rsidP="00FB66A6" w:rsidRDefault="00FB66A6" w14:paraId="1C738912" w14:textId="2081FF75">
      <w:r w:rsidRPr="00FC2616">
        <w:t>Många yrken, särskilt arbetaryrken, inom vård och omsorg har låga löner. Ungefär 80</w:t>
      </w:r>
      <w:r w:rsidR="003A6583">
        <w:t> </w:t>
      </w:r>
      <w:r w:rsidRPr="00FC2616">
        <w:t>procent av de anställda inom vård och omsorg är kvinnor. Enligt LO är arbetar</w:t>
      </w:r>
      <w:r w:rsidR="007D3914">
        <w:softHyphen/>
      </w:r>
      <w:r w:rsidRPr="00FC2616">
        <w:t>kvinnors löner 88</w:t>
      </w:r>
      <w:r w:rsidR="00D96C66">
        <w:t> </w:t>
      </w:r>
      <w:r w:rsidRPr="00FC2616">
        <w:t>procent av männens.</w:t>
      </w:r>
      <w:r w:rsidRPr="00FC2616">
        <w:rPr>
          <w:rStyle w:val="Fotnotsreferens"/>
        </w:rPr>
        <w:footnoteReference w:id="33"/>
      </w:r>
      <w:r w:rsidRPr="00FC2616">
        <w:t xml:space="preserve"> Förklaringen till löneskillnaden ligger i kombinationen av en könssegregerad arbetsmarknad och löneskillnaderna mellan olika yrken och sektorer. Det vill säga att medellönen oftast är lägre inom de yrken som domineras av kvinnor jämfört med mansdominerade yrken. En satsning på villkoren inom vård och omsorg blir därför en mycket tydlig satsning på kvinnors löner, särskilt arbetarkvinnor</w:t>
      </w:r>
      <w:r w:rsidR="00A07C2B">
        <w:t>s</w:t>
      </w:r>
      <w:r w:rsidRPr="00FC2616">
        <w:t>.</w:t>
      </w:r>
    </w:p>
    <w:p w:rsidRPr="00FC2616" w:rsidR="00FB66A6" w:rsidP="00FB66A6" w:rsidRDefault="00FB66A6" w14:paraId="14F52F7D" w14:textId="6889A60A">
      <w:pPr>
        <w:rPr>
          <w:rFonts w:eastAsia="Calibri"/>
        </w:rPr>
      </w:pPr>
      <w:r w:rsidRPr="00FC2616">
        <w:rPr>
          <w:rFonts w:eastAsia="Calibri"/>
        </w:rPr>
        <w:t>Inom de närmaste åren kommer välfärdsområdet att stå inför en stor utmaning; andelen personer över 80</w:t>
      </w:r>
      <w:r w:rsidR="00C1369D">
        <w:rPr>
          <w:rFonts w:eastAsia="Calibri"/>
        </w:rPr>
        <w:t> </w:t>
      </w:r>
      <w:r w:rsidRPr="00FC2616">
        <w:rPr>
          <w:rFonts w:eastAsia="Calibri"/>
        </w:rPr>
        <w:t>år kommer att öka med nästan 40</w:t>
      </w:r>
      <w:r w:rsidR="00C1369D">
        <w:rPr>
          <w:rFonts w:eastAsia="Calibri"/>
        </w:rPr>
        <w:t> </w:t>
      </w:r>
      <w:r w:rsidRPr="00FC2616">
        <w:rPr>
          <w:rFonts w:eastAsia="Calibri"/>
        </w:rPr>
        <w:t>procent mellan 2022 och 2032.</w:t>
      </w:r>
      <w:r w:rsidRPr="00FC2616">
        <w:rPr>
          <w:rStyle w:val="Fotnotsreferens"/>
          <w:rFonts w:eastAsia="Calibri"/>
        </w:rPr>
        <w:footnoteReference w:id="34"/>
      </w:r>
      <w:r w:rsidRPr="00FC2616">
        <w:rPr>
          <w:rFonts w:eastAsia="Calibri"/>
        </w:rPr>
        <w:t xml:space="preserve"> Att människor lever längre är självklart något positivt. Men en förändrad befolkningssammansättning leder till att behovet av äldreomsorg och vård kommer att öka. </w:t>
      </w:r>
    </w:p>
    <w:p w:rsidRPr="00FC2616" w:rsidR="009D399E" w:rsidP="006A2BF0" w:rsidRDefault="009D399E" w14:paraId="1D2B7C7E" w14:textId="77777777">
      <w:pPr>
        <w:pStyle w:val="Rubrik2numrerat"/>
        <w:rPr>
          <w:rFonts w:eastAsia="Calibri"/>
        </w:rPr>
      </w:pPr>
      <w:bookmarkStart w:name="_Toc149814527" w:id="37"/>
      <w:r w:rsidRPr="00FC2616">
        <w:rPr>
          <w:rFonts w:eastAsia="Calibri"/>
        </w:rPr>
        <w:t>En kunskapsnation i världsklass</w:t>
      </w:r>
      <w:bookmarkEnd w:id="37"/>
    </w:p>
    <w:p w:rsidRPr="00FC2616" w:rsidR="00FB66A6" w:rsidP="002607A3" w:rsidRDefault="00FB66A6" w14:paraId="2F7156FA" w14:textId="55D9C469">
      <w:pPr>
        <w:pStyle w:val="Normalutanindragellerluft"/>
        <w:rPr>
          <w:rFonts w:eastAsia="Calibri"/>
        </w:rPr>
      </w:pPr>
      <w:r w:rsidRPr="00FC2616">
        <w:rPr>
          <w:rFonts w:eastAsia="Calibri"/>
        </w:rPr>
        <w:t xml:space="preserve">Utbildning och humankapital är en avgörande faktor för arbetsproduktivitetstillväxt. Arbetsproduktivitetstillväxt är när antingen mer kunskap eller realkapital tillförs och leder till ökad produktion med </w:t>
      </w:r>
      <w:r w:rsidR="0033026D">
        <w:rPr>
          <w:rFonts w:eastAsia="Calibri"/>
        </w:rPr>
        <w:t xml:space="preserve">en </w:t>
      </w:r>
      <w:r w:rsidRPr="00FC2616">
        <w:rPr>
          <w:rFonts w:eastAsia="Calibri"/>
        </w:rPr>
        <w:t xml:space="preserve">konstant arbetsinsats. </w:t>
      </w:r>
      <w:r w:rsidRPr="00FC2616" w:rsidR="00CD15F2">
        <w:rPr>
          <w:rFonts w:eastAsia="Calibri"/>
        </w:rPr>
        <w:t>F</w:t>
      </w:r>
      <w:r w:rsidRPr="00FC2616">
        <w:rPr>
          <w:rFonts w:eastAsia="Calibri"/>
        </w:rPr>
        <w:t xml:space="preserve">ör ekonomisk utveckling krävs både bredd och spets, men det är inte spetsen som driver förändringen, utan bredden. Det är ur bredden som spetsen föds. Forskning i världsklass kommer av att </w:t>
      </w:r>
      <w:r w:rsidRPr="00FC2616" w:rsidR="00CD15F2">
        <w:rPr>
          <w:rFonts w:eastAsia="Calibri"/>
        </w:rPr>
        <w:t xml:space="preserve">det finns starka organiserade miljöer med goda ekonomiska förutsättningar, och att </w:t>
      </w:r>
      <w:r w:rsidRPr="00FC2616">
        <w:rPr>
          <w:rFonts w:eastAsia="Calibri"/>
        </w:rPr>
        <w:t>de med störst talang utför den, inte den med rikast föräldrar. Ett samhälle som utestänger många från utbildningsmöjligheter i barndomen kommer inte heller</w:t>
      </w:r>
      <w:r w:rsidR="00AE792E">
        <w:rPr>
          <w:rFonts w:eastAsia="Calibri"/>
        </w:rPr>
        <w:t xml:space="preserve"> att</w:t>
      </w:r>
      <w:r w:rsidRPr="00FC2616">
        <w:rPr>
          <w:rFonts w:eastAsia="Calibri"/>
        </w:rPr>
        <w:t xml:space="preserve"> ha de bästa forskarna.</w:t>
      </w:r>
    </w:p>
    <w:p w:rsidRPr="00FC2616" w:rsidR="00FB66A6" w:rsidP="00B36207" w:rsidRDefault="00FB66A6" w14:paraId="0ABF1B75" w14:textId="32D98E22">
      <w:pPr>
        <w:rPr>
          <w:rFonts w:eastAsia="Calibri"/>
        </w:rPr>
      </w:pPr>
      <w:r w:rsidRPr="00FC2616">
        <w:rPr>
          <w:rFonts w:eastAsia="Calibri"/>
        </w:rPr>
        <w:lastRenderedPageBreak/>
        <w:t xml:space="preserve">Bilden av Sverige som ett </w:t>
      </w:r>
      <w:r w:rsidRPr="00FC2616" w:rsidR="00CD15F2">
        <w:rPr>
          <w:rFonts w:eastAsia="Calibri"/>
        </w:rPr>
        <w:t xml:space="preserve">jämlikt </w:t>
      </w:r>
      <w:r w:rsidRPr="00FC2616">
        <w:rPr>
          <w:rFonts w:eastAsia="Calibri"/>
        </w:rPr>
        <w:t>land med en skola med starkt fokus på lik</w:t>
      </w:r>
      <w:r w:rsidR="007D3914">
        <w:rPr>
          <w:rFonts w:eastAsia="Calibri"/>
        </w:rPr>
        <w:softHyphen/>
      </w:r>
      <w:r w:rsidRPr="00FC2616">
        <w:rPr>
          <w:rFonts w:eastAsia="Calibri"/>
        </w:rPr>
        <w:t>värdighet och kompensatorisk</w:t>
      </w:r>
      <w:r w:rsidRPr="00FC2616" w:rsidR="00CD15F2">
        <w:rPr>
          <w:rFonts w:eastAsia="Calibri"/>
        </w:rPr>
        <w:t>a insatser</w:t>
      </w:r>
      <w:r w:rsidRPr="00FC2616">
        <w:rPr>
          <w:rFonts w:eastAsia="Calibri"/>
        </w:rPr>
        <w:t xml:space="preserve"> är </w:t>
      </w:r>
      <w:r w:rsidRPr="00FC2616" w:rsidR="00CD15F2">
        <w:rPr>
          <w:rFonts w:eastAsia="Calibri"/>
        </w:rPr>
        <w:t>i</w:t>
      </w:r>
      <w:r w:rsidRPr="00FC2616" w:rsidR="003F640F">
        <w:rPr>
          <w:rFonts w:eastAsia="Calibri"/>
        </w:rPr>
        <w:t xml:space="preserve"> </w:t>
      </w:r>
      <w:r w:rsidRPr="00FC2616" w:rsidR="00CD15F2">
        <w:rPr>
          <w:rFonts w:eastAsia="Calibri"/>
        </w:rPr>
        <w:t xml:space="preserve">dag </w:t>
      </w:r>
      <w:r w:rsidRPr="00FC2616">
        <w:rPr>
          <w:rFonts w:eastAsia="Calibri"/>
        </w:rPr>
        <w:t>felaktig. Sverige har en ovanligt starkt segregerad skola, i en internationell jämförelse. Enligt OECD är den svenska skol</w:t>
      </w:r>
      <w:r w:rsidR="007D3914">
        <w:rPr>
          <w:rFonts w:eastAsia="Calibri"/>
        </w:rPr>
        <w:softHyphen/>
      </w:r>
      <w:r w:rsidRPr="00FC2616">
        <w:rPr>
          <w:rFonts w:eastAsia="Calibri"/>
        </w:rPr>
        <w:t>segregationen klart större än OECD-snittet. Barn med låga kunskapsutfall går betydligt oftare tillsammans i samma skola än i andra länder, och de med goda kunskapsutfall är koncentrerade till andra skolor. Sverige är också internationellt sett medelmåttigt vad gäller att klara det kompensatoriska uppdraget och uppväga elevernas socioekonomiska förutsättningar. De elever som slutar skolan utan en gymnasieexamen har betydligt svårare att komma in i yrkeslivet. Den gruppen är också överrepresenterad i områden med socioekonomiska utmaningar.</w:t>
      </w:r>
    </w:p>
    <w:p w:rsidRPr="00FC2616" w:rsidR="00FB66A6" w:rsidP="00FB66A6" w:rsidRDefault="00FB66A6" w14:paraId="608D16E4" w14:textId="5F2E7143">
      <w:pPr>
        <w:rPr>
          <w:rFonts w:eastAsia="Calibri"/>
        </w:rPr>
      </w:pPr>
      <w:r w:rsidRPr="00FC2616">
        <w:rPr>
          <w:rFonts w:eastAsia="Calibri"/>
        </w:rPr>
        <w:t>Tyvärr har organisering</w:t>
      </w:r>
      <w:r w:rsidR="00CC1111">
        <w:rPr>
          <w:rFonts w:eastAsia="Calibri"/>
        </w:rPr>
        <w:t>en</w:t>
      </w:r>
      <w:r w:rsidRPr="00FC2616">
        <w:rPr>
          <w:rFonts w:eastAsia="Calibri"/>
        </w:rPr>
        <w:t xml:space="preserve"> av utbildningen förstärkt den breda samhällsutveckling </w:t>
      </w:r>
      <w:r w:rsidR="00CC1111">
        <w:rPr>
          <w:rFonts w:eastAsia="Calibri"/>
        </w:rPr>
        <w:t xml:space="preserve">som </w:t>
      </w:r>
      <w:r w:rsidRPr="00FC2616">
        <w:rPr>
          <w:rFonts w:eastAsia="Calibri"/>
        </w:rPr>
        <w:t xml:space="preserve">vi </w:t>
      </w:r>
      <w:r w:rsidR="00CC1111">
        <w:rPr>
          <w:rFonts w:eastAsia="Calibri"/>
        </w:rPr>
        <w:t xml:space="preserve">har </w:t>
      </w:r>
      <w:r w:rsidRPr="00FC2616">
        <w:rPr>
          <w:rFonts w:eastAsia="Calibri"/>
        </w:rPr>
        <w:t>sett de senaste decennierna i form av avreglerade marknader och skatte</w:t>
      </w:r>
      <w:r w:rsidR="007D3914">
        <w:rPr>
          <w:rFonts w:eastAsia="Calibri"/>
        </w:rPr>
        <w:softHyphen/>
      </w:r>
      <w:r w:rsidRPr="00FC2616">
        <w:rPr>
          <w:rFonts w:eastAsia="Calibri"/>
        </w:rPr>
        <w:t>sänkningar för de rikaste. Krympande resurser i förskolan, skolpeng, marknadsskola, försämrade studiesociala insatser och fallande studentinsats</w:t>
      </w:r>
      <w:r w:rsidR="0056353B">
        <w:rPr>
          <w:rFonts w:eastAsia="Calibri"/>
        </w:rPr>
        <w:t>er</w:t>
      </w:r>
      <w:r w:rsidRPr="00FC2616">
        <w:rPr>
          <w:rFonts w:eastAsia="Calibri"/>
        </w:rPr>
        <w:t xml:space="preserve"> per person i högre utbildning, och inte minst nedmonteringen av arbetsmarknadsutbildningen, förstärker – och motverkar inte – utvecklingen mot att allt större grupper kommer att exkluderas ifrån rättvisa livschanser till skada för livskvalitet, social rörlighet och ekonomisk utveckling.</w:t>
      </w:r>
    </w:p>
    <w:p w:rsidRPr="00FC2616" w:rsidR="00FB66A6" w:rsidP="006A2BF0" w:rsidRDefault="00FB66A6" w14:paraId="1FB41C4B" w14:textId="77777777">
      <w:pPr>
        <w:pStyle w:val="Rubrik2numrerat"/>
        <w:rPr>
          <w:rFonts w:eastAsia="Calibri"/>
        </w:rPr>
      </w:pPr>
      <w:bookmarkStart w:name="_Toc149814528" w:id="38"/>
      <w:r w:rsidRPr="00FC2616">
        <w:rPr>
          <w:rFonts w:eastAsia="Calibri"/>
        </w:rPr>
        <w:t>Klimat</w:t>
      </w:r>
      <w:bookmarkEnd w:id="38"/>
    </w:p>
    <w:p w:rsidRPr="00FC2616" w:rsidR="00FB66A6" w:rsidP="00683152" w:rsidRDefault="00FB66A6" w14:paraId="46C95ABE" w14:textId="13BBF90D">
      <w:pPr>
        <w:pStyle w:val="Normalutanindragellerluft"/>
        <w:rPr>
          <w:rFonts w:eastAsia="Calibri"/>
        </w:rPr>
      </w:pPr>
      <w:r w:rsidRPr="00FC2616">
        <w:rPr>
          <w:rFonts w:eastAsia="Calibri"/>
        </w:rPr>
        <w:t>Vänsterpartiets klimat- och miljöpolitik tar sin utgångspunkt i att samhället behöver ställa om på ett omfattande, skyndsamt och strukturerat vis för att uppnå klimatmålen och undvika en klimatkatastrof. Många av de nödvändiga förändringarna av vår produktion och konsumtion behöver genomföras de närmaste tio åren. Om om</w:t>
      </w:r>
      <w:r w:rsidR="007D3914">
        <w:rPr>
          <w:rFonts w:eastAsia="Calibri"/>
        </w:rPr>
        <w:softHyphen/>
      </w:r>
      <w:r w:rsidRPr="00FC2616">
        <w:rPr>
          <w:rFonts w:eastAsia="Calibri"/>
        </w:rPr>
        <w:t xml:space="preserve">ställningen ska lyckas behöver den ske med en tydlig folklig förankring för de genomgripande förslag som behöver till. Därför kan och bör inte klimatpolitiken frikopplas </w:t>
      </w:r>
      <w:r w:rsidR="00460FA4">
        <w:rPr>
          <w:rFonts w:eastAsia="Calibri"/>
        </w:rPr>
        <w:t xml:space="preserve">från </w:t>
      </w:r>
      <w:r w:rsidRPr="00FC2616">
        <w:rPr>
          <w:rFonts w:eastAsia="Calibri"/>
        </w:rPr>
        <w:t>frågor om sysselsättning, välfärd och regional utveckling.</w:t>
      </w:r>
    </w:p>
    <w:p w:rsidRPr="00FC2616" w:rsidR="00FB66A6" w:rsidP="00683152" w:rsidRDefault="00FB66A6" w14:paraId="7D1D017F" w14:textId="08FFB056">
      <w:pPr>
        <w:rPr>
          <w:rFonts w:eastAsia="Calibri"/>
        </w:rPr>
      </w:pPr>
      <w:r w:rsidRPr="00FC2616">
        <w:rPr>
          <w:rFonts w:eastAsia="Calibri"/>
        </w:rPr>
        <w:t>Forskningen är tydlig med att effektiva utsläppsminskningar i grova drag endast kan uppnås på tre olika sätt</w:t>
      </w:r>
      <w:r w:rsidR="00925026">
        <w:rPr>
          <w:rFonts w:eastAsia="Calibri"/>
        </w:rPr>
        <w:t>:</w:t>
      </w:r>
      <w:r w:rsidRPr="00FC2616">
        <w:rPr>
          <w:rFonts w:eastAsia="Calibri"/>
        </w:rPr>
        <w:t xml:space="preserve"> 1) Genom nya tekniska innovationer som innebär att utsläppen minskar från befintlig verksamhet, 2) genom beteendeförändringar och 3) genom minskad konsumtion och förändrad efterfrågan. Vänsterpartiet är på det klara med att det kommer </w:t>
      </w:r>
      <w:r w:rsidR="00925026">
        <w:rPr>
          <w:rFonts w:eastAsia="Calibri"/>
        </w:rPr>
        <w:t xml:space="preserve">att </w:t>
      </w:r>
      <w:r w:rsidRPr="00FC2616">
        <w:rPr>
          <w:rFonts w:eastAsia="Calibri"/>
        </w:rPr>
        <w:t>krävas att alla dessa tre sätt implementeras.</w:t>
      </w:r>
    </w:p>
    <w:p w:rsidRPr="00FC2616" w:rsidR="00FB66A6" w:rsidP="00683152" w:rsidRDefault="00FB66A6" w14:paraId="1B21EFC6" w14:textId="793A3D49">
      <w:pPr>
        <w:rPr>
          <w:rFonts w:eastAsia="Calibri"/>
        </w:rPr>
      </w:pPr>
      <w:r w:rsidRPr="00FC2616">
        <w:rPr>
          <w:rFonts w:eastAsia="Calibri"/>
        </w:rPr>
        <w:t>Samhället behöver emellertid vara mycket tydligt med att det är genom ändrade förutsättningar</w:t>
      </w:r>
      <w:r w:rsidRPr="00FC2616" w:rsidR="0025348F">
        <w:rPr>
          <w:rFonts w:eastAsia="Calibri"/>
        </w:rPr>
        <w:t xml:space="preserve"> – </w:t>
      </w:r>
      <w:r w:rsidRPr="00FC2616">
        <w:rPr>
          <w:rFonts w:eastAsia="Calibri"/>
        </w:rPr>
        <w:t>investeringar, innovation, storskaliga samhälleliga projekt</w:t>
      </w:r>
      <w:r w:rsidRPr="00FC2616" w:rsidR="0025348F">
        <w:rPr>
          <w:rFonts w:eastAsia="Calibri"/>
        </w:rPr>
        <w:t xml:space="preserve"> –</w:t>
      </w:r>
      <w:r w:rsidRPr="00FC2616">
        <w:rPr>
          <w:rFonts w:eastAsia="Calibri"/>
        </w:rPr>
        <w:t xml:space="preserve"> som de största effekterna kommer </w:t>
      </w:r>
      <w:r w:rsidR="0092682C">
        <w:rPr>
          <w:rFonts w:eastAsia="Calibri"/>
        </w:rPr>
        <w:t xml:space="preserve">att </w:t>
      </w:r>
      <w:r w:rsidRPr="00FC2616">
        <w:rPr>
          <w:rFonts w:eastAsia="Calibri"/>
        </w:rPr>
        <w:t xml:space="preserve">uppnås. Nya järnvägssatsningar kommer </w:t>
      </w:r>
      <w:r w:rsidRPr="00FC2616" w:rsidR="0025348F">
        <w:rPr>
          <w:rFonts w:eastAsia="Calibri"/>
        </w:rPr>
        <w:t xml:space="preserve">att </w:t>
      </w:r>
      <w:r w:rsidRPr="00FC2616">
        <w:rPr>
          <w:rFonts w:eastAsia="Calibri"/>
        </w:rPr>
        <w:t>ställa om resandet från inrikesflyg till tåg och bilåkandet till kollektivtrafik. När vi gör om miljonprogrammet till ett bostadmiljöprogram för vår tid förbättrar vi boendemiljöerna och åstadkommer stor klimatnytta.</w:t>
      </w:r>
    </w:p>
    <w:p w:rsidRPr="00FC2616" w:rsidR="00FB66A6" w:rsidP="004B4492" w:rsidRDefault="00FB66A6" w14:paraId="6F0EB8D2" w14:textId="2D4E15CE">
      <w:pPr>
        <w:rPr>
          <w:rFonts w:eastAsia="Calibri"/>
        </w:rPr>
      </w:pPr>
      <w:r w:rsidRPr="00FC2616">
        <w:rPr>
          <w:rFonts w:eastAsia="Calibri"/>
        </w:rPr>
        <w:t xml:space="preserve">Individuella ansträngningar för klimatet är viktiga och nödvändiga, men den politiska handlingskraften för att systematiskt sänka utsläppen får aldrig ersättas av den enskildes dåliga samvete. Det är samhällets roll att säkerställa att klimatomställningen inte står och faller med individuella val </w:t>
      </w:r>
      <w:r w:rsidR="004F6287">
        <w:rPr>
          <w:rFonts w:eastAsia="Calibri"/>
        </w:rPr>
        <w:t>i fråga om</w:t>
      </w:r>
      <w:r w:rsidRPr="00FC2616">
        <w:rPr>
          <w:rFonts w:eastAsia="Calibri"/>
        </w:rPr>
        <w:t xml:space="preserve"> konsumtion eller levnadsvanor. Deltagandet i klimatomställningen får inte reduceras till den enskildes köpkraft och möjlighet att genom medvetna val ändra sina levnadsvanor. I</w:t>
      </w:r>
      <w:r w:rsidRPr="00FC2616" w:rsidR="008742A9">
        <w:rPr>
          <w:rFonts w:eastAsia="Calibri"/>
        </w:rPr>
        <w:t xml:space="preserve"> </w:t>
      </w:r>
      <w:r w:rsidRPr="00FC2616">
        <w:rPr>
          <w:rFonts w:eastAsia="Calibri"/>
        </w:rPr>
        <w:t>stället kommer för</w:t>
      </w:r>
      <w:r w:rsidR="007D3914">
        <w:rPr>
          <w:rFonts w:eastAsia="Calibri"/>
        </w:rPr>
        <w:softHyphen/>
      </w:r>
      <w:r w:rsidRPr="00FC2616">
        <w:rPr>
          <w:rFonts w:eastAsia="Calibri"/>
        </w:rPr>
        <w:t xml:space="preserve">ändringar av levnadsvanor att bidra positivt till det övergripande samhällsprojekt där klimatomställningen är en bärande del. I byggandet av jämlikhet, full sysselsättning och </w:t>
      </w:r>
      <w:r w:rsidRPr="00FC2616">
        <w:rPr>
          <w:rFonts w:eastAsia="Calibri"/>
        </w:rPr>
        <w:lastRenderedPageBreak/>
        <w:t>en verkligt generös välfärd ska klimatomställningens behov vara centrala. Här verkar de individuella ansträngningarna och de samhälleliga i symbios.</w:t>
      </w:r>
    </w:p>
    <w:p w:rsidRPr="00FC2616" w:rsidR="00FB66A6" w:rsidP="00E4691E" w:rsidRDefault="00FB66A6" w14:paraId="6D247C04" w14:textId="587BC6CA">
      <w:pPr>
        <w:rPr>
          <w:rFonts w:eastAsia="Calibri"/>
        </w:rPr>
      </w:pPr>
      <w:r w:rsidRPr="00FC2616">
        <w:rPr>
          <w:rFonts w:eastAsia="Calibri"/>
        </w:rPr>
        <w:t xml:space="preserve">För Vänsterpartiet är det självklart att det kommer </w:t>
      </w:r>
      <w:r w:rsidR="00DE6831">
        <w:rPr>
          <w:rFonts w:eastAsia="Calibri"/>
        </w:rPr>
        <w:t xml:space="preserve">att </w:t>
      </w:r>
      <w:r w:rsidRPr="00FC2616">
        <w:rPr>
          <w:rFonts w:eastAsia="Calibri"/>
        </w:rPr>
        <w:t>vara trygga löntagare som genomför klimatomställningen. Längst fram i ledet för att åstadkomma klimatneutralitet står bl</w:t>
      </w:r>
      <w:r w:rsidRPr="00FC2616" w:rsidR="008742A9">
        <w:rPr>
          <w:rFonts w:eastAsia="Calibri"/>
        </w:rPr>
        <w:t>.</w:t>
      </w:r>
      <w:r w:rsidRPr="00FC2616">
        <w:rPr>
          <w:rFonts w:eastAsia="Calibri"/>
        </w:rPr>
        <w:t>a</w:t>
      </w:r>
      <w:r w:rsidRPr="00FC2616" w:rsidR="008742A9">
        <w:rPr>
          <w:rFonts w:eastAsia="Calibri"/>
        </w:rPr>
        <w:t>.</w:t>
      </w:r>
      <w:r w:rsidRPr="00FC2616">
        <w:rPr>
          <w:rFonts w:eastAsia="Calibri"/>
        </w:rPr>
        <w:t xml:space="preserve"> yrkesskickliga fabriksarbetare, ingenjörer, konduktörer och anläggnings</w:t>
      </w:r>
      <w:r w:rsidR="007D3914">
        <w:rPr>
          <w:rFonts w:eastAsia="Calibri"/>
        </w:rPr>
        <w:softHyphen/>
      </w:r>
      <w:r w:rsidRPr="00FC2616">
        <w:rPr>
          <w:rFonts w:eastAsia="Calibri"/>
        </w:rPr>
        <w:t>arbetare. Vård- och omsorgspersonalen i välfärden tillsammans med lärare, lokalvårdare och andra yrkesgrupper bär välfärden och därmed den kollektiva tryggheten. Det är arbetare och tjänstemän runtom i Sverige som kommer att säkerställa att klimat</w:t>
      </w:r>
      <w:r w:rsidR="007D3914">
        <w:rPr>
          <w:rFonts w:eastAsia="Calibri"/>
        </w:rPr>
        <w:softHyphen/>
      </w:r>
      <w:r w:rsidRPr="00FC2616">
        <w:rPr>
          <w:rFonts w:eastAsia="Calibri"/>
        </w:rPr>
        <w:t>omställningen går från ord till handling. Därför behöver en offensiv klimatomställning också beakta löntagarintresset och avancera deras positioner genom en utbyggd välfärd och stärkta trygghetssystem.</w:t>
      </w:r>
    </w:p>
    <w:p w:rsidRPr="00FC2616" w:rsidR="00FB66A6" w:rsidP="0052164E" w:rsidRDefault="00FB66A6" w14:paraId="18A4D3B7" w14:textId="208E7C5F">
      <w:pPr>
        <w:rPr>
          <w:rFonts w:eastAsia="Calibri"/>
        </w:rPr>
      </w:pPr>
      <w:r w:rsidRPr="00FC2616">
        <w:rPr>
          <w:rFonts w:eastAsia="Calibri"/>
        </w:rPr>
        <w:t>Vänsterpartiet söker mandat för att genomföra en klimatomställning där samhället spelar en tydligare och större roll. Företagsinitiativ som främjar utvecklingen mot klimatneutralitet behöver understödjas av samhället samtidigt som innovation, forskning och internationellt samarbete behöver prioriteras och främjas. Sverige kan spela en tydlig roll för att underlätta informationsutbyte och lärdomar till andra länder samtidigt som det additionella klimatbiståndet stärks. För världssamfundet som helhet krävs en större grad av koordinering och samarbetsvilja för att åstadkomma skyndsamma resultat</w:t>
      </w:r>
      <w:r w:rsidR="006113A0">
        <w:rPr>
          <w:rFonts w:eastAsia="Calibri"/>
        </w:rPr>
        <w:t>;</w:t>
      </w:r>
      <w:r w:rsidRPr="00FC2616">
        <w:rPr>
          <w:rFonts w:eastAsia="Calibri"/>
        </w:rPr>
        <w:t xml:space="preserve"> i den kontexten behöver Sverige fungera som en möjliggörare.</w:t>
      </w:r>
    </w:p>
    <w:p w:rsidRPr="00FC2616" w:rsidR="00FB66A6" w:rsidP="00BE26F9" w:rsidRDefault="00FB66A6" w14:paraId="65640198" w14:textId="07E22CEC">
      <w:pPr>
        <w:rPr>
          <w:rFonts w:eastAsia="Calibri"/>
        </w:rPr>
      </w:pPr>
      <w:r w:rsidRPr="00FC2616">
        <w:rPr>
          <w:rFonts w:eastAsia="Calibri"/>
        </w:rPr>
        <w:t xml:space="preserve">Naturliga kolsänkor och andra miljövärden behöver skyddas och återställas i en accelererad takt. För att värna miljöns roll i </w:t>
      </w:r>
      <w:r w:rsidR="00305959">
        <w:rPr>
          <w:rFonts w:eastAsia="Calibri"/>
        </w:rPr>
        <w:t xml:space="preserve">fråga om </w:t>
      </w:r>
      <w:r w:rsidRPr="00FC2616">
        <w:rPr>
          <w:rFonts w:eastAsia="Calibri"/>
        </w:rPr>
        <w:t>såväl klimatomställningen som det egenvärde en livfull och välmående miljö har behöver samhället avsätta resurser till skydd och restoration. För Vänsterpartiet är miljöfrågorna centrala för förståelsen om hur framtidens jämlika och hållbara samhällen ska se ut. Närheten till livaktig natur, bevarandet för kommande generationer och varsamhet i exploateringen av naturen är grundvärden i Vänsterpartiets miljöpolitik.</w:t>
      </w:r>
    </w:p>
    <w:p w:rsidRPr="00FC2616" w:rsidR="00FB66A6" w:rsidP="00FB66A6" w:rsidRDefault="00FB66A6" w14:paraId="489E106A" w14:textId="2F8DC58F">
      <w:pPr>
        <w:rPr>
          <w:rFonts w:eastAsia="Calibri"/>
        </w:rPr>
      </w:pPr>
      <w:r w:rsidRPr="00FC2616">
        <w:rPr>
          <w:rFonts w:eastAsia="Calibri"/>
        </w:rPr>
        <w:t xml:space="preserve">Såväl internationellt som nationellt behöver klimatomställningen institutionaliseras och konkretiseras. Vänsterpartiet delar den växande klimatrörelsens strävan efter konkretion och tydliga handlingsplaner. Tiden för fromma förhoppningar och tilltro till marknadslösningar är över. Handlingskraft, ett aktivt samhälle och en </w:t>
      </w:r>
      <w:proofErr w:type="spellStart"/>
      <w:r w:rsidRPr="00FC2616">
        <w:rPr>
          <w:rFonts w:eastAsia="Calibri"/>
        </w:rPr>
        <w:t>klimatpolitik</w:t>
      </w:r>
      <w:proofErr w:type="spellEnd"/>
      <w:r w:rsidRPr="00FC2616">
        <w:rPr>
          <w:rFonts w:eastAsia="Calibri"/>
        </w:rPr>
        <w:t xml:space="preserve"> i centrum av den ekonomiska politiken är i</w:t>
      </w:r>
      <w:r w:rsidRPr="00FC2616" w:rsidR="00E87264">
        <w:rPr>
          <w:rFonts w:eastAsia="Calibri"/>
        </w:rPr>
        <w:t xml:space="preserve"> </w:t>
      </w:r>
      <w:r w:rsidRPr="00FC2616">
        <w:rPr>
          <w:rFonts w:eastAsia="Calibri"/>
        </w:rPr>
        <w:t>stället den inriktning som skänker efterlängtat hopp och verkliga resultat.</w:t>
      </w:r>
    </w:p>
    <w:p w:rsidRPr="00FC2616" w:rsidR="00FB66A6" w:rsidP="006A2BF0" w:rsidRDefault="00FB66A6" w14:paraId="72E8976F" w14:textId="77777777">
      <w:pPr>
        <w:pStyle w:val="Rubrik2numrerat"/>
      </w:pPr>
      <w:bookmarkStart w:name="_Toc149814529" w:id="39"/>
      <w:r w:rsidRPr="00FC2616">
        <w:t>Lägre skatter ger inte högre skatteintäkter</w:t>
      </w:r>
      <w:bookmarkEnd w:id="39"/>
    </w:p>
    <w:p w:rsidRPr="00FC2616" w:rsidR="00FB66A6" w:rsidP="00BE26F9" w:rsidRDefault="00FB66A6" w14:paraId="600670DD" w14:textId="68554CFA">
      <w:pPr>
        <w:pStyle w:val="Normalutanindragellerluft"/>
      </w:pPr>
      <w:r w:rsidRPr="00FC2616">
        <w:t xml:space="preserve">En politik för hållbar tillväxt, ökad jämlikhet och full sysselsättning behöver understödjas av en hög kvalitet i välfärdstjänster och effektiva försäkringssystem. Skatterna fyller i detta hänseende flera viktiga funktioner. De ska </w:t>
      </w:r>
      <w:r w:rsidR="00B45B68">
        <w:t>ge</w:t>
      </w:r>
      <w:r w:rsidRPr="00FC2616">
        <w:t xml:space="preserve"> en stabil finansiering av offentliga investeringar, utbildning och en aktiv arbetsmarknads- och näringspolitik. Därtill bör de jämna ut konsumtion och sparande mellan olika inkomstgrupper.</w:t>
      </w:r>
    </w:p>
    <w:p w:rsidRPr="00FC2616" w:rsidR="00FB66A6" w:rsidP="00FB66A6" w:rsidRDefault="00FB66A6" w14:paraId="7224ABB8" w14:textId="74AD75C4">
      <w:pPr>
        <w:tabs>
          <w:tab w:val="clear" w:pos="284"/>
        </w:tabs>
      </w:pPr>
      <w:r w:rsidRPr="00FC2616">
        <w:t xml:space="preserve">Det svenska skattesystemet gav oss en gång skatteintäkter som var de högsta i världen relativt BNP. Det fanns en stark tilltro till möjligheten att göra skillnad tillsammans och en självklarhet </w:t>
      </w:r>
      <w:r w:rsidR="00D02EB4">
        <w:t xml:space="preserve">i fråga om </w:t>
      </w:r>
      <w:r w:rsidRPr="00FC2616">
        <w:t>att samhällsinvesteringar skulle finansieras gemensamt. Diskussionen om skatter var då hur de skulle tas ut rättvist, samhälls</w:t>
      </w:r>
      <w:r w:rsidR="007D3914">
        <w:softHyphen/>
      </w:r>
      <w:r w:rsidRPr="00FC2616">
        <w:t>ekonomiskt effektivt och med en bibehållen legitimitet för skattesystemet. Utgångs</w:t>
      </w:r>
      <w:r w:rsidR="007D3914">
        <w:softHyphen/>
      </w:r>
      <w:r w:rsidRPr="00FC2616">
        <w:t xml:space="preserve">punkten för 1990-talets stora skattereform var hur man skulle ta ut mesta möjliga skatt </w:t>
      </w:r>
      <w:r w:rsidRPr="00FC2616">
        <w:lastRenderedPageBreak/>
        <w:t>med minsta möjliga påverkan på ekonomin i övrigt. Svaret på den svåra frågan om hur skatters påverkan på sparande, arbetsutbud, investeringar, riskvilja eller konsumtion skulle minimeras blev</w:t>
      </w:r>
      <w:r w:rsidR="00881134">
        <w:t>:</w:t>
      </w:r>
      <w:r w:rsidRPr="00FC2616">
        <w:t xml:space="preserve"> likformighet, neutralitet och enkelhet.</w:t>
      </w:r>
    </w:p>
    <w:p w:rsidRPr="00FC2616" w:rsidR="00FB66A6" w:rsidP="00FB66A6" w:rsidRDefault="00FB66A6" w14:paraId="03DC9F18" w14:textId="36361542">
      <w:r w:rsidRPr="00FC2616">
        <w:t>I</w:t>
      </w:r>
      <w:r w:rsidRPr="00FC2616" w:rsidR="00385B8C">
        <w:t xml:space="preserve"> </w:t>
      </w:r>
      <w:r w:rsidRPr="00FC2616">
        <w:t>dag lever diskussionen om legitima skatter en tynande tillvaro. Snarare är utgångs</w:t>
      </w:r>
      <w:r w:rsidR="007D3914">
        <w:softHyphen/>
      </w:r>
      <w:r w:rsidRPr="00FC2616">
        <w:t>punkten för debatten att skatter är skadliga och ständigt behöver slopas eller minimeras. Skattekvoten har sänkts från 49,8</w:t>
      </w:r>
      <w:r w:rsidR="008B0D82">
        <w:t> </w:t>
      </w:r>
      <w:r w:rsidRPr="00FC2616">
        <w:t>procent 1990 till 42,1</w:t>
      </w:r>
      <w:r w:rsidR="008B0D82">
        <w:t> </w:t>
      </w:r>
      <w:r w:rsidRPr="00FC2616">
        <w:t>procent 2022, vilket motsvarar ca</w:t>
      </w:r>
      <w:r w:rsidR="008B0D82">
        <w:t> </w:t>
      </w:r>
      <w:r w:rsidRPr="00FC2616">
        <w:t xml:space="preserve">440 miljarder kronor i mindre skatteinkomster varje år. Motiven har skiftat men övervägande karakteriserats av att slopandet/sänkningen ska lösa det ena eller det andra samhällsproblemet. </w:t>
      </w:r>
    </w:p>
    <w:p w:rsidRPr="00FC2616" w:rsidR="00FB66A6" w:rsidP="00FB66A6" w:rsidRDefault="00FB66A6" w14:paraId="41D008E7" w14:textId="3D8BC5F5">
      <w:pPr>
        <w:tabs>
          <w:tab w:val="clear" w:pos="284"/>
        </w:tabs>
      </w:pPr>
      <w:r w:rsidRPr="00FC2616">
        <w:t xml:space="preserve">Det tydligaste exemplet är jobbskatteavdraget som infördes av </w:t>
      </w:r>
      <w:r w:rsidR="00026191">
        <w:t>a</w:t>
      </w:r>
      <w:r w:rsidRPr="00FC2616">
        <w:t>lliansregeringen med början 2007, med motivet att arbetsutbudet skulle öka. Skattesänkningar med motiv</w:t>
      </w:r>
      <w:r w:rsidR="000771CE">
        <w:t>et</w:t>
      </w:r>
      <w:r w:rsidRPr="00FC2616">
        <w:t xml:space="preserve"> att de ska </w:t>
      </w:r>
      <w:r w:rsidR="00623BC1">
        <w:t xml:space="preserve">ge </w:t>
      </w:r>
      <w:r w:rsidRPr="00FC2616">
        <w:t>öka</w:t>
      </w:r>
      <w:r w:rsidR="00623BC1">
        <w:t>de</w:t>
      </w:r>
      <w:r w:rsidRPr="00FC2616">
        <w:t xml:space="preserve"> investeringar och företagande är exempelvis slopandet av förmögenhetsskatten, den låga skatten på investeringsparkonton och på utdelning från onoterade bolag och fåmansbolag, Andra exempel på skatterabatter som ska gynna vissa branscher eller beteenden är nedsatt moms på kultur och livsmedel, nedsatt restaurang</w:t>
      </w:r>
      <w:r w:rsidR="007D3914">
        <w:softHyphen/>
      </w:r>
      <w:r w:rsidRPr="00FC2616">
        <w:t xml:space="preserve">moms, </w:t>
      </w:r>
      <w:r w:rsidR="00497417">
        <w:t>rut</w:t>
      </w:r>
      <w:r w:rsidRPr="00FC2616">
        <w:t xml:space="preserve">- och </w:t>
      </w:r>
      <w:r w:rsidR="00497417">
        <w:t>rot</w:t>
      </w:r>
      <w:r w:rsidRPr="00FC2616">
        <w:t xml:space="preserve">avdrag och inte minst en lång rad nedsättningar av arbetsgivaravgifter för olika ändamål. </w:t>
      </w:r>
    </w:p>
    <w:p w:rsidRPr="00083A0B" w:rsidR="00FB66A6" w:rsidP="00083A0B" w:rsidRDefault="00FB66A6" w14:paraId="3E9BA651" w14:textId="5B724C70">
      <w:pPr>
        <w:pStyle w:val="Tabellrubrik"/>
      </w:pPr>
      <w:r w:rsidRPr="00083A0B">
        <w:t xml:space="preserve">Figur </w:t>
      </w:r>
      <w:r w:rsidRPr="00083A0B" w:rsidR="00D52509">
        <w:t>7</w:t>
      </w:r>
      <w:r w:rsidRPr="00083A0B">
        <w:t xml:space="preserve"> Sveriges skattekvot, 1980–2022</w:t>
      </w:r>
    </w:p>
    <w:p w:rsidRPr="00083A0B" w:rsidR="00FB66A6" w:rsidP="00083A0B" w:rsidRDefault="00FB66A6" w14:paraId="7448468B" w14:textId="77777777">
      <w:pPr>
        <w:pStyle w:val="Tabellunderrubrik"/>
      </w:pPr>
      <w:r w:rsidRPr="00083A0B">
        <w:t>Procent av BNP</w:t>
      </w:r>
    </w:p>
    <w:p w:rsidRPr="00FC2616" w:rsidR="00FB66A6" w:rsidP="00803015" w:rsidRDefault="00F24D07" w14:paraId="13C72987" w14:textId="5B71F418">
      <w:pPr>
        <w:pStyle w:val="Normalutanindragellerluft"/>
        <w:rPr>
          <w:sz w:val="20"/>
          <w:szCs w:val="20"/>
        </w:rPr>
      </w:pPr>
      <w:r w:rsidRPr="00FC2616">
        <w:rPr>
          <w:noProof/>
          <w14:numSpacing w14:val="default"/>
        </w:rPr>
        <w:drawing>
          <wp:inline distT="0" distB="0" distL="0" distR="0" wp14:anchorId="6B4AEC74" wp14:editId="6B18BBE0">
            <wp:extent cx="4954905" cy="3208973"/>
            <wp:effectExtent l="0" t="0" r="17145" b="10795"/>
            <wp:docPr id="13" name="Diagram 13" descr="">
              <a:extLst xmlns:a="http://schemas.openxmlformats.org/drawingml/2006/main">
                <a:ext uri="{FF2B5EF4-FFF2-40B4-BE49-F238E27FC236}">
                  <a16:creationId xmlns:a16="http://schemas.microsoft.com/office/drawing/2014/main" id="{F384BAEB-15EF-4553-8164-268DEA8F4D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083A0B" w:rsidR="00FB66A6" w:rsidP="00083A0B" w:rsidRDefault="00FB66A6" w14:paraId="5A90CA3A" w14:textId="4A9B620F">
      <w:pPr>
        <w:pStyle w:val="Klla"/>
      </w:pPr>
      <w:r w:rsidRPr="00083A0B">
        <w:t xml:space="preserve">Källa: SCB och </w:t>
      </w:r>
      <w:r w:rsidRPr="00083A0B" w:rsidR="00497417">
        <w:t>r</w:t>
      </w:r>
      <w:r w:rsidRPr="00083A0B">
        <w:t>egeringens</w:t>
      </w:r>
      <w:r w:rsidRPr="00083A0B" w:rsidR="003277FC">
        <w:t xml:space="preserve"> </w:t>
      </w:r>
      <w:r w:rsidRPr="00083A0B" w:rsidR="00C970B6">
        <w:t>b</w:t>
      </w:r>
      <w:r w:rsidRPr="00083A0B" w:rsidR="003277FC">
        <w:t>udgetproposition 2023</w:t>
      </w:r>
      <w:r w:rsidRPr="00083A0B">
        <w:t>.</w:t>
      </w:r>
    </w:p>
    <w:p w:rsidRPr="00FC2616" w:rsidR="00FB66A6" w:rsidP="00083A0B" w:rsidRDefault="00FB66A6" w14:paraId="5CD386DB" w14:textId="0AA002C2">
      <w:pPr>
        <w:pStyle w:val="Normalutanindragellerluft"/>
        <w:spacing w:before="150"/>
      </w:pPr>
      <w:r w:rsidRPr="00FC2616">
        <w:t>Det finns dock inget stöd för att skatter gör mer skada än nytta. En stark tes är att skatt på arbete hämmar viljan att arbeta. Sverige har förhållandevis höga marginal- och deltagandeskatter på arbete. Samtidigt har vi EU:s näst högsta sysselsättningsgrad på ca</w:t>
      </w:r>
      <w:r w:rsidR="00452DE6">
        <w:t> </w:t>
      </w:r>
      <w:r w:rsidRPr="00FC2616">
        <w:t>82 procent (20–64</w:t>
      </w:r>
      <w:r w:rsidR="00452DE6">
        <w:t> </w:t>
      </w:r>
      <w:r w:rsidRPr="00FC2616">
        <w:t>år) – för individer med eftergymnasial utbildning är syssel</w:t>
      </w:r>
      <w:r w:rsidR="007D3914">
        <w:t>-</w:t>
      </w:r>
      <w:r w:rsidRPr="00FC2616">
        <w:t>sättningsgraden 90</w:t>
      </w:r>
      <w:r w:rsidR="00452DE6">
        <w:t> </w:t>
      </w:r>
      <w:r w:rsidRPr="00FC2616">
        <w:t>procent. Samma förhållande gäller även i andra nordiska länder som Norge och Danmark. Samtidigt har ett land som USA en lägre skatt men också betydligt lägre sysselsättningsgrad. I en studie av Henrik Jacobsen Kleven</w:t>
      </w:r>
      <w:r w:rsidRPr="00FC2616">
        <w:rPr>
          <w:rStyle w:val="Fotnotsreferens"/>
        </w:rPr>
        <w:footnoteReference w:id="35"/>
      </w:r>
      <w:r w:rsidRPr="00FC2616">
        <w:t xml:space="preserve"> förklaras höga </w:t>
      </w:r>
      <w:r w:rsidRPr="00FC2616">
        <w:lastRenderedPageBreak/>
        <w:t>skatter och hög sysselsättningsgrad med att länder med höga skatter också har stora subventioner av arbetskraftsdeltagande genom offentlig finansiering av särskilt förskola och äldreomsorg.</w:t>
      </w:r>
    </w:p>
    <w:p w:rsidRPr="00FC2616" w:rsidR="00FB66A6" w:rsidP="00FB66A6" w:rsidRDefault="00FB66A6" w14:paraId="39E96C21" w14:textId="3796820D">
      <w:r w:rsidRPr="00FC2616">
        <w:t xml:space="preserve">I en omtalad och nyligen publicerad studie från London </w:t>
      </w:r>
      <w:proofErr w:type="spellStart"/>
      <w:r w:rsidRPr="00FC2616">
        <w:t>School</w:t>
      </w:r>
      <w:proofErr w:type="spellEnd"/>
      <w:r w:rsidRPr="00FC2616">
        <w:t xml:space="preserve"> </w:t>
      </w:r>
      <w:proofErr w:type="spellStart"/>
      <w:r w:rsidRPr="00FC2616">
        <w:t>of</w:t>
      </w:r>
      <w:proofErr w:type="spellEnd"/>
      <w:r w:rsidRPr="00FC2616">
        <w:t xml:space="preserve"> </w:t>
      </w:r>
      <w:proofErr w:type="spellStart"/>
      <w:r w:rsidRPr="00FC2616">
        <w:t>Economics</w:t>
      </w:r>
      <w:proofErr w:type="spellEnd"/>
      <w:r w:rsidRPr="00FC2616">
        <w:t xml:space="preserve"> har forskarna Hope och </w:t>
      </w:r>
      <w:proofErr w:type="spellStart"/>
      <w:r w:rsidRPr="00FC2616">
        <w:t>Limberg</w:t>
      </w:r>
      <w:proofErr w:type="spellEnd"/>
      <w:r w:rsidRPr="00FC2616">
        <w:t xml:space="preserve"> analyserat effekterna av sänkta skatter på höga inkoms</w:t>
      </w:r>
      <w:r w:rsidR="007D3914">
        <w:softHyphen/>
      </w:r>
      <w:r w:rsidRPr="00FC2616">
        <w:t>ter.</w:t>
      </w:r>
      <w:r w:rsidRPr="00FC2616">
        <w:rPr>
          <w:rStyle w:val="Fotnotsreferens"/>
        </w:rPr>
        <w:footnoteReference w:id="36"/>
      </w:r>
      <w:r w:rsidRPr="00FC2616">
        <w:t xml:space="preserve"> Studien kommer, föga förvånande, fram till att skattesänkningar för de rika ökar den ekonomiska ojämlikheten utan att nämnvärt påverka arbetslösheten eller den ekonomiska tillväxten.</w:t>
      </w:r>
    </w:p>
    <w:p w:rsidRPr="00FC2616" w:rsidR="00FB66A6" w:rsidP="00FB66A6" w:rsidRDefault="00FB66A6" w14:paraId="4AE60F65" w14:textId="77777777">
      <w:r w:rsidRPr="00FC2616">
        <w:t xml:space="preserve">Sammanfattningsvis ger forskningen inget entydigt svar på hur starkt det eventuella sambandet mellan skatter och sysselsättning är i Sverige. Det enda som är helt säkert är att skattesänkningar leder till minskade skatteintäkter. Flertalet skattesänkningar har dock tydligt bidragit till kraftigt ökade inkomstskillnader. </w:t>
      </w:r>
    </w:p>
    <w:p w:rsidRPr="00FC2616" w:rsidR="009D399E" w:rsidP="006A2BF0" w:rsidRDefault="009D399E" w14:paraId="76E9749F" w14:textId="77777777">
      <w:pPr>
        <w:pStyle w:val="Rubrik2numrerat"/>
      </w:pPr>
      <w:bookmarkStart w:name="_Toc149814530" w:id="40"/>
      <w:r w:rsidRPr="00FC2616">
        <w:t>Enhetliga skatter är omfördelande</w:t>
      </w:r>
      <w:bookmarkEnd w:id="40"/>
    </w:p>
    <w:p w:rsidRPr="00FC2616" w:rsidR="00FB66A6" w:rsidP="00803015" w:rsidRDefault="00FB66A6" w14:paraId="752BFD48" w14:textId="4289210B">
      <w:pPr>
        <w:pStyle w:val="Normalutanindragellerluft"/>
      </w:pPr>
      <w:r w:rsidRPr="00FC2616">
        <w:t>Skatter har en utjämnande funktion genom den direkta omfördelningen – från kapitalägare, företag och personer med höga löneinkomster till låg- och medelinkomst</w:t>
      </w:r>
      <w:r w:rsidR="007D3914">
        <w:softHyphen/>
      </w:r>
      <w:r w:rsidRPr="00FC2616">
        <w:t>tagare via arbetslöshetsförsäkringen eller kanske socialbidrag. Detta är den mest synliga delen av samhällets omfördelning – men inte den viktigaste. Höga marginalskatter kan beskrivas som ”toppen av ett isberg”. Isberget måste också värnas av dem som önskar en kraftfull utjämning.</w:t>
      </w:r>
    </w:p>
    <w:p w:rsidRPr="00FC2616" w:rsidR="00FB66A6" w:rsidP="00FB66A6" w:rsidRDefault="00FB66A6" w14:paraId="33A0A75F" w14:textId="21C57F3C">
      <w:pPr>
        <w:tabs>
          <w:tab w:val="clear" w:pos="284"/>
        </w:tabs>
      </w:pPr>
      <w:r w:rsidRPr="00FC2616">
        <w:t>Mer centralt för att skapa en ökad jämlikhet är dock skatternas betydelse för att säkra välfärdens långsiktiga finansiering. En generell välfärd jämnar ut skillnader i inkomst och förutsättningar både över livets olika skeden och mellan inkomstgrupper. Skolans betydelse för ett mer jämlikt samhälle går inte att överskatta. Jämlik tillgång till sjukvård av hög kvalitet bidrar till att jämna ut hälsoklyftor, förbättra livskvaliteten och förlänga livslängden för befolkningen. En äldreomsorg i offentlig regi syftar till att skapa värdiga och likvärdiga livsvillkor för alla äldre. Trygghets- och omställnings</w:t>
      </w:r>
      <w:r w:rsidR="007D3914">
        <w:softHyphen/>
      </w:r>
      <w:r w:rsidRPr="00FC2616">
        <w:t xml:space="preserve">försäkringarna omfördelar mellan olika inkomstgrupper, mellan män och kvinnor men framför allt över livets olika skeden. </w:t>
      </w:r>
    </w:p>
    <w:p w:rsidRPr="00FC2616" w:rsidR="00FB66A6" w:rsidP="00FB66A6" w:rsidRDefault="00FB66A6" w14:paraId="3541B6DD" w14:textId="30AEEB47">
      <w:pPr>
        <w:tabs>
          <w:tab w:val="clear" w:pos="284"/>
        </w:tabs>
      </w:pPr>
      <w:r w:rsidRPr="00FC2616">
        <w:t>Den offentliga konsumtionen verkar därmed kraftigt utjämnande på inkomst</w:t>
      </w:r>
      <w:r w:rsidR="007D3914">
        <w:softHyphen/>
      </w:r>
      <w:r w:rsidRPr="00FC2616">
        <w:t>fördelningen varje år. I regeringens fördelningspolitiska redogörelse för 2021 visas att värdet av de nyttjade välfärdstjänsterna är större i de lägre inkomstgrupperna än i de högre.</w:t>
      </w:r>
      <w:r w:rsidRPr="00FC2616">
        <w:rPr>
          <w:rStyle w:val="Fotnotsreferens"/>
        </w:rPr>
        <w:footnoteReference w:id="37"/>
      </w:r>
      <w:r w:rsidRPr="00FC2616">
        <w:t xml:space="preserve"> Den samlade effekten när värdet av offentliga välfärdstjänster adderas till den disponibla inkomsten är att inkomstskillnaderna minskar med 23</w:t>
      </w:r>
      <w:r w:rsidR="00991E0B">
        <w:t> </w:t>
      </w:r>
      <w:r w:rsidRPr="00FC2616">
        <w:t>procent.</w:t>
      </w:r>
      <w:r w:rsidRPr="00FC2616">
        <w:rPr>
          <w:rStyle w:val="Fotnotsreferens"/>
        </w:rPr>
        <w:footnoteReference w:id="38"/>
      </w:r>
    </w:p>
    <w:p w:rsidRPr="00FC2616" w:rsidR="00FB66A6" w:rsidP="00FB66A6" w:rsidRDefault="00FB66A6" w14:paraId="3510FD79" w14:textId="46389F5F">
      <w:pPr>
        <w:tabs>
          <w:tab w:val="clear" w:pos="284"/>
        </w:tabs>
      </w:pPr>
      <w:r w:rsidRPr="00FC2616">
        <w:t xml:space="preserve">Skatt efter bärkraft och välfärd utifrån behov är omfördelningens kärna. Eftersom välfärden finansieras </w:t>
      </w:r>
      <w:r w:rsidR="00742B65">
        <w:t>med</w:t>
      </w:r>
      <w:r w:rsidRPr="00FC2616">
        <w:t xml:space="preserve"> offentliga medel blir skattepolitiken ett av de mer ideologiskt betydelsefulla politikområdena – kanske det mest betydelsefulla.</w:t>
      </w:r>
    </w:p>
    <w:p w:rsidRPr="00FC2616" w:rsidR="00FB66A6" w:rsidP="00FB66A6" w:rsidRDefault="00FB66A6" w14:paraId="06F675F9" w14:textId="1E7BE245">
      <w:pPr>
        <w:tabs>
          <w:tab w:val="clear" w:pos="284"/>
        </w:tabs>
      </w:pPr>
      <w:r w:rsidRPr="00FC2616">
        <w:t xml:space="preserve">Dagens kraftiga koncentration av kapital till den rikaste procenten i befolkningen är både orättvis och ineffektiv. Orättvis eftersom människors livsvillkor blir så olika och </w:t>
      </w:r>
      <w:r w:rsidRPr="00FC2616">
        <w:lastRenderedPageBreak/>
        <w:t xml:space="preserve">förståelsen för varandras situation </w:t>
      </w:r>
      <w:r w:rsidR="006E5123">
        <w:t xml:space="preserve">blir </w:t>
      </w:r>
      <w:r w:rsidRPr="00FC2616">
        <w:t>begränsad. Ineffektiv eftersom samhället under</w:t>
      </w:r>
      <w:r w:rsidR="007D3914">
        <w:softHyphen/>
      </w:r>
      <w:r w:rsidRPr="00FC2616">
        <w:t>låter att beskatta inkomster som ändå med stor sannolikhet sparas eller inte används produktivt. Inkomstkoncentration skapar dessutom en ekonomisk och politisk makt</w:t>
      </w:r>
      <w:r w:rsidR="007D3914">
        <w:softHyphen/>
      </w:r>
      <w:r w:rsidRPr="00FC2616">
        <w:t>förskjutning som riskerar att bli odemokratisk. De extremt rika har råd att köpa sig politiskt inflytande med hjälp av lobbyister och tankesmedjor. Genom höjda skatter omfördelar vi privat konsumtionsutrymme till offentligt. På så sätt omfördelar vi också makt och resurser och ökar det gemensammas del av ekonomin.</w:t>
      </w:r>
    </w:p>
    <w:p w:rsidRPr="00FC2616" w:rsidR="00FB66A6" w:rsidP="00FB66A6" w:rsidRDefault="00FB66A6" w14:paraId="38189784" w14:textId="11A43F38">
      <w:pPr>
        <w:tabs>
          <w:tab w:val="clear" w:pos="284"/>
        </w:tabs>
      </w:pPr>
      <w:r w:rsidRPr="00FC2616">
        <w:t>Vänsterpartiet söker mandat för att inleda arbetet med en genomgripande skatter</w:t>
      </w:r>
      <w:r w:rsidR="007D3914">
        <w:softHyphen/>
      </w:r>
      <w:r w:rsidRPr="00FC2616">
        <w:t>eform som ska skapa ett enhetligt, rättvist och legitimt skattesystem som kan bidra till en långsiktig finansiering av välfärden.</w:t>
      </w:r>
    </w:p>
    <w:p w:rsidRPr="00FC2616" w:rsidR="00FB66A6" w:rsidP="00FB66A6" w:rsidRDefault="00FB66A6" w14:paraId="2279766D" w14:textId="239F1280">
      <w:r w:rsidRPr="00FC2616">
        <w:t>Vår generella utgångspunkt är att staten inte ska använda lägre skattesatser och olika skatteavdrag som stöd till vissa företag eller branscher eller för att påverka konsum</w:t>
      </w:r>
      <w:r w:rsidR="007D3914">
        <w:softHyphen/>
      </w:r>
      <w:r w:rsidRPr="00FC2616">
        <w:t>tionsmönster och arbetstider. Skatter ska finansiera gemensamma åtaganden och jämna ut inkomstskillnader. Detta bör vara en utgångspunkt för en reformering av det svenska skattesystemet. Det mest prioriterade området att komma till</w:t>
      </w:r>
      <w:r w:rsidRPr="00FC2616" w:rsidR="005201D2">
        <w:t xml:space="preserve"> </w:t>
      </w:r>
      <w:r w:rsidRPr="00FC2616">
        <w:t>rätta med är den urholkade kapitalbeskattningen och den extremt ojämna förmögenhetsfördelningen i Sverige.</w:t>
      </w:r>
    </w:p>
    <w:p w:rsidRPr="00FC2616" w:rsidR="00C77A8F" w:rsidP="006A2BF0" w:rsidRDefault="00C77A8F" w14:paraId="19E4CCE2" w14:textId="630F5DE7">
      <w:pPr>
        <w:pStyle w:val="Rubrik2numrerat"/>
        <w:rPr>
          <w:lang w:eastAsia="sv-SE"/>
        </w:rPr>
      </w:pPr>
      <w:bookmarkStart w:name="_Toc149814531" w:id="41"/>
      <w:r w:rsidRPr="00FC2616">
        <w:rPr>
          <w:lang w:eastAsia="sv-SE"/>
        </w:rPr>
        <w:t>Finanspolitiska överväganden</w:t>
      </w:r>
      <w:bookmarkEnd w:id="41"/>
    </w:p>
    <w:p w:rsidRPr="00FC2616" w:rsidR="00C77A8F" w:rsidP="00F80515" w:rsidRDefault="00B73729" w14:paraId="5F925297" w14:textId="1DBF9D9E">
      <w:pPr>
        <w:pStyle w:val="Normalutanindragellerluft"/>
      </w:pPr>
      <w:r w:rsidRPr="00FC2616">
        <w:t xml:space="preserve">Finanspolitikens stramhet brukar mätas i </w:t>
      </w:r>
      <w:r w:rsidRPr="00FC2616">
        <w:rPr>
          <w:i/>
          <w:iCs/>
        </w:rPr>
        <w:t xml:space="preserve">förändringen </w:t>
      </w:r>
      <w:r w:rsidRPr="00FC2616">
        <w:t>av det strukturella sparandet. I budgetpropositionen stärks det strukturella sparandet från 0,4</w:t>
      </w:r>
      <w:r w:rsidR="00EF2E9E">
        <w:t> </w:t>
      </w:r>
      <w:r w:rsidRPr="00FC2616">
        <w:t>procent i år till 0,7</w:t>
      </w:r>
      <w:r w:rsidR="00EF2E9E">
        <w:t> </w:t>
      </w:r>
      <w:r w:rsidRPr="00FC2616">
        <w:t>procent nästa år. Budgeten är därmed svagt åtstramande. Samtidigt genomför regeringen tillfälliga stödåtgärder för att kompensera hushåll och företag för de tidigare höga elpriserna. Dessa stödåtgärder ligger utanför statsbudgeten men påverkar den aggregerade efterfrågan och bör därmed beaktas i utformningen av finanspolitiken.</w:t>
      </w:r>
      <w:r w:rsidRPr="00FC2616" w:rsidR="002E11E5">
        <w:t xml:space="preserve"> </w:t>
      </w:r>
      <w:r w:rsidRPr="00FC2616" w:rsidR="00EB3AAA">
        <w:t>Den exakta utformning</w:t>
      </w:r>
      <w:r w:rsidR="006500A0">
        <w:t>en</w:t>
      </w:r>
      <w:r w:rsidRPr="00FC2616" w:rsidR="00EB3AAA">
        <w:t xml:space="preserve"> och omfattningen av dessa stöd är inte klar, men regeringen bedömer att finanspolitiken, inklusive dessa stöd, blir neutral.</w:t>
      </w:r>
    </w:p>
    <w:p w:rsidRPr="00FC2616" w:rsidR="00813DCF" w:rsidP="00813DCF" w:rsidRDefault="00813DCF" w14:paraId="35BE957C" w14:textId="2895908B">
      <w:r w:rsidRPr="00FC2616">
        <w:t>Som vi beskrivit i tidigare avsnitt är den svenska ekonomin på väg in i en låg</w:t>
      </w:r>
      <w:r w:rsidR="007D3914">
        <w:softHyphen/>
      </w:r>
      <w:r w:rsidRPr="00FC2616">
        <w:t>konjunktur</w:t>
      </w:r>
      <w:r w:rsidR="00001CF2">
        <w:t>;</w:t>
      </w:r>
      <w:r w:rsidRPr="00FC2616">
        <w:t xml:space="preserve"> detta motiverar en finanspolitik i expansiv riktning. Samtidigt är inflationen mycket hög och det är tydligt att Riksbankens nuvarande politik är inriktad på att få ned prisökningarna och hålla inflationsförväntningarna i schack. Regeringen vill därför inte bedriva en för expansiv finanspolitik som motverkar Riksbankens ansträngningar att få ned inflationen. </w:t>
      </w:r>
      <w:r w:rsidRPr="00FC2616" w:rsidR="00444F17">
        <w:t xml:space="preserve">Vänsterpartiet delar regeringens syn att finanspolitiken inte får utformas på ett sätt som eldar på inflationen och motverkar Riksbankens strävanden. Vid en samlad bedömning menar vi dock att regeringens finanspolitik är för stram. I det nuvarande läget är det inte rimligt att låta de offentliga finanserna gå med överskott. I vårt budgetalternativ lägger vi oss därför på en budget i balans. </w:t>
      </w:r>
    </w:p>
    <w:p w:rsidRPr="00FC2616" w:rsidR="00D6559C" w:rsidP="00D6559C" w:rsidRDefault="00D6559C" w14:paraId="3131D3BB" w14:textId="4B0DB737">
      <w:pPr>
        <w:pStyle w:val="Rubrik1numrerat"/>
      </w:pPr>
      <w:bookmarkStart w:name="_Toc149814532" w:id="42"/>
      <w:r w:rsidRPr="00FC2616">
        <w:t>Starka och trygga löntagare</w:t>
      </w:r>
      <w:bookmarkEnd w:id="42"/>
    </w:p>
    <w:p w:rsidRPr="00FC2616" w:rsidR="00F27B27" w:rsidP="00F27B27" w:rsidRDefault="00F27B27" w14:paraId="38635F26" w14:textId="77777777">
      <w:pPr>
        <w:pStyle w:val="Normalutanindragellerluft"/>
        <w:rPr>
          <w:lang w:eastAsia="sv-SE"/>
        </w:rPr>
      </w:pPr>
      <w:r w:rsidRPr="00FC2616">
        <w:rPr>
          <w:lang w:eastAsia="sv-SE"/>
        </w:rPr>
        <w:t>Vänsterpartiets politik strävar mot full sysselsättning. Med full sysselsättning menar vi att alla som vill och kan arbeta ska ha ett arbete som det går att försörja sig på. Ingen ska behöva gå arbetslös annat än under korta perioder och sysselsättningsgraden ska vara tillräckligt hög för att finansiera en generös offentlig välfärd. En sådan politik kräver också robusta trygghetssystem för individer när de inte kan eller får arbeta.</w:t>
      </w:r>
    </w:p>
    <w:p w:rsidRPr="00FC2616" w:rsidR="00F27B27" w:rsidP="007802B8" w:rsidRDefault="00F27B27" w14:paraId="5745FA7D" w14:textId="77777777">
      <w:pPr>
        <w:pStyle w:val="Rubrik2numrerat"/>
      </w:pPr>
      <w:bookmarkStart w:name="_Toc149814533" w:id="43"/>
      <w:r w:rsidRPr="00FC2616">
        <w:lastRenderedPageBreak/>
        <w:t>Inför ett arbetslöshetsmål</w:t>
      </w:r>
      <w:bookmarkEnd w:id="43"/>
    </w:p>
    <w:p w:rsidRPr="00FC2616" w:rsidR="00F27B27" w:rsidP="00F27B27" w:rsidRDefault="00F27B27" w14:paraId="32A76467" w14:textId="51E3AC3A">
      <w:pPr>
        <w:pStyle w:val="Normalutanindragellerluft"/>
        <w:rPr>
          <w:lang w:eastAsia="sv-SE"/>
        </w:rPr>
      </w:pPr>
      <w:r w:rsidRPr="00FC2616">
        <w:rPr>
          <w:lang w:eastAsia="sv-SE"/>
        </w:rPr>
        <w:t>Arbetslöshet är mycket kostsamt för såväl samhället som enskilda individer. En situation med hög arbetslöshet innebär att ekonomin inte producerar på sin fulla potential. För de individer som drabbas innebär det en betydligt försämrad ekonomi. Om arbetslösheten blir långvarig försvagas också individers färdigheter och det är förenligt med försämrad psykisk hälsa.</w:t>
      </w:r>
    </w:p>
    <w:p w:rsidRPr="00FC2616" w:rsidR="00F27B27" w:rsidP="007E4125" w:rsidRDefault="00F27B27" w14:paraId="5AC398D6" w14:textId="537B0617">
      <w:pPr>
        <w:rPr>
          <w:lang w:eastAsia="sv-SE"/>
        </w:rPr>
      </w:pPr>
      <w:r w:rsidRPr="00FC2616">
        <w:rPr>
          <w:lang w:eastAsia="sv-SE"/>
        </w:rPr>
        <w:t>Arbetslösheten i Sverige har varit betydligt lägre än vad som är fallet i</w:t>
      </w:r>
      <w:r w:rsidRPr="00FC2616" w:rsidR="005201D2">
        <w:rPr>
          <w:lang w:eastAsia="sv-SE"/>
        </w:rPr>
        <w:t xml:space="preserve"> </w:t>
      </w:r>
      <w:r w:rsidRPr="00FC2616">
        <w:rPr>
          <w:lang w:eastAsia="sv-SE"/>
        </w:rPr>
        <w:t>dag. Under 1970- och 80-talen pendlade den mellan 2</w:t>
      </w:r>
      <w:r w:rsidR="002136C3">
        <w:rPr>
          <w:lang w:eastAsia="sv-SE"/>
        </w:rPr>
        <w:t xml:space="preserve"> och </w:t>
      </w:r>
      <w:r w:rsidRPr="00FC2616">
        <w:rPr>
          <w:lang w:eastAsia="sv-SE"/>
        </w:rPr>
        <w:t>4</w:t>
      </w:r>
      <w:r w:rsidR="002136C3">
        <w:rPr>
          <w:lang w:eastAsia="sv-SE"/>
        </w:rPr>
        <w:t> </w:t>
      </w:r>
      <w:r w:rsidRPr="00FC2616">
        <w:rPr>
          <w:lang w:eastAsia="sv-SE"/>
        </w:rPr>
        <w:t>procent för att under 2000- och 2010</w:t>
      </w:r>
      <w:r w:rsidR="002136C3">
        <w:rPr>
          <w:lang w:eastAsia="sv-SE"/>
        </w:rPr>
        <w:noBreakHyphen/>
      </w:r>
      <w:r w:rsidRPr="00FC2616">
        <w:rPr>
          <w:lang w:eastAsia="sv-SE"/>
        </w:rPr>
        <w:t>talen variera mellan 6</w:t>
      </w:r>
      <w:r w:rsidR="002136C3">
        <w:rPr>
          <w:lang w:eastAsia="sv-SE"/>
        </w:rPr>
        <w:t xml:space="preserve"> och </w:t>
      </w:r>
      <w:r w:rsidRPr="00FC2616">
        <w:rPr>
          <w:lang w:eastAsia="sv-SE"/>
        </w:rPr>
        <w:t>8</w:t>
      </w:r>
      <w:r w:rsidR="002136C3">
        <w:rPr>
          <w:lang w:eastAsia="sv-SE"/>
        </w:rPr>
        <w:t> </w:t>
      </w:r>
      <w:r w:rsidRPr="00FC2616">
        <w:rPr>
          <w:lang w:eastAsia="sv-SE"/>
        </w:rPr>
        <w:t>procent. Den stora vattendelaren för arbetslöshetens utveckling är finanskrisen i början av 1990-talet, då arbetslösheten på bara några år steg från 2 till över 10</w:t>
      </w:r>
      <w:r w:rsidR="00DE6F2D">
        <w:rPr>
          <w:lang w:eastAsia="sv-SE"/>
        </w:rPr>
        <w:t> </w:t>
      </w:r>
      <w:r w:rsidRPr="00FC2616">
        <w:rPr>
          <w:lang w:eastAsia="sv-SE"/>
        </w:rPr>
        <w:t xml:space="preserve">procent. </w:t>
      </w:r>
    </w:p>
    <w:p w:rsidRPr="00FC2616" w:rsidR="00F27B27" w:rsidP="007E4125" w:rsidRDefault="00F27B27" w14:paraId="473F8F39" w14:textId="1CDDB31F">
      <w:pPr>
        <w:rPr>
          <w:lang w:eastAsia="sv-SE"/>
        </w:rPr>
      </w:pPr>
      <w:r w:rsidRPr="00FC2616">
        <w:rPr>
          <w:lang w:eastAsia="sv-SE"/>
        </w:rPr>
        <w:t>Det finns i</w:t>
      </w:r>
      <w:r w:rsidRPr="00FC2616" w:rsidR="00CF77CE">
        <w:rPr>
          <w:lang w:eastAsia="sv-SE"/>
        </w:rPr>
        <w:t xml:space="preserve"> </w:t>
      </w:r>
      <w:r w:rsidRPr="00FC2616">
        <w:rPr>
          <w:lang w:eastAsia="sv-SE"/>
        </w:rPr>
        <w:t>dag ett stort antal västländer som har en arbetslöshet betydligt under Sveriges, vilket visas i figuren nedan.</w:t>
      </w:r>
    </w:p>
    <w:p w:rsidRPr="009768FC" w:rsidR="00F27B27" w:rsidP="009768FC" w:rsidRDefault="00F27B27" w14:paraId="0BE61948" w14:textId="3D1B3A9B">
      <w:pPr>
        <w:pStyle w:val="Tabellrubrik"/>
      </w:pPr>
      <w:r w:rsidRPr="009768FC">
        <w:t xml:space="preserve">Figur </w:t>
      </w:r>
      <w:r w:rsidRPr="009768FC" w:rsidR="00D52509">
        <w:t>8</w:t>
      </w:r>
      <w:r w:rsidRPr="009768FC">
        <w:t xml:space="preserve"> Arbetslöshet i utvalda länder, 2022</w:t>
      </w:r>
    </w:p>
    <w:p w:rsidRPr="009768FC" w:rsidR="009768FC" w:rsidP="009768FC" w:rsidRDefault="00F27B27" w14:paraId="270704BB" w14:textId="77777777">
      <w:pPr>
        <w:pStyle w:val="Tabellunderrubrik"/>
      </w:pPr>
      <w:r w:rsidRPr="009768FC">
        <w:t>Procent av arbetskraften</w:t>
      </w:r>
    </w:p>
    <w:p w:rsidRPr="00FC2616" w:rsidR="00F27B27" w:rsidP="00F27B27" w:rsidRDefault="00F27B27" w14:paraId="1564A571" w14:textId="534D3CEB">
      <w:pPr>
        <w:tabs>
          <w:tab w:val="clear" w:pos="284"/>
          <w:tab w:val="clear" w:pos="567"/>
          <w:tab w:val="clear" w:pos="851"/>
          <w:tab w:val="clear" w:pos="1134"/>
          <w:tab w:val="clear" w:pos="1701"/>
          <w:tab w:val="clear" w:pos="2268"/>
          <w:tab w:val="clear" w:pos="4536"/>
          <w:tab w:val="clear" w:pos="9072"/>
        </w:tabs>
        <w:spacing w:after="160" w:line="240" w:lineRule="auto"/>
        <w:ind w:firstLine="0"/>
        <w:rPr>
          <w:rFonts w:ascii="Times New Roman" w:hAnsi="Times New Roman" w:eastAsia="Calibri" w:cs="Times New Roman"/>
          <w:b/>
          <w:bCs/>
          <w:sz w:val="22"/>
          <w:szCs w:val="22"/>
        </w:rPr>
      </w:pPr>
      <w:r w:rsidRPr="00FC2616">
        <w:rPr>
          <w:rFonts w:ascii="Times New Roman" w:hAnsi="Times New Roman" w:eastAsia="Times New Roman" w:cs="Times New Roman"/>
          <w:noProof/>
          <w:kern w:val="0"/>
          <w:sz w:val="22"/>
          <w:szCs w:val="36"/>
          <w:lang w:eastAsia="sv-SE"/>
          <w14:numSpacing w14:val="default"/>
        </w:rPr>
        <w:drawing>
          <wp:inline distT="0" distB="0" distL="0" distR="0" wp14:anchorId="11F51AA1" wp14:editId="030B4BAA">
            <wp:extent cx="4572000" cy="2743200"/>
            <wp:effectExtent l="0" t="0" r="0" b="0"/>
            <wp:docPr id="9" name="Diagram 9" descr="">
              <a:extLst xmlns:a="http://schemas.openxmlformats.org/drawingml/2006/main">
                <a:ext uri="{FF2B5EF4-FFF2-40B4-BE49-F238E27FC236}">
                  <a16:creationId xmlns:a16="http://schemas.microsoft.com/office/drawing/2014/main" id="{A6EF0F44-01EB-4122-9111-69DBFA607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FC2616" w:rsidR="00F27B27" w:rsidP="00F27B27" w:rsidRDefault="00F27B27" w14:paraId="512BA210" w14:textId="3A25BBD8">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Calibri" w:cs="Times New Roman"/>
          <w:sz w:val="20"/>
          <w:szCs w:val="20"/>
        </w:rPr>
      </w:pPr>
      <w:r w:rsidRPr="00FC2616">
        <w:rPr>
          <w:rFonts w:ascii="Times New Roman" w:hAnsi="Times New Roman" w:eastAsia="Calibri" w:cs="Times New Roman"/>
          <w:kern w:val="0"/>
          <w:sz w:val="20"/>
          <w:szCs w:val="20"/>
          <w14:numSpacing w14:val="default"/>
        </w:rPr>
        <w:t>Källa: IMF (2022)</w:t>
      </w:r>
      <w:r w:rsidR="00B55DF0">
        <w:rPr>
          <w:rFonts w:ascii="Times New Roman" w:hAnsi="Times New Roman" w:eastAsia="Calibri" w:cs="Times New Roman"/>
          <w:kern w:val="0"/>
          <w:sz w:val="20"/>
          <w:szCs w:val="20"/>
          <w14:numSpacing w14:val="default"/>
        </w:rPr>
        <w:t>.</w:t>
      </w:r>
      <w:r w:rsidRPr="00FC2616">
        <w:rPr>
          <w:rFonts w:ascii="Times New Roman" w:hAnsi="Times New Roman" w:eastAsia="Calibri" w:cs="Times New Roman"/>
          <w:kern w:val="0"/>
          <w:sz w:val="20"/>
          <w:szCs w:val="20"/>
          <w14:numSpacing w14:val="default"/>
        </w:rPr>
        <w:t xml:space="preserve"> </w:t>
      </w:r>
      <w:r w:rsidR="00B55DF0">
        <w:rPr>
          <w:rFonts w:ascii="Times New Roman" w:hAnsi="Times New Roman" w:eastAsia="Calibri" w:cs="Times New Roman"/>
          <w:kern w:val="0"/>
          <w:sz w:val="20"/>
          <w:szCs w:val="20"/>
          <w14:numSpacing w14:val="default"/>
        </w:rPr>
        <w:t>”</w:t>
      </w:r>
      <w:r w:rsidRPr="00FC2616">
        <w:rPr>
          <w:rFonts w:ascii="Times New Roman" w:hAnsi="Times New Roman" w:eastAsia="Calibri" w:cs="Times New Roman"/>
          <w:kern w:val="0"/>
          <w:sz w:val="20"/>
          <w:szCs w:val="20"/>
          <w14:numSpacing w14:val="default"/>
        </w:rPr>
        <w:t xml:space="preserve">World </w:t>
      </w:r>
      <w:proofErr w:type="spellStart"/>
      <w:r w:rsidRPr="00FC2616">
        <w:rPr>
          <w:rFonts w:ascii="Times New Roman" w:hAnsi="Times New Roman" w:eastAsia="Calibri" w:cs="Times New Roman"/>
          <w:kern w:val="0"/>
          <w:sz w:val="20"/>
          <w:szCs w:val="20"/>
          <w14:numSpacing w14:val="default"/>
        </w:rPr>
        <w:t>Economic</w:t>
      </w:r>
      <w:proofErr w:type="spellEnd"/>
      <w:r w:rsidRPr="00FC2616">
        <w:rPr>
          <w:rFonts w:ascii="Times New Roman" w:hAnsi="Times New Roman" w:eastAsia="Calibri" w:cs="Times New Roman"/>
          <w:kern w:val="0"/>
          <w:sz w:val="20"/>
          <w:szCs w:val="20"/>
          <w14:numSpacing w14:val="default"/>
        </w:rPr>
        <w:t xml:space="preserve"> Outlook (April 2022)</w:t>
      </w:r>
      <w:r w:rsidR="00B55DF0">
        <w:rPr>
          <w:rFonts w:ascii="Times New Roman" w:hAnsi="Times New Roman" w:eastAsia="Calibri" w:cs="Times New Roman"/>
          <w:kern w:val="0"/>
          <w:sz w:val="20"/>
          <w:szCs w:val="20"/>
          <w14:numSpacing w14:val="default"/>
        </w:rPr>
        <w:t>”.</w:t>
      </w:r>
    </w:p>
    <w:p w:rsidRPr="00FC2616" w:rsidR="001241BB" w:rsidP="001241BB" w:rsidRDefault="001241BB" w14:paraId="64145584" w14:textId="0CD6E862">
      <w:pPr>
        <w:pStyle w:val="Normalutanindragellerluft"/>
        <w:rPr>
          <w:rFonts w:eastAsia="Calibri"/>
        </w:rPr>
      </w:pPr>
      <w:bookmarkStart w:name="_Hlk115256401" w:id="44"/>
      <w:r w:rsidRPr="00FC2616">
        <w:rPr>
          <w:rFonts w:eastAsia="Calibri"/>
        </w:rPr>
        <w:t>Vänsterpartiet anser att den ekonomiska politiken bör styras av reala mål om ökad sysselsättning – där offentligfinansiella</w:t>
      </w:r>
      <w:r w:rsidR="009B1245">
        <w:rPr>
          <w:rFonts w:eastAsia="Calibri"/>
        </w:rPr>
        <w:t xml:space="preserve"> mål</w:t>
      </w:r>
      <w:r w:rsidRPr="00FC2616">
        <w:rPr>
          <w:rFonts w:eastAsia="Calibri"/>
        </w:rPr>
        <w:t xml:space="preserve"> och inflationsmål blir verktyg för att uppnå de reala målen. </w:t>
      </w:r>
      <w:bookmarkEnd w:id="44"/>
      <w:r w:rsidRPr="00FC2616">
        <w:rPr>
          <w:rFonts w:eastAsia="Calibri"/>
        </w:rPr>
        <w:t>Vänsterpartiet anser att ett sådant mål böra vara att pressa ner arbetslös</w:t>
      </w:r>
      <w:r w:rsidR="007D3914">
        <w:rPr>
          <w:rFonts w:eastAsia="Calibri"/>
        </w:rPr>
        <w:softHyphen/>
      </w:r>
      <w:r w:rsidRPr="00FC2616">
        <w:rPr>
          <w:rFonts w:eastAsia="Calibri"/>
        </w:rPr>
        <w:t>heten till 4</w:t>
      </w:r>
      <w:r w:rsidR="009B1245">
        <w:rPr>
          <w:rFonts w:eastAsia="Calibri"/>
        </w:rPr>
        <w:t> </w:t>
      </w:r>
      <w:r w:rsidRPr="00FC2616">
        <w:rPr>
          <w:rFonts w:eastAsia="Calibri"/>
        </w:rPr>
        <w:t>procent.</w:t>
      </w:r>
    </w:p>
    <w:p w:rsidRPr="007D3914" w:rsidR="001241BB" w:rsidP="007D3914" w:rsidRDefault="001241BB" w14:paraId="7B219632" w14:textId="77777777">
      <w:pPr>
        <w:pStyle w:val="Normalutanindragellerluft"/>
        <w:spacing w:before="240"/>
        <w:rPr>
          <w:rFonts w:eastAsia="Calibri"/>
          <w:b/>
          <w:bCs/>
        </w:rPr>
      </w:pPr>
      <w:r w:rsidRPr="007D3914">
        <w:rPr>
          <w:rFonts w:eastAsia="Calibri"/>
          <w:b/>
          <w:bCs/>
        </w:rPr>
        <w:t>Vänsterpartiets förslag:</w:t>
      </w:r>
    </w:p>
    <w:p w:rsidRPr="00FC2616" w:rsidR="001241BB" w:rsidP="00BA0F8A" w:rsidRDefault="001241BB" w14:paraId="528BF5EC" w14:textId="65240CFB">
      <w:pPr>
        <w:pStyle w:val="ListaPunkt"/>
        <w:ind w:left="340" w:hanging="340"/>
        <w:rPr>
          <w:rFonts w:eastAsia="Calibri"/>
        </w:rPr>
      </w:pPr>
      <w:r w:rsidRPr="00FC2616">
        <w:rPr>
          <w:rFonts w:eastAsia="Calibri"/>
        </w:rPr>
        <w:t>Den ekonomiska politiken bör sträva mot att pressa ner arbetslösheten till 4</w:t>
      </w:r>
      <w:r w:rsidR="000B5F84">
        <w:rPr>
          <w:rFonts w:eastAsia="Calibri"/>
        </w:rPr>
        <w:t> </w:t>
      </w:r>
      <w:r w:rsidRPr="00FC2616">
        <w:rPr>
          <w:rFonts w:eastAsia="Calibri"/>
        </w:rPr>
        <w:t>procent.</w:t>
      </w:r>
    </w:p>
    <w:p w:rsidRPr="00FC2616" w:rsidR="009D3608" w:rsidP="006841C4" w:rsidRDefault="009D3608" w14:paraId="04EA2DBD" w14:textId="2A72AC27">
      <w:pPr>
        <w:pStyle w:val="Rubrik2numrerat"/>
      </w:pPr>
      <w:bookmarkStart w:name="_Toc115276225" w:id="45"/>
      <w:bookmarkStart w:name="_Toc149814534" w:id="46"/>
      <w:r w:rsidRPr="00FC2616">
        <w:t>Sysselsättningsgraden kan bli 84</w:t>
      </w:r>
      <w:r w:rsidR="00453A80">
        <w:t> </w:t>
      </w:r>
      <w:r w:rsidRPr="00FC2616">
        <w:t>procent</w:t>
      </w:r>
      <w:bookmarkEnd w:id="45"/>
      <w:bookmarkEnd w:id="46"/>
    </w:p>
    <w:p w:rsidRPr="00FC2616" w:rsidR="009D3608" w:rsidP="009D3608" w:rsidRDefault="009D3608" w14:paraId="26E95B04" w14:textId="77777777">
      <w:pPr>
        <w:pStyle w:val="Normalutanindragellerluft"/>
        <w:rPr>
          <w:rFonts w:eastAsia="Calibri"/>
        </w:rPr>
      </w:pPr>
      <w:r w:rsidRPr="00FC2616">
        <w:rPr>
          <w:rFonts w:eastAsia="Calibri"/>
        </w:rPr>
        <w:t xml:space="preserve">Arbetslösheten kan vara låg utan att sysselsättningen är hög. Det kan exempelvis inträffa om människor slutar att leta efter jobb eller blir sjuka och lämnar arbetskraften. Ju färre som arbetar, desto sämre blir förutsättningarna att finansiera offentlig välfärd. Vänsterpartiet strävar därför också efter hög sysselsättning. Vi menar att det i närtid är rimligt att ha ett ambitiöst mål för sysselsättningsgraden för 20–64-åringar. Att inte </w:t>
      </w:r>
      <w:r w:rsidRPr="00FC2616">
        <w:rPr>
          <w:rFonts w:eastAsia="Calibri"/>
        </w:rPr>
        <w:lastRenderedPageBreak/>
        <w:t xml:space="preserve">inkludera personer under 20 år motiveras av att tonåringar i första hand ska studera på gymnasiet, inte arbeta. Det är fortfarande många som lämnar arbetskraften innan de har fyllt 65 år, ofta för att deras arbetsmiljö inte möjliggör att de arbetar längre. När detta väl är uppnått, kan det vara rimligt att utvidga målgruppen till att omfatta personer även högre upp i åldrarna. </w:t>
      </w:r>
    </w:p>
    <w:p w:rsidRPr="00FC2616" w:rsidR="009D3608" w:rsidP="009D3608" w:rsidRDefault="009D3608" w14:paraId="61557A7F" w14:textId="71017BD5">
      <w:pPr>
        <w:rPr>
          <w:rFonts w:eastAsia="Calibri"/>
        </w:rPr>
      </w:pPr>
      <w:r w:rsidRPr="00FC2616">
        <w:rPr>
          <w:rFonts w:eastAsia="Calibri"/>
        </w:rPr>
        <w:t xml:space="preserve">Efter 1990-talskrisen har den svenska sysselsättningsgraden långsamt tagit sig upp över 80 procent. Under decennierna före </w:t>
      </w:r>
      <w:r w:rsidR="004C6421">
        <w:rPr>
          <w:rFonts w:eastAsia="Calibri"/>
        </w:rPr>
        <w:t xml:space="preserve">den </w:t>
      </w:r>
      <w:r w:rsidRPr="00FC2616">
        <w:rPr>
          <w:rFonts w:eastAsia="Calibri"/>
        </w:rPr>
        <w:t>var sysselsättningen dock högre än så. Till exempel var sysselsättningsgraden uppe i 85 procent under 1980-talets sista hög</w:t>
      </w:r>
      <w:r w:rsidR="00B42B36">
        <w:rPr>
          <w:rFonts w:eastAsia="Calibri"/>
        </w:rPr>
        <w:softHyphen/>
      </w:r>
      <w:r w:rsidRPr="00FC2616">
        <w:rPr>
          <w:rFonts w:eastAsia="Calibri"/>
        </w:rPr>
        <w:t>konjunkturår och i skiftet mellan 1980- och 1990-tal, vilket illustreras i figuren nedan.</w:t>
      </w:r>
    </w:p>
    <w:p w:rsidR="008A6AEC" w:rsidP="00BA0F8A" w:rsidRDefault="009D3608" w14:paraId="3221D7DF" w14:textId="17DD1CD7">
      <w:pPr>
        <w:pStyle w:val="Tabellrubrik"/>
      </w:pPr>
      <w:r w:rsidRPr="00BA0F8A">
        <w:t xml:space="preserve">Figur </w:t>
      </w:r>
      <w:r w:rsidRPr="00BA0F8A" w:rsidR="00D52509">
        <w:t>9</w:t>
      </w:r>
      <w:r w:rsidRPr="00BA0F8A">
        <w:t xml:space="preserve"> Sysselsättningsgrad i Sverige, 1987–2021, 20–64 å</w:t>
      </w:r>
      <w:r w:rsidR="008A6AEC">
        <w:t>r</w:t>
      </w:r>
    </w:p>
    <w:p w:rsidRPr="008158F9" w:rsidR="009D3608" w:rsidP="00BA0F8A" w:rsidRDefault="009D3608" w14:paraId="43833422" w14:textId="57634F11">
      <w:pPr>
        <w:pStyle w:val="Tabellrubrik"/>
        <w:rPr>
          <w:b w:val="0"/>
          <w:sz w:val="24"/>
        </w:rPr>
      </w:pPr>
      <w:r w:rsidRPr="00BA0F8A">
        <w:rPr>
          <w:noProof/>
        </w:rPr>
        <w:drawing>
          <wp:inline distT="0" distB="0" distL="0" distR="0" wp14:anchorId="2F92423A" wp14:editId="428DEBD3">
            <wp:extent cx="4572000" cy="2743200"/>
            <wp:effectExtent l="0" t="0" r="0" b="0"/>
            <wp:docPr id="8" name="Diagram 8" descr="">
              <a:extLst xmlns:a="http://schemas.openxmlformats.org/drawingml/2006/main">
                <a:ext uri="{FF2B5EF4-FFF2-40B4-BE49-F238E27FC236}">
                  <a16:creationId xmlns:a16="http://schemas.microsoft.com/office/drawing/2014/main" id="{BACF42AC-74A9-4AF6-B67A-3C0767004D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8158F9" w:rsidR="009D3608" w:rsidP="008158F9" w:rsidRDefault="009D3608" w14:paraId="44185C8E" w14:textId="42D943E2">
      <w:pPr>
        <w:pStyle w:val="Klla"/>
      </w:pPr>
      <w:r w:rsidRPr="008158F9">
        <w:t>Källa: Konjunkturinstitutet och SCB (Värden 2005–2021 är länkade av SCB. Värden före detta är länkade av KI)</w:t>
      </w:r>
      <w:r w:rsidRPr="008158F9" w:rsidR="004F455E">
        <w:t>.</w:t>
      </w:r>
    </w:p>
    <w:p w:rsidRPr="00FC2616" w:rsidR="009D3608" w:rsidP="00BA0F8A" w:rsidRDefault="009D3608" w14:paraId="1B92A182" w14:textId="7B60053F">
      <w:pPr>
        <w:pStyle w:val="Normalutanindragellerluft"/>
        <w:spacing w:before="150"/>
        <w:rPr>
          <w:rFonts w:eastAsia="Calibri"/>
        </w:rPr>
      </w:pPr>
      <w:r w:rsidRPr="00FC2616">
        <w:rPr>
          <w:rFonts w:eastAsia="Calibri"/>
        </w:rPr>
        <w:t xml:space="preserve">Sverige </w:t>
      </w:r>
      <w:r w:rsidR="004F455E">
        <w:rPr>
          <w:rFonts w:eastAsia="Calibri"/>
        </w:rPr>
        <w:t>ä</w:t>
      </w:r>
      <w:r w:rsidRPr="00FC2616">
        <w:rPr>
          <w:rFonts w:eastAsia="Calibri"/>
        </w:rPr>
        <w:t>r redan i</w:t>
      </w:r>
      <w:r w:rsidRPr="00FC2616" w:rsidR="00CF77CE">
        <w:rPr>
          <w:rFonts w:eastAsia="Calibri"/>
        </w:rPr>
        <w:t xml:space="preserve"> </w:t>
      </w:r>
      <w:r w:rsidRPr="00FC2616">
        <w:rPr>
          <w:rFonts w:eastAsia="Calibri"/>
        </w:rPr>
        <w:t xml:space="preserve">dag ett av de länder som har högst sysselsättningsgrad i OECD/EU. </w:t>
      </w:r>
    </w:p>
    <w:p w:rsidRPr="00A57B4E" w:rsidR="009D3608" w:rsidP="00A57B4E" w:rsidRDefault="009D3608" w14:paraId="634AC2A1" w14:textId="77777777">
      <w:pPr>
        <w:pStyle w:val="Normalutanindragellerluft"/>
        <w:spacing w:before="240"/>
        <w:rPr>
          <w:rFonts w:eastAsia="Calibri"/>
          <w:b/>
          <w:bCs/>
        </w:rPr>
      </w:pPr>
      <w:r w:rsidRPr="00A57B4E">
        <w:rPr>
          <w:rFonts w:eastAsia="Calibri"/>
          <w:b/>
          <w:bCs/>
        </w:rPr>
        <w:t>Vänsterpartiets förslag:</w:t>
      </w:r>
    </w:p>
    <w:p w:rsidRPr="00FC2616" w:rsidR="009D3608" w:rsidP="00BA0F8A" w:rsidRDefault="009D3608" w14:paraId="4619827D" w14:textId="2B128CE9">
      <w:pPr>
        <w:pStyle w:val="ListaPunkt"/>
        <w:ind w:left="340" w:hanging="340"/>
        <w:rPr>
          <w:rFonts w:eastAsia="Calibri"/>
        </w:rPr>
      </w:pPr>
      <w:r w:rsidRPr="00FC2616">
        <w:rPr>
          <w:rFonts w:eastAsia="Calibri"/>
        </w:rPr>
        <w:t>Den ekonomiska politiken bör sträva mot en sysselsättningsgrad på 84</w:t>
      </w:r>
      <w:r w:rsidR="004F455E">
        <w:rPr>
          <w:rFonts w:eastAsia="Calibri"/>
        </w:rPr>
        <w:t> </w:t>
      </w:r>
      <w:r w:rsidRPr="00FC2616">
        <w:rPr>
          <w:rFonts w:eastAsia="Calibri"/>
        </w:rPr>
        <w:t>procent för personer mellan 20 och 64</w:t>
      </w:r>
      <w:r w:rsidR="004F455E">
        <w:rPr>
          <w:rFonts w:eastAsia="Calibri"/>
        </w:rPr>
        <w:t> </w:t>
      </w:r>
      <w:r w:rsidRPr="00FC2616">
        <w:rPr>
          <w:rFonts w:eastAsia="Calibri"/>
        </w:rPr>
        <w:t>år.</w:t>
      </w:r>
    </w:p>
    <w:p w:rsidRPr="00FC2616" w:rsidR="009D3608" w:rsidP="006841C4" w:rsidRDefault="009D3608" w14:paraId="5BAFD3BE" w14:textId="77777777">
      <w:pPr>
        <w:pStyle w:val="Rubrik2numrerat"/>
      </w:pPr>
      <w:bookmarkStart w:name="_Toc115276226" w:id="47"/>
      <w:bookmarkStart w:name="_Hlk115259734" w:id="48"/>
      <w:bookmarkStart w:name="_Toc149814535" w:id="49"/>
      <w:r w:rsidRPr="00FC2616">
        <w:t>En investeringsplan för klimatet ger ökad sysselsättning</w:t>
      </w:r>
      <w:bookmarkEnd w:id="47"/>
      <w:bookmarkEnd w:id="49"/>
    </w:p>
    <w:p w:rsidRPr="00FC2616" w:rsidR="009D3608" w:rsidP="00D722B3" w:rsidRDefault="009D3608" w14:paraId="58215790" w14:textId="35E1C0C0">
      <w:pPr>
        <w:pStyle w:val="Normalutanindragellerluft"/>
        <w:rPr>
          <w:rFonts w:eastAsia="Calibri"/>
        </w:rPr>
      </w:pPr>
      <w:r w:rsidRPr="00FC2616">
        <w:rPr>
          <w:rFonts w:eastAsia="Calibri"/>
        </w:rPr>
        <w:t>Vänsterpartiet söker mandat för att genomföra ett historiskt omfattande investerings</w:t>
      </w:r>
      <w:r w:rsidR="00A57B4E">
        <w:rPr>
          <w:rFonts w:eastAsia="Calibri"/>
        </w:rPr>
        <w:softHyphen/>
      </w:r>
      <w:r w:rsidRPr="00FC2616">
        <w:rPr>
          <w:rFonts w:eastAsia="Calibri"/>
        </w:rPr>
        <w:t>paket för klimatet. Genom investeringar på 700 miljarder kronor vill vi de kommande tio åren se till att klimatomställningen accelereras.</w:t>
      </w:r>
      <w:r w:rsidRPr="00FC2616">
        <w:rPr>
          <w:rStyle w:val="Fotnotsreferens"/>
          <w:rFonts w:eastAsia="Calibri"/>
        </w:rPr>
        <w:footnoteReference w:id="39"/>
      </w:r>
      <w:r w:rsidRPr="00FC2616">
        <w:rPr>
          <w:rFonts w:eastAsia="Calibri"/>
        </w:rPr>
        <w:t xml:space="preserve"> Vi föreslår en investeringsledd </w:t>
      </w:r>
      <w:proofErr w:type="spellStart"/>
      <w:r w:rsidRPr="00FC2616">
        <w:rPr>
          <w:rFonts w:eastAsia="Calibri"/>
        </w:rPr>
        <w:t>klimatpolitik</w:t>
      </w:r>
      <w:proofErr w:type="spellEnd"/>
      <w:r w:rsidRPr="00FC2616">
        <w:rPr>
          <w:rFonts w:eastAsia="Calibri"/>
        </w:rPr>
        <w:t xml:space="preserve"> för att främja utvecklingen inom tre områden: transporter, energi och bostäder. Med Vänsterpartiets föreslagna investeringar skulle Sverige ta reella steg mot att bli världens första fossilfria välfärdsland. Ett sådant omfattande investeringspaket får också positiva effekter på svensk ekonomi och arbetsmarknad.</w:t>
      </w:r>
    </w:p>
    <w:p w:rsidRPr="00FC2616" w:rsidR="009D3608" w:rsidP="00D722B3" w:rsidRDefault="009D3608" w14:paraId="4CF1BC16" w14:textId="20596148">
      <w:pPr>
        <w:rPr>
          <w:rFonts w:eastAsia="Calibri"/>
        </w:rPr>
      </w:pPr>
      <w:r w:rsidRPr="00FC2616">
        <w:rPr>
          <w:rFonts w:eastAsia="Calibri"/>
        </w:rPr>
        <w:t xml:space="preserve">De ekonomiska effekterna av offentliga investeringar är självklart inte bara beroende av hur mycket som investeras, utan även under vilka former de investeras. Om allt arbete utförs av gästarbetare </w:t>
      </w:r>
      <w:r w:rsidR="004A3655">
        <w:rPr>
          <w:rFonts w:eastAsia="Calibri"/>
        </w:rPr>
        <w:t>med</w:t>
      </w:r>
      <w:r w:rsidRPr="00FC2616">
        <w:rPr>
          <w:rFonts w:eastAsia="Calibri"/>
        </w:rPr>
        <w:t xml:space="preserve"> låga löner som efter avslutat arbete återvänder till sitt </w:t>
      </w:r>
      <w:r w:rsidRPr="00FC2616">
        <w:rPr>
          <w:rFonts w:eastAsia="Calibri"/>
        </w:rPr>
        <w:lastRenderedPageBreak/>
        <w:t xml:space="preserve">hemland blir följdverkningarna i den svenska ekonomin av de extra investeringarna mindre. Krav </w:t>
      </w:r>
      <w:r w:rsidR="009177F9">
        <w:rPr>
          <w:rFonts w:eastAsia="Calibri"/>
        </w:rPr>
        <w:t>på</w:t>
      </w:r>
      <w:r w:rsidRPr="00FC2616">
        <w:rPr>
          <w:rFonts w:eastAsia="Calibri"/>
        </w:rPr>
        <w:t xml:space="preserve"> arbetstillstånd, kollektivavtalsenliga löner eller skattskyldighet i Sverige liksom kontroller och kraftfulla sanktioner mot fuskande arbetsgivare är inte bara viktiga för att skydda arbetstagarnas villkor och svenska skatteintäkter. De är också viktiga för att ge svenska företag och arbetare en schysst möjlighet att konkurrera på lika villkor och på så sätt säkerställa att en större del av det välstånd som skapas i arbetet med att bygga ny infrastruktur kommer den svenska ekonomin till del.</w:t>
      </w:r>
    </w:p>
    <w:p w:rsidRPr="00FC2616" w:rsidR="009D3608" w:rsidP="00D722B3" w:rsidRDefault="009D3608" w14:paraId="70C981A3" w14:textId="77777777">
      <w:pPr>
        <w:rPr>
          <w:rFonts w:eastAsia="Calibri"/>
        </w:rPr>
      </w:pPr>
      <w:r w:rsidRPr="00FC2616">
        <w:rPr>
          <w:rFonts w:eastAsia="Calibri"/>
        </w:rPr>
        <w:t>För att dessa investeringar ska få fullt genomslag i form av ökad sysselsättning och minskad arbetslöshet är det nödvändigt att det samtidigt görs omfattande satsningar på utbildnings- och arbetsmarknadspolitiken. Samtidigt som arbetslösheten är hög så råder det idag brist på yrkesutbildade personer i flera branscher.</w:t>
      </w:r>
      <w:bookmarkEnd w:id="48"/>
    </w:p>
    <w:p w:rsidRPr="00FC2616" w:rsidR="009D3608" w:rsidP="006841C4" w:rsidRDefault="009D3608" w14:paraId="7D7F4EC2" w14:textId="77777777">
      <w:pPr>
        <w:pStyle w:val="Rubrik2numrerat"/>
      </w:pPr>
      <w:bookmarkStart w:name="_Toc107588730" w:id="50"/>
      <w:bookmarkStart w:name="_Toc112409772" w:id="51"/>
      <w:bookmarkStart w:name="_Toc115276227" w:id="52"/>
      <w:bookmarkStart w:name="_Toc149814536" w:id="53"/>
      <w:r w:rsidRPr="00FC2616">
        <w:t>Kompetenslyft för omställning</w:t>
      </w:r>
      <w:bookmarkEnd w:id="50"/>
      <w:bookmarkEnd w:id="51"/>
      <w:bookmarkEnd w:id="52"/>
      <w:bookmarkEnd w:id="53"/>
    </w:p>
    <w:p w:rsidRPr="00FC2616" w:rsidR="009D3608" w:rsidP="00F05223" w:rsidRDefault="009D3608" w14:paraId="17FD751F" w14:textId="21F8FF02">
      <w:pPr>
        <w:pStyle w:val="Normalutanindragellerluft"/>
        <w:rPr>
          <w:rFonts w:eastAsia="Calibri"/>
        </w:rPr>
      </w:pPr>
      <w:r w:rsidRPr="00FC2616">
        <w:rPr>
          <w:rFonts w:eastAsia="Calibri"/>
        </w:rPr>
        <w:t xml:space="preserve">Det finns starka skäl att fortsätta </w:t>
      </w:r>
      <w:r w:rsidR="001F582C">
        <w:rPr>
          <w:rFonts w:eastAsia="Calibri"/>
        </w:rPr>
        <w:t xml:space="preserve">att </w:t>
      </w:r>
      <w:r w:rsidRPr="00FC2616">
        <w:rPr>
          <w:rFonts w:eastAsia="Calibri"/>
        </w:rPr>
        <w:t>utveckla matchningen av utbildningsutbudet mot arbetsmarknadens behov. I sin långsiktiga yrkesprognos ser Arbetsförmedlingen brist på arbetskraft med rätt kompetens inom de flesta yrken inom vård och omsorg, inklusive de som inte kräver högskoleutbildning. Efterfrågan på olika typer av lärare är redan i</w:t>
      </w:r>
      <w:r w:rsidRPr="00FC2616" w:rsidR="00CF77CE">
        <w:rPr>
          <w:rFonts w:eastAsia="Calibri"/>
        </w:rPr>
        <w:t xml:space="preserve"> </w:t>
      </w:r>
      <w:r w:rsidRPr="00FC2616">
        <w:rPr>
          <w:rFonts w:eastAsia="Calibri"/>
        </w:rPr>
        <w:t xml:space="preserve">dag hög och bristen håller sannolikt i sig framöver. Efterfrågan på anställda inom bygg och anläggning har varit högre än utbudet under en längre tid. Det är dessutom vanligt att arbetsgivarna rekryterar utländsk arbetskraft till detta område. </w:t>
      </w:r>
    </w:p>
    <w:p w:rsidRPr="00FC2616" w:rsidR="009D3608" w:rsidP="00F05223" w:rsidRDefault="009D3608" w14:paraId="4391BD36" w14:textId="30AC479D">
      <w:pPr>
        <w:rPr>
          <w:rFonts w:eastAsia="Calibri"/>
        </w:rPr>
      </w:pPr>
      <w:r w:rsidRPr="00FC2616">
        <w:rPr>
          <w:rFonts w:eastAsia="Calibri"/>
        </w:rPr>
        <w:t>Denna brist förväntas öka framöver till följd av brist på bostäder och planerade infrastruktursatsningar.</w:t>
      </w:r>
      <w:r w:rsidRPr="00FC2616">
        <w:rPr>
          <w:rStyle w:val="Fotnotsreferens"/>
          <w:rFonts w:eastAsia="Calibri"/>
        </w:rPr>
        <w:footnoteReference w:id="40"/>
      </w:r>
      <w:r w:rsidRPr="00FC2616">
        <w:rPr>
          <w:rFonts w:eastAsia="Calibri"/>
        </w:rPr>
        <w:t xml:space="preserve"> Om Sverige ska lyckas väl med klimatomställningen behöver större vikt läggas vid de kompetensbehov som detta kräver. Det gäller både i själva klimatomställningsfasen där Sverige exempelvis behöver bygga ut transport- och energiinfrastruktur och energieffektivisera bostadssektorn, men också för att möta kompetensbehoven när stora delar av industrin ställer om för att minska sina utsläpp. Klimatpolitiska rådet pekar på att det redan i</w:t>
      </w:r>
      <w:r w:rsidRPr="00FC2616" w:rsidR="00CF77CE">
        <w:rPr>
          <w:rFonts w:eastAsia="Calibri"/>
        </w:rPr>
        <w:t xml:space="preserve"> </w:t>
      </w:r>
      <w:r w:rsidRPr="00FC2616">
        <w:rPr>
          <w:rFonts w:eastAsia="Calibri"/>
        </w:rPr>
        <w:t>dag är stor brist på tekniker, installatörer och ingenjörer.</w:t>
      </w:r>
      <w:r w:rsidRPr="00FC2616">
        <w:rPr>
          <w:rStyle w:val="Fotnotsreferens"/>
          <w:rFonts w:eastAsia="Calibri"/>
        </w:rPr>
        <w:footnoteReference w:id="41"/>
      </w:r>
      <w:r w:rsidRPr="00FC2616">
        <w:rPr>
          <w:rFonts w:eastAsia="Calibri"/>
        </w:rPr>
        <w:t xml:space="preserve"> Även i Fossilfritt Sveriges branschfärdplaner för fossilfri konkurrens</w:t>
      </w:r>
      <w:r w:rsidR="00A57B4E">
        <w:rPr>
          <w:rFonts w:eastAsia="Calibri"/>
        </w:rPr>
        <w:softHyphen/>
      </w:r>
      <w:r w:rsidRPr="00FC2616">
        <w:rPr>
          <w:rFonts w:eastAsia="Calibri"/>
        </w:rPr>
        <w:t xml:space="preserve">kraft lyfts kompetensfrågan. Enligt deras uppskattningar kommer det exempelvis </w:t>
      </w:r>
      <w:r w:rsidRPr="00FC2616" w:rsidR="00F27071">
        <w:rPr>
          <w:rFonts w:eastAsia="Calibri"/>
        </w:rPr>
        <w:t xml:space="preserve">att </w:t>
      </w:r>
      <w:r w:rsidRPr="00FC2616">
        <w:rPr>
          <w:rFonts w:eastAsia="Calibri"/>
        </w:rPr>
        <w:t>behövas ca 30 000 nya elinstallatörer de närmaste åren.</w:t>
      </w:r>
      <w:r w:rsidRPr="00FC2616">
        <w:rPr>
          <w:rStyle w:val="Fotnotsreferens"/>
          <w:rFonts w:eastAsia="Calibri"/>
        </w:rPr>
        <w:footnoteReference w:id="42"/>
      </w:r>
    </w:p>
    <w:p w:rsidRPr="00FC2616" w:rsidR="009D3608" w:rsidP="00F05223" w:rsidRDefault="009D3608" w14:paraId="37ACBE36" w14:textId="77777777">
      <w:r w:rsidRPr="00FC2616">
        <w:t>I ett samhälle som önskar och värdesätter starka och trygga löntagare behövs dels en aktiv arbetsmarknadspolitik, dels ett väl fungerande system för omställning och kompetensutveckling. Den som blir arbetslös ska få stöd och hjälp att få ett nytt arbete. Den som har ett jobb ska få kontinuerlig kompetensutveckling och ges goda möjligheter till omställning för att kunna utföra nya arbetsuppgifter i ett föränderligt arbetsliv.</w:t>
      </w:r>
    </w:p>
    <w:p w:rsidRPr="00FC2616" w:rsidR="009D3608" w:rsidP="00F05223" w:rsidRDefault="009D3608" w14:paraId="61465711" w14:textId="3C62B86C">
      <w:pPr>
        <w:rPr>
          <w:rFonts w:eastAsia="Calibri"/>
        </w:rPr>
      </w:pPr>
      <w:r w:rsidRPr="00FC2616">
        <w:rPr>
          <w:rFonts w:eastAsia="Calibri"/>
        </w:rPr>
        <w:t>En avslutad gymnasieutbildning är i princip avgörande för etableringen på arbets</w:t>
      </w:r>
      <w:r w:rsidR="00A57B4E">
        <w:rPr>
          <w:rFonts w:eastAsia="Calibri"/>
        </w:rPr>
        <w:softHyphen/>
      </w:r>
      <w:r w:rsidRPr="00FC2616">
        <w:rPr>
          <w:rFonts w:eastAsia="Calibri"/>
        </w:rPr>
        <w:t>marknaden och underlättar dessutom lärandet i arbetet och ger nödvändiga förutsätt</w:t>
      </w:r>
      <w:r w:rsidR="00A57B4E">
        <w:rPr>
          <w:rFonts w:eastAsia="Calibri"/>
        </w:rPr>
        <w:softHyphen/>
      </w:r>
      <w:r w:rsidRPr="00FC2616">
        <w:rPr>
          <w:rFonts w:eastAsia="Calibri"/>
        </w:rPr>
        <w:t xml:space="preserve">ningar för att kunna vidareutbilda sig inom ett yrke. En gymnasieutbildning ger tillträde till delar av arbetsmarknaden där det kommer </w:t>
      </w:r>
      <w:r w:rsidRPr="00FC2616" w:rsidR="00F27071">
        <w:rPr>
          <w:rFonts w:eastAsia="Calibri"/>
        </w:rPr>
        <w:t xml:space="preserve">att </w:t>
      </w:r>
      <w:r w:rsidRPr="00FC2616">
        <w:rPr>
          <w:rFonts w:eastAsia="Calibri"/>
        </w:rPr>
        <w:t xml:space="preserve">finnas </w:t>
      </w:r>
      <w:r w:rsidR="00C4427A">
        <w:rPr>
          <w:rFonts w:eastAsia="Calibri"/>
        </w:rPr>
        <w:t xml:space="preserve">en </w:t>
      </w:r>
      <w:r w:rsidRPr="00FC2616">
        <w:rPr>
          <w:rFonts w:eastAsia="Calibri"/>
        </w:rPr>
        <w:t>stark efterfrågan under många år framöver.</w:t>
      </w:r>
    </w:p>
    <w:p w:rsidRPr="00FC2616" w:rsidR="008C576A" w:rsidP="008C576A" w:rsidRDefault="009D3608" w14:paraId="5B536B37" w14:textId="3249D0AA">
      <w:pPr>
        <w:rPr>
          <w:rFonts w:eastAsia="Calibri"/>
        </w:rPr>
      </w:pPr>
      <w:r w:rsidRPr="00FC2616">
        <w:rPr>
          <w:rFonts w:eastAsia="Calibri"/>
        </w:rPr>
        <w:t>Arbetsmarknadsutbildningarna är det traditionella verktyget för omställning och yrkesväxling</w:t>
      </w:r>
      <w:r w:rsidRPr="00FC2616" w:rsidR="00F05223">
        <w:rPr>
          <w:rFonts w:eastAsia="Calibri"/>
        </w:rPr>
        <w:t xml:space="preserve"> </w:t>
      </w:r>
      <w:r w:rsidRPr="00FC2616">
        <w:rPr>
          <w:rFonts w:eastAsia="Calibri"/>
        </w:rPr>
        <w:t xml:space="preserve">till bristyrken. Inom den aktiva arbetsmarknadspolitiken, som förlorat </w:t>
      </w:r>
      <w:r w:rsidRPr="00FC2616">
        <w:rPr>
          <w:rFonts w:eastAsia="Calibri"/>
        </w:rPr>
        <w:lastRenderedPageBreak/>
        <w:t>mycket av sin omställande kraft,</w:t>
      </w:r>
      <w:r w:rsidRPr="00FC2616" w:rsidR="00F05223">
        <w:rPr>
          <w:rFonts w:eastAsia="Calibri"/>
        </w:rPr>
        <w:t xml:space="preserve"> </w:t>
      </w:r>
      <w:r w:rsidRPr="00FC2616">
        <w:rPr>
          <w:rFonts w:eastAsia="Calibri"/>
        </w:rPr>
        <w:t>behöver volymerna av yrkesinriktad arbetsmarknads</w:t>
      </w:r>
      <w:r w:rsidR="00A57B4E">
        <w:rPr>
          <w:rFonts w:eastAsia="Calibri"/>
        </w:rPr>
        <w:softHyphen/>
      </w:r>
      <w:r w:rsidRPr="00FC2616">
        <w:rPr>
          <w:rFonts w:eastAsia="Calibri"/>
        </w:rPr>
        <w:t>utbildning öka kraftigt.</w:t>
      </w:r>
    </w:p>
    <w:p w:rsidRPr="00FC2616" w:rsidR="008C576A" w:rsidP="008C576A" w:rsidRDefault="008C576A" w14:paraId="6246380F" w14:textId="4643C7F0">
      <w:pPr>
        <w:rPr>
          <w:rFonts w:eastAsia="Times New Roman"/>
          <w:lang w:eastAsia="sv-SE"/>
        </w:rPr>
      </w:pPr>
      <w:r w:rsidRPr="00FC2616">
        <w:rPr>
          <w:rFonts w:eastAsia="Times New Roman"/>
          <w:lang w:eastAsia="sv-SE"/>
        </w:rPr>
        <w:t>Vänsterpartiet vill stärka den kommunala vuxenutbildningen. Vuxenutbildningen kan innebära en andra chans när tidigare skolformer har misslyckats, men också en möjlighet till yrkesväxling. För att stärka den kommunala vuxenutbildningen vill vi bl.a. se ett vinstförbud inom den offentligt finansierade vuxenutbildningen och att det inrättas en särskild vuxenlärarutbildning.</w:t>
      </w:r>
    </w:p>
    <w:p w:rsidRPr="00FC2616" w:rsidR="009D3608" w:rsidP="00F80515" w:rsidRDefault="008C576A" w14:paraId="6B30922B" w14:textId="08EC06E0">
      <w:pPr>
        <w:rPr>
          <w:rFonts w:eastAsia="Calibri"/>
        </w:rPr>
      </w:pPr>
      <w:r w:rsidRPr="00FC2616">
        <w:rPr>
          <w:rFonts w:eastAsia="Times New Roman"/>
          <w:lang w:eastAsia="sv-SE"/>
        </w:rPr>
        <w:t xml:space="preserve">Den tidigare regeringen införde ett nytt omställningsstudiestöd i syfte att finansiera studier som kan stärka vuxnas framtida ställning på arbetsmarknaden med beaktande av arbetsmarknadens behov. Stödet var en del av den överenskommelse som gjordes mellan Svenskt Näringsliv och PTK, som även IF Metall och Kommunal anslöt sig till. Även om Vänsterpartiet i stora delar välkomnade omställningsstudiestödet kan vi konstatera att regeringen hade kunnat införa det utan att kraftigt försämra arbetstagarnas anställningsskydd så som man samtidigt gjorde. Enligt Vänsterpartiet bör arbetsgivarna vara med och finansiera omställningsstudiestödet. </w:t>
      </w:r>
      <w:r w:rsidRPr="00FC2616" w:rsidR="005E4C66">
        <w:rPr>
          <w:rFonts w:eastAsia="Times New Roman"/>
          <w:lang w:eastAsia="sv-SE"/>
        </w:rPr>
        <w:t>Vi redogör närmare för vår syn</w:t>
      </w:r>
      <w:r w:rsidRPr="00FC2616">
        <w:rPr>
          <w:rFonts w:eastAsia="Times New Roman"/>
          <w:lang w:eastAsia="sv-SE"/>
        </w:rPr>
        <w:t xml:space="preserve"> i </w:t>
      </w:r>
      <w:r w:rsidRPr="00FC2616" w:rsidR="005E4C66">
        <w:rPr>
          <w:rFonts w:eastAsia="Times New Roman"/>
          <w:lang w:eastAsia="sv-SE"/>
        </w:rPr>
        <w:t xml:space="preserve">Vänsterpartiets </w:t>
      </w:r>
      <w:r w:rsidRPr="00FC2616">
        <w:rPr>
          <w:rFonts w:eastAsia="Times New Roman"/>
          <w:lang w:eastAsia="sv-SE"/>
        </w:rPr>
        <w:t>motion med anledning av prop</w:t>
      </w:r>
      <w:r w:rsidR="004E2AA6">
        <w:rPr>
          <w:rFonts w:eastAsia="Times New Roman"/>
          <w:lang w:eastAsia="sv-SE"/>
        </w:rPr>
        <w:t>osition</w:t>
      </w:r>
      <w:r w:rsidRPr="00FC2616">
        <w:rPr>
          <w:rFonts w:eastAsia="Times New Roman"/>
          <w:lang w:eastAsia="sv-SE"/>
        </w:rPr>
        <w:t xml:space="preserve"> 2021/22:176 Flexibilitet, omställningsförmåga och trygghet på arbetsmarknaden (mot. 2021/22:4524).</w:t>
      </w:r>
    </w:p>
    <w:p w:rsidRPr="00FC2616" w:rsidR="009D3608" w:rsidP="006841C4" w:rsidRDefault="009D3608" w14:paraId="41647B26" w14:textId="1ACAAA92">
      <w:pPr>
        <w:pStyle w:val="Rubrik2numrerat"/>
      </w:pPr>
      <w:bookmarkStart w:name="_Toc115276228" w:id="54"/>
      <w:bookmarkStart w:name="_Hlk115260509" w:id="55"/>
      <w:bookmarkStart w:name="_Toc149814537" w:id="56"/>
      <w:r w:rsidRPr="00FC2616">
        <w:t>En aktiv arbetsmarknadspolitik</w:t>
      </w:r>
      <w:bookmarkEnd w:id="54"/>
      <w:bookmarkEnd w:id="56"/>
    </w:p>
    <w:bookmarkEnd w:id="55"/>
    <w:p w:rsidRPr="00FC2616" w:rsidR="009D3608" w:rsidP="00310F6D" w:rsidRDefault="009D3608" w14:paraId="7E1D9344" w14:textId="12829DB0">
      <w:pPr>
        <w:pStyle w:val="Normalutanindragellerluft"/>
      </w:pPr>
      <w:r w:rsidRPr="00FC2616">
        <w:t>Vänsterpartiet vill återupprätta den aktiva arbetsmarknadspolitiken. Det kräver dels en arbetsförmedling som fungerar, dels större satsningar på aktiva åtgärder som rustar och höjer de arbetssökandes kompetens. Fokus ska ligga på att förebygga och bryta långtidsarbetslösheten.</w:t>
      </w:r>
    </w:p>
    <w:p w:rsidRPr="00FC2616" w:rsidR="009D3608" w:rsidP="00B50CBA" w:rsidRDefault="009D3608" w14:paraId="4FA780AD" w14:textId="77777777">
      <w:pPr>
        <w:pStyle w:val="Rubrik3numrerat"/>
        <w:rPr>
          <w:lang w:eastAsia="sv-SE"/>
        </w:rPr>
      </w:pPr>
      <w:bookmarkStart w:name="_Toc115276229" w:id="57"/>
      <w:bookmarkStart w:name="_Toc149814538" w:id="58"/>
      <w:r w:rsidRPr="00FC2616">
        <w:rPr>
          <w:lang w:eastAsia="sv-SE"/>
        </w:rPr>
        <w:t>Arbetsförmedlingen</w:t>
      </w:r>
      <w:bookmarkEnd w:id="57"/>
      <w:bookmarkEnd w:id="58"/>
    </w:p>
    <w:p w:rsidRPr="00FC2616" w:rsidR="009D3608" w:rsidP="00310F6D" w:rsidRDefault="009D3608" w14:paraId="7067BFCB" w14:textId="74916066">
      <w:pPr>
        <w:pStyle w:val="Normalutanindragellerluft"/>
      </w:pPr>
      <w:r w:rsidRPr="00FC2616">
        <w:t>En sammanhållen statlig arbetsförmedling med nationell överblick är en förutsättning för att kunna föra en aktiv arbetsmarknadspolitik. Arbetsförmedlingen ska finnas i hela landet för att garantera att alla medborgare ges ett likvärdigt stöd oavsett var man bor. Myndigheten ska fokusera på att rusta de arbetssökande och matcha dem mot de jobb som finns och växer fram. Verksamheten ska bedrivas i offentlig regi utan vinstintresse och antalet privata aktörer bör begränsas.</w:t>
      </w:r>
    </w:p>
    <w:p w:rsidRPr="00FC2616" w:rsidR="009D3608" w:rsidP="00B66015" w:rsidRDefault="009D3608" w14:paraId="43CD2EFE" w14:textId="54D6E3E5">
      <w:r w:rsidRPr="00FC2616">
        <w:t>Insatserna ska vara individuellt anpassade och effektiva. Samrådet mellan Arbets</w:t>
      </w:r>
      <w:r w:rsidR="00A57B4E">
        <w:softHyphen/>
      </w:r>
      <w:r w:rsidRPr="00FC2616">
        <w:t>förmedlingen och arbetsmarknadens parter bör stärkas i syfte att ta till vara parternas unika kompetens om arbetsmarknadens funktionssätt. Myndighetens samverkan med kommuner, regioner och näringsliv bör utvecklas.</w:t>
      </w:r>
    </w:p>
    <w:p w:rsidRPr="00FC2616" w:rsidR="009D3608" w:rsidP="00310F6D" w:rsidRDefault="009D3608" w14:paraId="15B15AD2" w14:textId="4CCD00B1">
      <w:r w:rsidRPr="00FC2616">
        <w:t xml:space="preserve">Vänsterpartiet anser att Arbetsförmedlingen behöver reformeras för att på ett bättre sätt ge stöd till arbetslösa och möjliggöra för fler arbetsgivare att hitta rätt kompetens. Den pågående reformeringen, som bygger på </w:t>
      </w:r>
      <w:r w:rsidR="000B4FD0">
        <w:t>j</w:t>
      </w:r>
      <w:r w:rsidRPr="00FC2616">
        <w:t>anuariavtalet och innebär att en stor del av Arbetsförmedlingens verksamhet privatiseras, är fel väg att gå.</w:t>
      </w:r>
    </w:p>
    <w:p w:rsidRPr="00FC2616" w:rsidR="009D3608" w:rsidP="00161593" w:rsidRDefault="009D3608" w14:paraId="27774C4C" w14:textId="3863C2AF">
      <w:r w:rsidRPr="00FC2616">
        <w:t>För det första finns en uppenbar risk för oseriösa privata utförare som ser en möjlighet att tjäna pengar på arbetslösa – en upprepning av tidigare liberala ”reformer” som jobbcoacher och etableringslotsar.</w:t>
      </w:r>
      <w:r w:rsidRPr="00FC2616">
        <w:rPr>
          <w:rStyle w:val="Fotnotsreferens"/>
        </w:rPr>
        <w:footnoteReference w:id="43"/>
      </w:r>
      <w:r w:rsidRPr="00FC2616">
        <w:t xml:space="preserve"> </w:t>
      </w:r>
      <w:r w:rsidRPr="00FC2616">
        <w:rPr>
          <w:rStyle w:val="Fotnotsreferens"/>
        </w:rPr>
        <w:footnoteReference w:id="44"/>
      </w:r>
      <w:r w:rsidRPr="00FC2616">
        <w:t xml:space="preserve"> För det andra finns</w:t>
      </w:r>
      <w:r w:rsidR="006744B9">
        <w:t xml:space="preserve"> det</w:t>
      </w:r>
      <w:r w:rsidRPr="00FC2616">
        <w:t xml:space="preserve"> en uppenbar risk att </w:t>
      </w:r>
      <w:r w:rsidRPr="00FC2616">
        <w:lastRenderedPageBreak/>
        <w:t xml:space="preserve">arbetssökande som står långt </w:t>
      </w:r>
      <w:r w:rsidR="008B7E37">
        <w:t>i</w:t>
      </w:r>
      <w:r w:rsidRPr="00FC2616">
        <w:t xml:space="preserve">från arbetsmarknaden kommer att få sämre möjligheter till stöd. Dels eftersom de inte omfattas av de matchningstjänster som de fristående aktörerna tillhandahåller, dels eftersom det ekonomiska stödet till matchningstjänsterna tar resurser från insatser riktade till dem som står längst </w:t>
      </w:r>
      <w:r w:rsidR="008B7E37">
        <w:t>i</w:t>
      </w:r>
      <w:r w:rsidRPr="00FC2616">
        <w:t xml:space="preserve">från arbetsmarknaden. För det tredje finns det en uppenbar risk för </w:t>
      </w:r>
      <w:r w:rsidRPr="00FC2616" w:rsidR="00FA2E09">
        <w:t>s.k.</w:t>
      </w:r>
      <w:r w:rsidRPr="00FC2616">
        <w:t xml:space="preserve"> vita fläckar på kartan, dvs. orter där fristående aktörer väljer att inte etablera sig </w:t>
      </w:r>
      <w:r w:rsidRPr="00FC2616" w:rsidR="00E25D62">
        <w:t>p.g.a.</w:t>
      </w:r>
      <w:r w:rsidRPr="00FC2616">
        <w:t xml:space="preserve"> otillräckligt befolkningsunderlag. I kombination med de omfattande nedskärningar inom Arbetsförmedlingen som skett de senaste åren, där ett stort antal lokalkontor lagts ner och flera tusen anställda sagts upp, riskerar det att leda till att arbetslösa på vissa orter i Sverige lämnas utan stöd. För personer som står långt </w:t>
      </w:r>
      <w:r w:rsidR="00414BA5">
        <w:t>i</w:t>
      </w:r>
      <w:r w:rsidRPr="00FC2616">
        <w:t>från arbetsmarknaden, som ofta är i behov av mycket stöd och personlig service, kommer detta att vara förödande.</w:t>
      </w:r>
    </w:p>
    <w:p w:rsidRPr="00FC2616" w:rsidR="009D3608" w:rsidP="00310F6D" w:rsidRDefault="009D3608" w14:paraId="4E1495B8" w14:textId="5B4CF6D3">
      <w:r w:rsidRPr="00FC2616">
        <w:t>Forskning visar att förstärkta förmedlingsinsatser, i form av fler möten med arbetsförmedlare, leder till lägre arbetslöshet bland dem som får ta del av insatserna.</w:t>
      </w:r>
      <w:r w:rsidRPr="00FC2616">
        <w:rPr>
          <w:rStyle w:val="Fotnotsreferens"/>
        </w:rPr>
        <w:footnoteReference w:id="45"/>
      </w:r>
      <w:r w:rsidRPr="00FC2616">
        <w:t xml:space="preserve"> Förstärkta förmedlingsinsatser, där arbetssökande ges personlig hjälp och stöd med jobbsökande, är särskilt viktigt för långtidsarbetslösa. Vänsterpartiet vill satsa mer på förstärkta förmedlingsinsatser i Arbetsförmedlingens regi.</w:t>
      </w:r>
    </w:p>
    <w:p w:rsidRPr="00FC2616" w:rsidR="009D3608" w:rsidP="00310F6D" w:rsidRDefault="009D3608" w14:paraId="23FFA4A3" w14:textId="7D956747">
      <w:r w:rsidRPr="00FC2616">
        <w:t xml:space="preserve">Vi vill att myndigheten ska reformeras </w:t>
      </w:r>
      <w:r w:rsidRPr="00FC2616" w:rsidR="0051149F">
        <w:t xml:space="preserve">på </w:t>
      </w:r>
      <w:r w:rsidRPr="00FC2616">
        <w:t>basis av en seriös och genomtänkt diskussion om den samlade arbetsmarknadspolitiken. Arbetsmarknadspolitiken ska inte vara en marknad för välfärdsprofitörer utan tas tillbaka i statlig kontroll för att skapa en bättre fungerande myndighet.</w:t>
      </w:r>
    </w:p>
    <w:p w:rsidRPr="00A57B4E" w:rsidR="009D3608" w:rsidP="00A57B4E" w:rsidRDefault="009D3608" w14:paraId="215BC09B" w14:textId="77777777">
      <w:pPr>
        <w:pStyle w:val="Normalutanindragellerluft"/>
        <w:spacing w:before="240"/>
        <w:rPr>
          <w:b/>
          <w:bCs/>
        </w:rPr>
      </w:pPr>
      <w:r w:rsidRPr="00A57B4E">
        <w:rPr>
          <w:b/>
          <w:bCs/>
        </w:rPr>
        <w:t>Vänsterpartiets förslag:</w:t>
      </w:r>
    </w:p>
    <w:p w:rsidRPr="00FC2616" w:rsidR="009D3608" w:rsidP="00AC462F" w:rsidRDefault="009D3608" w14:paraId="57F8C769" w14:textId="77777777">
      <w:pPr>
        <w:pStyle w:val="ListaPunkt"/>
        <w:ind w:left="340" w:hanging="340"/>
      </w:pPr>
      <w:bookmarkStart w:name="_Hlk110944202" w:id="59"/>
      <w:r w:rsidRPr="00FC2616">
        <w:t>Stoppa den pågående reformeringen. Förmedlingsverksamheten ska bedrivas i offentlig regi.</w:t>
      </w:r>
    </w:p>
    <w:p w:rsidRPr="00FC2616" w:rsidR="009D3608" w:rsidP="00AC462F" w:rsidRDefault="009D3608" w14:paraId="7E06DD75" w14:textId="77777777">
      <w:pPr>
        <w:pStyle w:val="ListaPunkt"/>
        <w:ind w:left="340" w:hanging="340"/>
      </w:pPr>
      <w:r w:rsidRPr="00FC2616">
        <w:t>Säkerställ lokal närvaro i hela landet. De kontor som lagts ner ska öppnas på nytt.</w:t>
      </w:r>
    </w:p>
    <w:p w:rsidRPr="00FC2616" w:rsidR="009D3608" w:rsidP="00AC462F" w:rsidRDefault="009D3608" w14:paraId="686ADB4B" w14:textId="77777777">
      <w:pPr>
        <w:pStyle w:val="ListaPunkt"/>
        <w:ind w:left="340" w:hanging="340"/>
      </w:pPr>
      <w:r w:rsidRPr="00FC2616">
        <w:t>Säkerställ likvärdig service i hela landet. Anställ mer personal som kan bemanna kontoren. Digitala tjänster ska vara en möjlighet, personlig service en rättighet.</w:t>
      </w:r>
    </w:p>
    <w:p w:rsidRPr="00FC2616" w:rsidR="009D3608" w:rsidP="00AC462F" w:rsidRDefault="009D3608" w14:paraId="666BCDF2" w14:textId="7A386652">
      <w:pPr>
        <w:pStyle w:val="ListaPunkt"/>
        <w:ind w:left="340" w:hanging="340"/>
      </w:pPr>
      <w:r w:rsidRPr="00FC2616">
        <w:t>Prioritera de långtidsarbetslösa. Ändra förordning</w:t>
      </w:r>
      <w:r w:rsidR="009F640E">
        <w:t>en</w:t>
      </w:r>
      <w:r w:rsidRPr="00FC2616">
        <w:t xml:space="preserve"> (2007:1030) med instruktion för Arbetsförmedlingen i syfte att understryka att det är en prioriterad uppgift för myndigheten att tillhandahålla verksamma insatser för långtidsarbetslösa.</w:t>
      </w:r>
    </w:p>
    <w:p w:rsidRPr="00FC2616" w:rsidR="009D3608" w:rsidP="00AC462F" w:rsidRDefault="009D3608" w14:paraId="50C8A6DD" w14:textId="77777777">
      <w:pPr>
        <w:pStyle w:val="ListaPunkt"/>
        <w:ind w:left="340" w:hanging="340"/>
      </w:pPr>
      <w:r w:rsidRPr="00FC2616">
        <w:t>Ge Arbetsförmedlingen resurser och verktyg för att anvisa fler arbetslösa till utbildning – både reguljär utbildning och arbetsmarknadsutbildning. Utvidga målgruppen och genomför insatserna tidigare under arbetslöshetsperioden.</w:t>
      </w:r>
    </w:p>
    <w:p w:rsidRPr="00FC2616" w:rsidR="009D3608" w:rsidP="00AC462F" w:rsidRDefault="009D3608" w14:paraId="3CB63FFB" w14:textId="77777777">
      <w:pPr>
        <w:pStyle w:val="ListaPunkt"/>
        <w:ind w:left="340" w:hanging="340"/>
      </w:pPr>
      <w:r w:rsidRPr="00FC2616">
        <w:t>Inrätta särskilda kontor med fokus på långtidsarbetslösa.</w:t>
      </w:r>
    </w:p>
    <w:p w:rsidRPr="00FC2616" w:rsidR="009D3608" w:rsidP="00AC462F" w:rsidRDefault="009D3608" w14:paraId="36C155E7" w14:textId="77777777">
      <w:pPr>
        <w:pStyle w:val="ListaPunkt"/>
        <w:ind w:left="340" w:hanging="340"/>
      </w:pPr>
      <w:r w:rsidRPr="00FC2616">
        <w:t>Avskaffa nuvarande system med aktivitetsrapporter. Inför ett nytt system med mindre fokus på kvantitativ sökaktivitet.</w:t>
      </w:r>
    </w:p>
    <w:p w:rsidRPr="00FC2616" w:rsidR="007D7414" w:rsidP="00AC462F" w:rsidRDefault="009D3608" w14:paraId="33EDA76C" w14:textId="0031DC67">
      <w:pPr>
        <w:pStyle w:val="ListaPunkt"/>
        <w:ind w:left="340" w:hanging="340"/>
      </w:pPr>
      <w:r w:rsidRPr="00FC2616">
        <w:t>Bygg upp stödet till personer med funktionshinder. Säkerställ att arbetssökande med funktionsnedsättning ges tillgång till handläggare med specialistkompetens och effektivisera handläggningen av stöden till personer med funktionsnedsättning.</w:t>
      </w:r>
    </w:p>
    <w:bookmarkEnd w:id="59"/>
    <w:p w:rsidRPr="00FC2616" w:rsidR="009D3608" w:rsidP="007D7414" w:rsidRDefault="009D3608" w14:paraId="0698F24E" w14:textId="7A99FE42">
      <w:pPr>
        <w:pStyle w:val="Normalutanindragellerluft"/>
      </w:pPr>
      <w:r w:rsidRPr="00FC2616">
        <w:t xml:space="preserve">Vänsterpartiets satsning på att stärka Arbetsförmedlingen innebär att myndighetens anslag ökas till en nivå som motsvarar den som gällde innan nedmonteringen. </w:t>
      </w:r>
    </w:p>
    <w:p w:rsidRPr="00A57B4E" w:rsidR="009D3608" w:rsidP="00A57B4E" w:rsidRDefault="009D3608" w14:paraId="349454B5" w14:textId="77777777">
      <w:pPr>
        <w:pStyle w:val="Normalutanindragellerluft"/>
        <w:spacing w:before="240"/>
        <w:rPr>
          <w:b/>
          <w:bCs/>
        </w:rPr>
      </w:pPr>
      <w:r w:rsidRPr="00A57B4E">
        <w:rPr>
          <w:b/>
          <w:bCs/>
        </w:rPr>
        <w:t>Vänsterpartiets förslag:</w:t>
      </w:r>
    </w:p>
    <w:p w:rsidRPr="00FC2616" w:rsidR="009D3608" w:rsidP="009233B7" w:rsidRDefault="009D3608" w14:paraId="5B364320" w14:textId="18520E08">
      <w:pPr>
        <w:pStyle w:val="ListaPunkt"/>
        <w:ind w:left="340" w:hanging="340"/>
      </w:pPr>
      <w:bookmarkStart w:name="_Hlk111472340" w:id="60"/>
      <w:r w:rsidRPr="00FC2616">
        <w:lastRenderedPageBreak/>
        <w:t>En höjning av anslaget för Arbetsförmedlingens förvaltningskostnader med 1,5</w:t>
      </w:r>
      <w:r w:rsidR="009F640E">
        <w:t> </w:t>
      </w:r>
      <w:r w:rsidRPr="00FC2616">
        <w:t>miljarder kronor 2023, 2,5</w:t>
      </w:r>
      <w:r w:rsidR="009F640E">
        <w:t> </w:t>
      </w:r>
      <w:r w:rsidRPr="00FC2616">
        <w:t>miljarder kronor 2024 och 3</w:t>
      </w:r>
      <w:r w:rsidR="009F640E">
        <w:t> </w:t>
      </w:r>
      <w:r w:rsidRPr="00FC2616">
        <w:t>miljarder kronor 2025 och framåt.</w:t>
      </w:r>
      <w:bookmarkEnd w:id="60"/>
    </w:p>
    <w:p w:rsidRPr="00FC2616" w:rsidR="00FA0FA6" w:rsidP="00B50CBA" w:rsidRDefault="00FA0FA6" w14:paraId="4F29F049" w14:textId="1E5BA2A7">
      <w:pPr>
        <w:pStyle w:val="Rubrik3numrerat"/>
        <w:rPr>
          <w:lang w:eastAsia="sv-SE"/>
        </w:rPr>
      </w:pPr>
      <w:bookmarkStart w:name="_Toc149814539" w:id="61"/>
      <w:r w:rsidRPr="00FC2616">
        <w:rPr>
          <w:lang w:eastAsia="sv-SE"/>
        </w:rPr>
        <w:t>Höj och indexera lönetaken för subventionerade anställningar</w:t>
      </w:r>
      <w:bookmarkEnd w:id="61"/>
    </w:p>
    <w:p w:rsidRPr="00FC2616" w:rsidR="009D3608" w:rsidP="00840454" w:rsidRDefault="009D3608" w14:paraId="2BECC9F6" w14:textId="52F1B5BC">
      <w:pPr>
        <w:pStyle w:val="Normalutanindragellerluft"/>
      </w:pPr>
      <w:r w:rsidRPr="00FC2616">
        <w:t>Studier visar att subventionerade anställningar generellt sett ger goda resultat, både för de individer som omfattas och de anställande företagen. Personer som haft en subven</w:t>
      </w:r>
      <w:r w:rsidR="00A57B4E">
        <w:softHyphen/>
      </w:r>
      <w:r w:rsidRPr="00FC2616">
        <w:t xml:space="preserve">tionerad anställning får i allmänhet snabbare ett jobb utan stöd jämfört med dem som varit öppet arbetslösa. Vänsterpartiet vill satsa mer på subventionerade anställningar, såväl för personer med kort tid i arbetslöshet som för långtidsarbetslösa. </w:t>
      </w:r>
    </w:p>
    <w:p w:rsidRPr="00FC2616" w:rsidR="009D3608" w:rsidP="009D3608" w:rsidRDefault="009D3608" w14:paraId="1FBFE465" w14:textId="112CC56E">
      <w:pPr>
        <w:tabs>
          <w:tab w:val="clear" w:pos="284"/>
        </w:tabs>
      </w:pPr>
      <w:r w:rsidRPr="00FC2616">
        <w:t>Samtidigt finns risk för undanträngningseffekter, utnyttjande och segmentering.</w:t>
      </w:r>
      <w:r w:rsidRPr="00FC2616">
        <w:rPr>
          <w:rStyle w:val="Fotnotsreferens"/>
        </w:rPr>
        <w:footnoteReference w:id="46"/>
      </w:r>
      <w:r w:rsidRPr="00FC2616">
        <w:t xml:space="preserve"> För att motverka detta bör regelverket kring subventionerade anställningar stramas upp. </w:t>
      </w:r>
      <w:r w:rsidRPr="00FC2616" w:rsidR="00585669">
        <w:t>S</w:t>
      </w:r>
      <w:r w:rsidRPr="00FC2616">
        <w:t xml:space="preserve">amrådshanteringen mellan Arbetsförmedlingen och berörda fackförbund </w:t>
      </w:r>
      <w:r w:rsidRPr="00FC2616" w:rsidR="00585669">
        <w:t xml:space="preserve">behöver </w:t>
      </w:r>
      <w:r w:rsidRPr="00FC2616">
        <w:t>förbättras och regelverket för samtliga subventionerade anställningar förtydligas så att löner och övriga villkor blir i nivå med kollektivavtal i branschen.</w:t>
      </w:r>
      <w:r w:rsidRPr="00FC2616">
        <w:rPr>
          <w:rStyle w:val="Fotnotsreferens"/>
        </w:rPr>
        <w:footnoteReference w:id="47"/>
      </w:r>
      <w:r w:rsidRPr="00FC2616">
        <w:t xml:space="preserve"> </w:t>
      </w:r>
    </w:p>
    <w:p w:rsidRPr="00FC2616" w:rsidR="00585669" w:rsidP="00585669" w:rsidRDefault="00585669" w14:paraId="7D4C408F" w14:textId="307B7667">
      <w:pPr>
        <w:tabs>
          <w:tab w:val="clear" w:pos="284"/>
        </w:tabs>
      </w:pPr>
      <w:r w:rsidRPr="00FC2616">
        <w:t>Subventionerat anställda är överrepresenterade i lågkvalificerade yrken i vissa specifika branscher och har sämre löner och villkor än övriga arbetstagare. Inom hotell- och restaurangbranschen har nästan en tiondel av arbetskraften någon form av subven</w:t>
      </w:r>
      <w:r w:rsidR="00A57B4E">
        <w:softHyphen/>
      </w:r>
      <w:r w:rsidRPr="00FC2616">
        <w:t>tionerad anställning. Inom SCB:s yrkeskategori nio (yrken med låga formella utbild</w:t>
      </w:r>
      <w:r w:rsidR="00A57B4E">
        <w:softHyphen/>
      </w:r>
      <w:r w:rsidRPr="00FC2616">
        <w:t>ningskrav) hade närmare en femtedel av landets anställda en lönesubvention under de senaste åren.</w:t>
      </w:r>
    </w:p>
    <w:p w:rsidRPr="00FC2616" w:rsidR="00585669" w:rsidP="00585669" w:rsidRDefault="00585669" w14:paraId="7155A1DC" w14:textId="64081146">
      <w:pPr>
        <w:tabs>
          <w:tab w:val="clear" w:pos="284"/>
        </w:tabs>
      </w:pPr>
      <w:r w:rsidRPr="00FC2616">
        <w:t>En huvudorsak till denna segmentering är regeringens lågt satta lönetak på 20</w:t>
      </w:r>
      <w:r w:rsidRPr="00FC2616" w:rsidR="00620E40">
        <w:t> </w:t>
      </w:r>
      <w:r w:rsidRPr="00FC2616">
        <w:t>000 kronor per månad. Det innebär att arbetsgivaren inte subventioneras för den del av lönen som överskrider taket. För att motverka segmenteringen, och öppna upp för subven</w:t>
      </w:r>
      <w:r w:rsidR="00A57B4E">
        <w:softHyphen/>
      </w:r>
      <w:r w:rsidRPr="00FC2616">
        <w:t>tionerade anställningar i fler branscher där löner och villkor är bättre, föreslår Vänster</w:t>
      </w:r>
      <w:r w:rsidR="00A57B4E">
        <w:softHyphen/>
      </w:r>
      <w:r w:rsidRPr="00FC2616">
        <w:t>partiet att lönetaken höjs och indexeras.</w:t>
      </w:r>
    </w:p>
    <w:p w:rsidRPr="00FC2616" w:rsidR="00585669" w:rsidP="00585669" w:rsidRDefault="00585669" w14:paraId="73EA9E83" w14:textId="2E37D94D">
      <w:pPr>
        <w:tabs>
          <w:tab w:val="clear" w:pos="284"/>
        </w:tabs>
      </w:pPr>
      <w:r w:rsidRPr="00FC2616">
        <w:t>Vi menar att lönetaken för subventionerade heltidsanställningar bör ligga på 40</w:t>
      </w:r>
      <w:r w:rsidRPr="00FC2616" w:rsidR="00620E40">
        <w:t> </w:t>
      </w:r>
      <w:r w:rsidRPr="00FC2616">
        <w:t>000 kronor per månad. Höjningen från dagens nivå bör ske stegvis</w:t>
      </w:r>
      <w:r w:rsidRPr="00FC2616" w:rsidR="00B7058C">
        <w:t xml:space="preserve"> </w:t>
      </w:r>
      <w:r w:rsidRPr="00FC2616">
        <w:t>med 5</w:t>
      </w:r>
      <w:r w:rsidRPr="00FC2616" w:rsidR="00620E40">
        <w:t> </w:t>
      </w:r>
      <w:r w:rsidRPr="00FC2616">
        <w:t>000 kronor per år över en fyraårsperiod (202</w:t>
      </w:r>
      <w:r w:rsidRPr="00FC2616" w:rsidR="00B7058C">
        <w:t>4</w:t>
      </w:r>
      <w:r w:rsidRPr="00FC2616">
        <w:t>–2027) för att åstadkomma en god förutsägbarhet för arbetsförmedlare, arbetsgivare och arbetssökande. Därefter bör taket indexer</w:t>
      </w:r>
      <w:r w:rsidRPr="00FC2616" w:rsidR="00B7058C">
        <w:t>as</w:t>
      </w:r>
      <w:r w:rsidRPr="00FC2616">
        <w:t xml:space="preserve"> i enlighet med inkomstindex.</w:t>
      </w:r>
      <w:r w:rsidRPr="00FC2616" w:rsidR="00B7058C">
        <w:t xml:space="preserve"> Reformen beräknas försvaga de offentliga finanserna med mellan 1,3 och 4</w:t>
      </w:r>
      <w:r w:rsidR="005F4FC0">
        <w:t> </w:t>
      </w:r>
      <w:r w:rsidRPr="00FC2616" w:rsidR="00B7058C">
        <w:t>miljarder kronor från 2024 till 2026.</w:t>
      </w:r>
      <w:r w:rsidRPr="00FC2616" w:rsidR="000409A3">
        <w:rPr>
          <w:rStyle w:val="Fotnotsreferens"/>
        </w:rPr>
        <w:footnoteReference w:id="48"/>
      </w:r>
    </w:p>
    <w:p w:rsidRPr="00A57B4E" w:rsidR="00B7058C" w:rsidP="00A57B4E" w:rsidRDefault="00B7058C" w14:paraId="56181EB2" w14:textId="77777777">
      <w:pPr>
        <w:pStyle w:val="Normalutanindragellerluft"/>
        <w:spacing w:before="240"/>
        <w:rPr>
          <w:b/>
          <w:bCs/>
        </w:rPr>
      </w:pPr>
      <w:r w:rsidRPr="00A57B4E">
        <w:rPr>
          <w:b/>
          <w:bCs/>
        </w:rPr>
        <w:t>Vänsterpartiets förslag:</w:t>
      </w:r>
    </w:p>
    <w:p w:rsidRPr="00FC2616" w:rsidR="00B7058C" w:rsidP="008C7EEA" w:rsidRDefault="00B7058C" w14:paraId="37394777" w14:textId="676840CE">
      <w:pPr>
        <w:pStyle w:val="ListaPunkt"/>
        <w:ind w:left="340" w:hanging="340"/>
      </w:pPr>
      <w:r w:rsidRPr="00FC2616">
        <w:t>Höj lönetaken för subventionerade heltidsanställningar med 5</w:t>
      </w:r>
      <w:r w:rsidRPr="00FC2616" w:rsidR="000B3359">
        <w:t> </w:t>
      </w:r>
      <w:r w:rsidRPr="00FC2616">
        <w:t>000 kronor per år över en fyraårsperiod (2024–2027).</w:t>
      </w:r>
    </w:p>
    <w:p w:rsidRPr="00FC2616" w:rsidR="009D3608" w:rsidP="00B50CBA" w:rsidRDefault="009D3608" w14:paraId="1FA9C9A4" w14:textId="77777777">
      <w:pPr>
        <w:pStyle w:val="Rubrik3numrerat"/>
        <w:rPr>
          <w:lang w:eastAsia="sv-SE"/>
        </w:rPr>
      </w:pPr>
      <w:bookmarkStart w:name="_Toc115276231" w:id="62"/>
      <w:bookmarkStart w:name="_Toc149814540" w:id="63"/>
      <w:r w:rsidRPr="00FC2616">
        <w:rPr>
          <w:lang w:eastAsia="sv-SE"/>
        </w:rPr>
        <w:t>Arbetsmarknadsutbildning</w:t>
      </w:r>
      <w:bookmarkEnd w:id="62"/>
      <w:bookmarkEnd w:id="63"/>
    </w:p>
    <w:p w:rsidRPr="00FC2616" w:rsidR="009D3608" w:rsidP="00840454" w:rsidRDefault="009D3608" w14:paraId="2D47A1B7" w14:textId="248B92CF">
      <w:pPr>
        <w:pStyle w:val="Normalutanindragellerluft"/>
      </w:pPr>
      <w:r w:rsidRPr="00FC2616">
        <w:t>Utvärderingar visar på positiva effekter av arbetsmarknadsutbildning, både vad gäller övergång till arbete och inkomstutveckling. Arbetsmarknadsutbildning leder i hög utsträckning till arbete och ger långsiktigt positiva effekter på deltagarnas arbets</w:t>
      </w:r>
      <w:r w:rsidR="00A57B4E">
        <w:softHyphen/>
      </w:r>
      <w:r w:rsidRPr="00FC2616">
        <w:t xml:space="preserve">inkomster. De senaste åren har utbildningarnas effekt förbättrats. Det beror dels på att utbildningarna anpassats mer efter arbetsmarknadens behov, dels på att endast de </w:t>
      </w:r>
      <w:r w:rsidRPr="00FC2616">
        <w:lastRenderedPageBreak/>
        <w:t>arbetssökande som har nytta av programmen deltar.</w:t>
      </w:r>
      <w:r w:rsidRPr="00FC2616">
        <w:rPr>
          <w:rStyle w:val="Fotnotsreferens"/>
        </w:rPr>
        <w:footnoteReference w:id="49"/>
      </w:r>
      <w:r w:rsidRPr="00FC2616">
        <w:t xml:space="preserve"> Trots goda resultat har antalet deltagare i arbetsmarknadsutbildning minskat de senaste åren. Under 2020 genomgick endast 5 500 personer en arbetsmarknadsutbildning.</w:t>
      </w:r>
      <w:r w:rsidRPr="00FC2616">
        <w:rPr>
          <w:rStyle w:val="Fotnotsreferens"/>
        </w:rPr>
        <w:footnoteReference w:id="50"/>
      </w:r>
      <w:r w:rsidRPr="00FC2616">
        <w:t xml:space="preserve"> </w:t>
      </w:r>
    </w:p>
    <w:p w:rsidRPr="00FC2616" w:rsidR="009D3608" w:rsidP="003B7E11" w:rsidRDefault="009D3608" w14:paraId="0010DFC9" w14:textId="21DD96D7">
      <w:pPr>
        <w:tabs>
          <w:tab w:val="clear" w:pos="284"/>
        </w:tabs>
      </w:pPr>
      <w:r w:rsidRPr="00FC2616">
        <w:t>Vänsterpartiet vill att fler arbetslösa ska ges möjlighet att delta i arbetsmarknads</w:t>
      </w:r>
      <w:r w:rsidR="00A57B4E">
        <w:softHyphen/>
      </w:r>
      <w:r w:rsidRPr="00FC2616">
        <w:t xml:space="preserve">utbildning. Antalet platser bör utökas med ett mål om att minst 20 000 personer bör genomgå </w:t>
      </w:r>
      <w:r w:rsidR="00A17FC0">
        <w:t xml:space="preserve">en </w:t>
      </w:r>
      <w:r w:rsidRPr="00FC2616">
        <w:t>arbetsmarknadsutbildning per år. Samtidigt bör kvaliteten på utbild</w:t>
      </w:r>
      <w:r w:rsidR="00A57B4E">
        <w:softHyphen/>
      </w:r>
      <w:r w:rsidRPr="00FC2616">
        <w:t>ningarna förbättras och i högre grad än i</w:t>
      </w:r>
      <w:r w:rsidRPr="00FC2616" w:rsidR="000B3359">
        <w:t xml:space="preserve"> </w:t>
      </w:r>
      <w:r w:rsidRPr="00FC2616">
        <w:t>dag riktas mot bristyrken. Särskild vikt bör läggas på att erbjuda utbildningar till kvinnor som fortfarande är underrepresenterade i arbetsmarknadsutbildningarna. Arbetsförmedlingen bör ges möjlighet att bedriva arbetsmarknadsutbildning i egen regi, genomföra den tillsammans med kommuner och andra offentliga aktörer eller välja att använda utbildningar inom det reguljära utbildningssystemet. På sikt bör de privata anordnarna av arbetsmarknadsutbildning fasas ut.</w:t>
      </w:r>
    </w:p>
    <w:p w:rsidRPr="00FC2616" w:rsidR="006750A7" w:rsidP="00DF235E" w:rsidRDefault="006750A7" w14:paraId="15616128" w14:textId="4CF08049">
      <w:pPr>
        <w:tabs>
          <w:tab w:val="clear" w:pos="284"/>
        </w:tabs>
      </w:pPr>
      <w:r w:rsidRPr="00FC2616">
        <w:t>Regeringen gör bedömningen att det finns utrymme för effektiviseringar av arbetsmarknadspolitiken och skär därför ner på anslaget till arbetsmarknadspolitiska program och insatser med ca 1,5</w:t>
      </w:r>
      <w:r w:rsidR="009B18EF">
        <w:t> </w:t>
      </w:r>
      <w:r w:rsidRPr="00FC2616">
        <w:t>miljarder kronor 2023. Det framgår dock inte vilka program och insatser som ska vara föremål för effektiviseringen. Enligt regeringen ger effektiviseringen utrymme för en fortsatt ökning av insatser i förhållande till nuvarande nivåer som svarar mot utmaningarna på arbetsmarknaden: matchningstjänster, arbets</w:t>
      </w:r>
      <w:r w:rsidR="00A57B4E">
        <w:softHyphen/>
      </w:r>
      <w:r w:rsidRPr="00FC2616">
        <w:t>marknadsutbildning och arbetspraktik. Vänsterpartiets fasta övertygelse är att detta snarare kommer att innebära att man byter mer kostsamma men effektiva åtgärder i form av arbetsmarknadsutbildning mot exempelvis inköp av matchningstjänster. Vänsterpartiet bedömer att en nedskärning av anslagen innebär en nedskärning med tusentals platser i arbetsmarknadspolitiken.</w:t>
      </w:r>
    </w:p>
    <w:p w:rsidRPr="00FC2616" w:rsidR="00127C49" w:rsidP="00127C49" w:rsidRDefault="006750A7" w14:paraId="35AE3EEE" w14:textId="2AFE1C8E">
      <w:pPr>
        <w:tabs>
          <w:tab w:val="clear" w:pos="284"/>
        </w:tabs>
      </w:pPr>
      <w:r w:rsidRPr="00FC2616">
        <w:t xml:space="preserve">Vänsterpartiet avvisar regeringens ambition att öka antalet matchningstjänster, dvs. upphandlade förmedlingstjänster via externa aktörer. Vi anser att dessa resurser bör läggas på att rusta och stödja arbetslösa – inte på att berika privata </w:t>
      </w:r>
      <w:bookmarkStart w:name="_Hlk107236470" w:id="64"/>
      <w:r w:rsidRPr="00FC2616" w:rsidR="00127C49">
        <w:t>välfärdsprofitörer.</w:t>
      </w:r>
    </w:p>
    <w:p w:rsidRPr="00A57B4E" w:rsidR="009D3608" w:rsidP="00A57B4E" w:rsidRDefault="00127C49" w14:paraId="2265D785" w14:textId="77777777">
      <w:pPr>
        <w:pStyle w:val="Normalutanindragellerluft"/>
        <w:spacing w:before="240"/>
        <w:rPr>
          <w:b/>
          <w:bCs/>
        </w:rPr>
      </w:pPr>
      <w:r w:rsidRPr="00A57B4E">
        <w:rPr>
          <w:b/>
          <w:bCs/>
        </w:rPr>
        <w:t>Vänsterpartiets</w:t>
      </w:r>
      <w:r w:rsidRPr="00A57B4E" w:rsidR="009D3608">
        <w:rPr>
          <w:b/>
          <w:bCs/>
        </w:rPr>
        <w:t xml:space="preserve"> förslag:</w:t>
      </w:r>
    </w:p>
    <w:p w:rsidRPr="00FC2616" w:rsidR="009D3608" w:rsidP="00F74AB1" w:rsidRDefault="009D3608" w14:paraId="3809D752" w14:textId="12375883">
      <w:pPr>
        <w:pStyle w:val="ListaPunkt"/>
        <w:ind w:left="340" w:hanging="340"/>
      </w:pPr>
      <w:bookmarkStart w:name="_Hlk111472391" w:id="65"/>
      <w:r w:rsidRPr="00FC2616">
        <w:t xml:space="preserve">Att antalet personer i arbetsmarknadsutbildning ökar till 30 000 </w:t>
      </w:r>
      <w:r w:rsidRPr="00FC2616" w:rsidR="00830581">
        <w:t xml:space="preserve">totalt </w:t>
      </w:r>
      <w:r w:rsidRPr="00FC2616">
        <w:t>per år 2025, vilket innebär en ökning med 20 000 platser</w:t>
      </w:r>
      <w:r w:rsidRPr="00FC2616" w:rsidR="00250CA2">
        <w:t xml:space="preserve"> jämfört med 2022</w:t>
      </w:r>
      <w:r w:rsidRPr="00FC2616">
        <w:t xml:space="preserve">. Ökningen </w:t>
      </w:r>
      <w:r w:rsidRPr="00FC2616" w:rsidR="00250CA2">
        <w:t xml:space="preserve">bör </w:t>
      </w:r>
      <w:r w:rsidRPr="00FC2616">
        <w:t>ske stegvis och innebär att statens kostnader ökar med 1</w:t>
      </w:r>
      <w:r w:rsidR="007F5FD5">
        <w:t> </w:t>
      </w:r>
      <w:r w:rsidRPr="00FC2616">
        <w:t>miljard kronor 2023, 2</w:t>
      </w:r>
      <w:r w:rsidR="007F5FD5">
        <w:t> </w:t>
      </w:r>
      <w:r w:rsidRPr="00FC2616">
        <w:t>miljarder kronor 2024 och 3</w:t>
      </w:r>
      <w:r w:rsidR="007F5FD5">
        <w:t> </w:t>
      </w:r>
      <w:r w:rsidRPr="00FC2616">
        <w:t>miljarder kronor 2025 och framåt.</w:t>
      </w:r>
      <w:bookmarkEnd w:id="64"/>
      <w:bookmarkEnd w:id="65"/>
      <w:r w:rsidRPr="00FC2616">
        <w:rPr>
          <w:rStyle w:val="Fotnotsreferens"/>
        </w:rPr>
        <w:footnoteReference w:id="51"/>
      </w:r>
    </w:p>
    <w:p w:rsidRPr="00FC2616" w:rsidR="009D3608" w:rsidP="00B50CBA" w:rsidRDefault="009D3608" w14:paraId="57BA3D04" w14:textId="77777777">
      <w:pPr>
        <w:pStyle w:val="Rubrik3numrerat"/>
        <w:rPr>
          <w:lang w:eastAsia="sv-SE"/>
        </w:rPr>
      </w:pPr>
      <w:bookmarkStart w:name="_Toc115276232" w:id="66"/>
      <w:bookmarkStart w:name="_Toc149814541" w:id="67"/>
      <w:r w:rsidRPr="00FC2616">
        <w:rPr>
          <w:lang w:eastAsia="sv-SE"/>
        </w:rPr>
        <w:t>Reguljär utbildning</w:t>
      </w:r>
      <w:bookmarkEnd w:id="66"/>
      <w:bookmarkEnd w:id="67"/>
    </w:p>
    <w:p w:rsidRPr="00FC2616" w:rsidR="009D3608" w:rsidP="003B7E11" w:rsidRDefault="009D3608" w14:paraId="54CAD2D3" w14:textId="4A5A2788">
      <w:pPr>
        <w:pStyle w:val="Normalutanindragellerluft"/>
      </w:pPr>
      <w:r w:rsidRPr="00FC2616">
        <w:t>Sverige är en avancerad ekonomi och kraven för att etablera sig på arbetsmarknaden är höga. En avslutad gymnasieutbildning och goda kunskaper i svenska är i princip avgörande för att få ett jobb. Många arbetslösa, i synnerhet långtidsarbetslösa, har kort utbildning och bristfälliga kunskaper i svenska. För att de ska få jobb behöver de ges möjlighet till utbildning inom ramen för arbetsmarknadspolitiken. Utbildningsinsatser bör även erbjudas arbetslösa med längre utbildning och goda kunskaper i svenska i syfte att stärka deras möjligheter att få jobb.</w:t>
      </w:r>
    </w:p>
    <w:p w:rsidRPr="00FC2616" w:rsidR="009D3608" w:rsidP="003B7E11" w:rsidRDefault="009D3608" w14:paraId="1653FFED" w14:textId="0E9AE235">
      <w:pPr>
        <w:tabs>
          <w:tab w:val="clear" w:pos="284"/>
        </w:tabs>
      </w:pPr>
      <w:r w:rsidRPr="00FC2616">
        <w:t xml:space="preserve">Vänsterpartiet vill att fler arbetslösa ska erbjudas utbildning inom det reguljära utbildningssystemet. Arbetsförmedlingen bör därför ges större möjligheter att anvisa </w:t>
      </w:r>
      <w:r w:rsidRPr="00FC2616">
        <w:lastRenderedPageBreak/>
        <w:t xml:space="preserve">arbetssökande till olika former av utbildning som stärker den enskildes möjlighet att få en anställning: </w:t>
      </w:r>
      <w:r w:rsidR="00506005">
        <w:t>g</w:t>
      </w:r>
      <w:r w:rsidRPr="00FC2616">
        <w:t xml:space="preserve">ymnasieutbildning, </w:t>
      </w:r>
      <w:proofErr w:type="spellStart"/>
      <w:r w:rsidR="00506005">
        <w:t>k</w:t>
      </w:r>
      <w:r w:rsidRPr="00FC2616">
        <w:t>omvux</w:t>
      </w:r>
      <w:proofErr w:type="spellEnd"/>
      <w:r w:rsidRPr="00FC2616">
        <w:t xml:space="preserve">, </w:t>
      </w:r>
      <w:proofErr w:type="spellStart"/>
      <w:r w:rsidRPr="00FC2616">
        <w:t>yrkesvux</w:t>
      </w:r>
      <w:proofErr w:type="spellEnd"/>
      <w:r w:rsidRPr="00FC2616">
        <w:t xml:space="preserve">, yrkeshögskola och högskola. </w:t>
      </w:r>
    </w:p>
    <w:p w:rsidRPr="00FC2616" w:rsidR="009D3608" w:rsidP="00B50CBA" w:rsidRDefault="009D3608" w14:paraId="4AB28ACB" w14:textId="77777777">
      <w:pPr>
        <w:pStyle w:val="Rubrik3numrerat"/>
        <w:rPr>
          <w:lang w:eastAsia="sv-SE"/>
        </w:rPr>
      </w:pPr>
      <w:bookmarkStart w:name="_Toc115276233" w:id="68"/>
      <w:bookmarkStart w:name="_Toc149814542" w:id="69"/>
      <w:r w:rsidRPr="00FC2616">
        <w:rPr>
          <w:lang w:eastAsia="sv-SE"/>
        </w:rPr>
        <w:t>Särskilda insatser för långtidsarbetslösa</w:t>
      </w:r>
      <w:bookmarkEnd w:id="68"/>
      <w:bookmarkEnd w:id="69"/>
    </w:p>
    <w:p w:rsidRPr="00FC2616" w:rsidR="009D3608" w:rsidP="003B7E11" w:rsidRDefault="009D3608" w14:paraId="55573290" w14:textId="2268E0A0">
      <w:pPr>
        <w:pStyle w:val="Normalutanindragellerluft"/>
      </w:pPr>
      <w:r w:rsidRPr="00FC2616">
        <w:t>Långtidsarbetslösa kräver särskilda insatser för att få jobb. 2018–2021 bedrev Arbets</w:t>
      </w:r>
      <w:r w:rsidR="00A57B4E">
        <w:softHyphen/>
      </w:r>
      <w:r w:rsidRPr="00FC2616">
        <w:t xml:space="preserve">förmedlingen en försöksverksamhet för att utveckla metoder för hur långtidsarbetslösa kan komma tillbaka i arbete: Jämställd etablering. Projektet vände sig primärt </w:t>
      </w:r>
      <w:r w:rsidR="00F1400A">
        <w:t>till</w:t>
      </w:r>
      <w:r w:rsidRPr="00FC2616">
        <w:t xml:space="preserve"> utrikesfödda kvinnor, men metoden kan tillämpas på andra grupper. Metoden, ”matchning från dag 1”, kombinerade flera parallella insatser: kartläggning av kompetens, språkutbildning, praktik och subventionerade anställningar. Arbetsförmedlingens effektutvärdering visar på mycket goda resultat. Närmare 1</w:t>
      </w:r>
      <w:r w:rsidRPr="00FC2616" w:rsidR="008122F8">
        <w:t> </w:t>
      </w:r>
      <w:r w:rsidRPr="00FC2616">
        <w:t>300 av drygt 3</w:t>
      </w:r>
      <w:r w:rsidRPr="00FC2616" w:rsidR="008122F8">
        <w:t> </w:t>
      </w:r>
      <w:r w:rsidRPr="00FC2616">
        <w:t>000 deltagare fick jobb inom bl</w:t>
      </w:r>
      <w:r w:rsidRPr="00FC2616" w:rsidR="008122F8">
        <w:t>.</w:t>
      </w:r>
      <w:r w:rsidRPr="00FC2616">
        <w:t>a</w:t>
      </w:r>
      <w:r w:rsidRPr="00FC2616" w:rsidR="008122F8">
        <w:t>.</w:t>
      </w:r>
      <w:r w:rsidRPr="00FC2616">
        <w:t xml:space="preserve"> äldre- och barnomsorg, lokalvård och restau</w:t>
      </w:r>
      <w:r w:rsidR="00B34F6A">
        <w:softHyphen/>
      </w:r>
      <w:r w:rsidRPr="00FC2616">
        <w:t>rang. Sannolikheten att projektdeltagarna fick ett arbete eller började studera var hela 30</w:t>
      </w:r>
      <w:r w:rsidR="00F1400A">
        <w:t> </w:t>
      </w:r>
      <w:r w:rsidRPr="00FC2616">
        <w:t>procent högre än för den som deltog i Arbetsförmedlingens ordinarie verksamhet. Trots goda resultat lades projektet ner våren 2021 med hänvisning till att det var alltför personalkrävande.</w:t>
      </w:r>
      <w:r w:rsidRPr="00FC2616">
        <w:rPr>
          <w:rStyle w:val="Fotnotsreferens"/>
        </w:rPr>
        <w:footnoteReference w:id="52"/>
      </w:r>
    </w:p>
    <w:p w:rsidRPr="00FC2616" w:rsidR="009D3608" w:rsidP="003B7E11" w:rsidRDefault="009D3608" w14:paraId="29D74F96" w14:textId="46A21EC8">
      <w:pPr>
        <w:tabs>
          <w:tab w:val="clear" w:pos="284"/>
        </w:tabs>
      </w:pPr>
      <w:r w:rsidRPr="00FC2616">
        <w:t>Vänsterpartiet anser att Arbetsförmedlingen bör ta fasta på de arbetssätt och metoder som fungerar. Projektet Jämställd etablering är ett sådant exempel.</w:t>
      </w:r>
    </w:p>
    <w:p w:rsidRPr="00B34F6A" w:rsidR="009D3608" w:rsidP="00B34F6A" w:rsidRDefault="009D3608" w14:paraId="4414F965" w14:textId="77777777">
      <w:pPr>
        <w:pStyle w:val="Normalutanindragellerluft"/>
        <w:spacing w:before="240"/>
        <w:rPr>
          <w:b/>
          <w:bCs/>
        </w:rPr>
      </w:pPr>
      <w:r w:rsidRPr="00B34F6A">
        <w:rPr>
          <w:b/>
          <w:bCs/>
        </w:rPr>
        <w:t>Vänsterpartiets förslag:</w:t>
      </w:r>
    </w:p>
    <w:p w:rsidRPr="00FC2616" w:rsidR="009D3608" w:rsidP="008B776B" w:rsidRDefault="009D3608" w14:paraId="73B0719A" w14:textId="77777777">
      <w:pPr>
        <w:pStyle w:val="ListaPunkt"/>
        <w:ind w:left="340" w:hanging="340"/>
      </w:pPr>
      <w:bookmarkStart w:name="_Hlk111472612" w:id="70"/>
      <w:r w:rsidRPr="00FC2616">
        <w:t>Arbetsförmedlingen bör göra projektet Jämställd etablering till en del av myndighetens ordinarie verksamhet i hela landet.</w:t>
      </w:r>
      <w:bookmarkEnd w:id="70"/>
    </w:p>
    <w:p w:rsidRPr="00FC2616" w:rsidR="009D3608" w:rsidP="006841C4" w:rsidRDefault="009D3608" w14:paraId="39ED829F" w14:textId="77777777">
      <w:pPr>
        <w:pStyle w:val="Rubrik2numrerat"/>
      </w:pPr>
      <w:bookmarkStart w:name="_Toc107588732" w:id="71"/>
      <w:bookmarkStart w:name="_Toc112409774" w:id="72"/>
      <w:bookmarkStart w:name="_Toc115276234" w:id="73"/>
      <w:bookmarkStart w:name="_Toc149814543" w:id="74"/>
      <w:r w:rsidRPr="00FC2616">
        <w:t>Arbetslöshetsförsäkringen</w:t>
      </w:r>
      <w:bookmarkEnd w:id="71"/>
      <w:bookmarkEnd w:id="72"/>
      <w:bookmarkEnd w:id="73"/>
      <w:bookmarkEnd w:id="74"/>
    </w:p>
    <w:p w:rsidRPr="00FC2616" w:rsidR="009D3608" w:rsidP="003B7E11" w:rsidRDefault="009D3608" w14:paraId="3AF5F7FD" w14:textId="40F09F32">
      <w:pPr>
        <w:pStyle w:val="Normalutanindragellerluft"/>
      </w:pPr>
      <w:r w:rsidRPr="00FC2616">
        <w:t xml:space="preserve">För att den som förlorar jobbet ska kunna få goda möjligheter att antingen ställa om eller hitta ett jobb som motsvarar </w:t>
      </w:r>
      <w:r w:rsidR="009913F6">
        <w:t>d</w:t>
      </w:r>
      <w:r w:rsidRPr="00FC2616">
        <w:t>e</w:t>
      </w:r>
      <w:r w:rsidR="009913F6">
        <w:t>n</w:t>
      </w:r>
      <w:r w:rsidRPr="00FC2616">
        <w:t>n</w:t>
      </w:r>
      <w:r w:rsidR="009913F6">
        <w:t>e</w:t>
      </w:r>
      <w:r w:rsidRPr="00FC2616">
        <w:t>s kompetens behöver arbetslöshetsförsäkringen ge en rimlig ersättning. Vänsterpartiet menar att 80</w:t>
      </w:r>
      <w:r w:rsidR="001273C2">
        <w:t> </w:t>
      </w:r>
      <w:r w:rsidRPr="00FC2616">
        <w:t xml:space="preserve">procent av inkomsten är en rimlig nivå för att säkra inkomsttryggheten och omställningsförmågan för individen. </w:t>
      </w:r>
    </w:p>
    <w:p w:rsidRPr="00FC2616" w:rsidR="00564499" w:rsidP="003B7E11" w:rsidRDefault="009D3608" w14:paraId="321E6D94" w14:textId="09F72602">
      <w:pPr>
        <w:tabs>
          <w:tab w:val="clear" w:pos="284"/>
        </w:tabs>
      </w:pPr>
      <w:bookmarkStart w:name="_Hlk115273050" w:id="75"/>
      <w:r w:rsidRPr="00FC2616">
        <w:t>Under pandemin har regeringen genomfört flera tillfälliga förstärkningar av arbetslöshetsförsäkringen. Bland annat har ersättningsnivåerna höjts och arbetsvillkoret justerats så att fler kan kvalificera sig för ersättning. De tillfälliga förstärkningarna av a</w:t>
      </w:r>
      <w:r w:rsidR="00C556C5">
        <w:noBreakHyphen/>
      </w:r>
      <w:r w:rsidRPr="00FC2616">
        <w:t>kassan innebär att knappt 4</w:t>
      </w:r>
      <w:r w:rsidR="00C556C5">
        <w:t> </w:t>
      </w:r>
      <w:r w:rsidRPr="00FC2616">
        <w:t>av 10 av de heltidsarbetande får 80</w:t>
      </w:r>
      <w:r w:rsidR="00C556C5">
        <w:t> </w:t>
      </w:r>
      <w:r w:rsidRPr="00FC2616">
        <w:t xml:space="preserve">procent av sin tidigare lön i ersättning från a-kassan. </w:t>
      </w:r>
    </w:p>
    <w:p w:rsidRPr="00FC2616" w:rsidR="009D3608" w:rsidP="003B7E11" w:rsidRDefault="00564499" w14:paraId="31AA360D" w14:textId="6E3810EF">
      <w:pPr>
        <w:tabs>
          <w:tab w:val="clear" w:pos="284"/>
        </w:tabs>
      </w:pPr>
      <w:r w:rsidRPr="00FC2616">
        <w:t>Regeringen föreslår i budgetpropositionen för 2023 att d</w:t>
      </w:r>
      <w:r w:rsidRPr="00FC2616" w:rsidR="009D3608">
        <w:t xml:space="preserve">e tillfälliga förstärkningarna </w:t>
      </w:r>
      <w:r w:rsidRPr="00FC2616">
        <w:t>ska finnas kvar</w:t>
      </w:r>
      <w:r w:rsidRPr="00FC2616" w:rsidR="009D3608">
        <w:t>.</w:t>
      </w:r>
      <w:r w:rsidRPr="00FC2616">
        <w:t xml:space="preserve"> Det har beskrivits som en satsning på arbetslöshetsförsäkringen, men i praktiken innebär det en fortsatt urholkning av ersättningsnivåerna</w:t>
      </w:r>
      <w:r w:rsidRPr="00FC2616" w:rsidR="00DF235E">
        <w:t>.</w:t>
      </w:r>
      <w:r w:rsidRPr="00FC2616">
        <w:t xml:space="preserve"> </w:t>
      </w:r>
      <w:r w:rsidRPr="00FC2616" w:rsidR="00DF235E">
        <w:t>E</w:t>
      </w:r>
      <w:r w:rsidRPr="00FC2616">
        <w:t xml:space="preserve">ftersom </w:t>
      </w:r>
      <w:r w:rsidRPr="00FC2616" w:rsidR="00DD441A">
        <w:t>golv och tak</w:t>
      </w:r>
      <w:r w:rsidRPr="00FC2616">
        <w:t xml:space="preserve"> anges i </w:t>
      </w:r>
      <w:r w:rsidRPr="00FC2616" w:rsidR="00DD441A">
        <w:t>nominella</w:t>
      </w:r>
      <w:r w:rsidRPr="00FC2616">
        <w:t xml:space="preserve"> belopp</w:t>
      </w:r>
      <w:r w:rsidRPr="00FC2616" w:rsidR="00DD441A">
        <w:t xml:space="preserve"> och därmed varken följer pris- eller löneutvecklingen</w:t>
      </w:r>
      <w:r w:rsidRPr="00FC2616" w:rsidR="00DF235E">
        <w:t xml:space="preserve"> innebär det en årlig urholkning i takt med att lönerna stiger.</w:t>
      </w:r>
      <w:r w:rsidRPr="00FC2616">
        <w:t xml:space="preserve"> </w:t>
      </w:r>
      <w:r w:rsidRPr="00FC2616" w:rsidR="00DF235E">
        <w:t>Detta</w:t>
      </w:r>
      <w:r w:rsidRPr="00FC2616">
        <w:t xml:space="preserve"> illustreras i figur </w:t>
      </w:r>
      <w:r w:rsidRPr="00FC2616" w:rsidR="00D52509">
        <w:t>10</w:t>
      </w:r>
      <w:r w:rsidRPr="00FC2616">
        <w:t xml:space="preserve"> nedan. </w:t>
      </w:r>
    </w:p>
    <w:p w:rsidR="00B2297E" w:rsidP="00B2297E" w:rsidRDefault="00564499" w14:paraId="0411C5CC" w14:textId="77777777">
      <w:pPr>
        <w:pStyle w:val="Tabellrubrik"/>
      </w:pPr>
      <w:r w:rsidRPr="00B2297E">
        <w:lastRenderedPageBreak/>
        <w:t xml:space="preserve">Figur </w:t>
      </w:r>
      <w:r w:rsidRPr="00B2297E" w:rsidR="00D52509">
        <w:t>10</w:t>
      </w:r>
      <w:r w:rsidRPr="00B2297E">
        <w:t xml:space="preserve"> Andel löntagare som får 80 procent av </w:t>
      </w:r>
      <w:r w:rsidRPr="00B2297E" w:rsidR="002E1620">
        <w:t xml:space="preserve">sin </w:t>
      </w:r>
      <w:r w:rsidRPr="00B2297E">
        <w:t>tidigare inkomst från a-kassan</w:t>
      </w:r>
    </w:p>
    <w:p w:rsidRPr="00B2297E" w:rsidR="00564499" w:rsidP="00B2297E" w:rsidRDefault="00564499" w14:paraId="027DF40A" w14:textId="6D522992">
      <w:pPr>
        <w:pStyle w:val="Normalutanindragellerluft"/>
      </w:pPr>
      <w:r w:rsidRPr="00B2297E">
        <w:rPr>
          <w:noProof/>
        </w:rPr>
        <w:drawing>
          <wp:inline distT="0" distB="0" distL="0" distR="0" wp14:anchorId="5B21B943" wp14:editId="66744CD2">
            <wp:extent cx="5400040" cy="2702560"/>
            <wp:effectExtent l="0" t="0" r="10160" b="2540"/>
            <wp:docPr id="10" name="Diagram 10" descr="">
              <a:extLst xmlns:a="http://schemas.openxmlformats.org/drawingml/2006/main">
                <a:ext uri="{FF2B5EF4-FFF2-40B4-BE49-F238E27FC236}">
                  <a16:creationId xmlns:a16="http://schemas.microsoft.com/office/drawing/2014/main" id="{BD7F216A-A464-4E4D-AE65-96FC3D299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bookmarkEnd w:id="75"/>
    <w:p w:rsidRPr="00B2297E" w:rsidR="00564499" w:rsidP="00B2297E" w:rsidRDefault="00564499" w14:paraId="3FCFC49A" w14:textId="09A4B833">
      <w:pPr>
        <w:pStyle w:val="Klla"/>
      </w:pPr>
      <w:r w:rsidRPr="00B2297E">
        <w:t>Källa: SCB</w:t>
      </w:r>
      <w:r w:rsidRPr="00B2297E" w:rsidR="007C1118">
        <w:t>.</w:t>
      </w:r>
    </w:p>
    <w:p w:rsidRPr="00FC2616" w:rsidR="00564499" w:rsidP="00B2297E" w:rsidRDefault="0067519F" w14:paraId="238D2655" w14:textId="7D0CD21D">
      <w:pPr>
        <w:pStyle w:val="Normalutanindragellerluft"/>
        <w:spacing w:before="150"/>
      </w:pPr>
      <w:r w:rsidRPr="00FC2616">
        <w:t xml:space="preserve">Figur </w:t>
      </w:r>
      <w:r w:rsidRPr="00FC2616" w:rsidR="00D52509">
        <w:t>10</w:t>
      </w:r>
      <w:r w:rsidRPr="00FC2616">
        <w:t xml:space="preserve"> ovan visar hur stor andel av löntagarna som får </w:t>
      </w:r>
      <w:r w:rsidRPr="00FC2616" w:rsidR="007C5614">
        <w:t>80</w:t>
      </w:r>
      <w:r w:rsidR="00550FBD">
        <w:t> </w:t>
      </w:r>
      <w:r w:rsidRPr="00FC2616" w:rsidR="007C5614">
        <w:t>procent av sin tidigare inkomst</w:t>
      </w:r>
      <w:r w:rsidRPr="00FC2616" w:rsidR="00B0213D">
        <w:t xml:space="preserve"> </w:t>
      </w:r>
      <w:r w:rsidRPr="00FC2616" w:rsidR="007C5614">
        <w:t xml:space="preserve">i </w:t>
      </w:r>
      <w:r w:rsidRPr="00FC2616">
        <w:t xml:space="preserve">ersättning från arbetslöshetsförsäkringen. </w:t>
      </w:r>
      <w:r w:rsidRPr="00FC2616" w:rsidR="007C5614">
        <w:t>För</w:t>
      </w:r>
      <w:r w:rsidRPr="00FC2616">
        <w:t xml:space="preserve"> de första hundra dagarna är det alltså drygt hälften av löntagarna som är försäkrade i den omfattningen och efter de första hundra dagarna rör d</w:t>
      </w:r>
      <w:r w:rsidR="00E1230C">
        <w:t>et</w:t>
      </w:r>
      <w:r w:rsidRPr="00FC2616">
        <w:t xml:space="preserve"> sig om ca</w:t>
      </w:r>
      <w:r w:rsidR="00E0468C">
        <w:t> </w:t>
      </w:r>
      <w:r w:rsidRPr="00FC2616">
        <w:t>30</w:t>
      </w:r>
      <w:r w:rsidR="00E0468C">
        <w:t> </w:t>
      </w:r>
      <w:r w:rsidRPr="00FC2616">
        <w:t xml:space="preserve">procent. </w:t>
      </w:r>
      <w:r w:rsidRPr="00FC2616" w:rsidR="00787E64">
        <w:t xml:space="preserve">De förstärkningar som genomfördes med anledning av pandemin synliggörs av att kurvorna pekar uppåt 2020. </w:t>
      </w:r>
      <w:r w:rsidRPr="00FC2616">
        <w:t xml:space="preserve">Som framgår av figuren </w:t>
      </w:r>
      <w:r w:rsidRPr="00FC2616" w:rsidR="004F66B9">
        <w:t>minskade dock denna andel redan 2021 och ytterligare</w:t>
      </w:r>
      <w:r w:rsidRPr="00FC2616" w:rsidR="00B0213D">
        <w:t xml:space="preserve"> </w:t>
      </w:r>
      <w:r w:rsidRPr="00FC2616" w:rsidR="004F66B9">
        <w:t>2022. Nästa år</w:t>
      </w:r>
      <w:r w:rsidRPr="00FC2616" w:rsidR="00B0213D">
        <w:t xml:space="preserve"> </w:t>
      </w:r>
      <w:r w:rsidRPr="00FC2616">
        <w:t>kommer andel</w:t>
      </w:r>
      <w:r w:rsidRPr="00FC2616" w:rsidR="00787E64">
        <w:t>en löntagare som får motsvarande 80</w:t>
      </w:r>
      <w:r w:rsidR="00063DDE">
        <w:t> </w:t>
      </w:r>
      <w:r w:rsidRPr="00FC2616" w:rsidR="00787E64">
        <w:t xml:space="preserve">procent av sin tidigare inkomst </w:t>
      </w:r>
      <w:r w:rsidRPr="00FC2616">
        <w:t>a</w:t>
      </w:r>
      <w:r w:rsidRPr="00FC2616" w:rsidR="00787E64">
        <w:t>t</w:t>
      </w:r>
      <w:r w:rsidRPr="00FC2616">
        <w:t xml:space="preserve">t minska </w:t>
      </w:r>
      <w:r w:rsidRPr="00FC2616" w:rsidR="00787E64">
        <w:t>ytterligare</w:t>
      </w:r>
      <w:r w:rsidRPr="00FC2616">
        <w:t>, varför det är svårt att beskriva regeringens förslag som en satsning.</w:t>
      </w:r>
    </w:p>
    <w:p w:rsidRPr="00FC2616" w:rsidR="009D3608" w:rsidP="003B7E11" w:rsidRDefault="009D3608" w14:paraId="2C16326C" w14:textId="300FCD76">
      <w:pPr>
        <w:tabs>
          <w:tab w:val="clear" w:pos="284"/>
        </w:tabs>
      </w:pPr>
      <w:r w:rsidRPr="00FC2616">
        <w:t>Vänsterpartiets mål är att 80</w:t>
      </w:r>
      <w:r w:rsidR="00065DBD">
        <w:t> </w:t>
      </w:r>
      <w:r w:rsidRPr="00FC2616">
        <w:t>procent av löntagarna ska få 80</w:t>
      </w:r>
      <w:r w:rsidR="00065DBD">
        <w:t> </w:t>
      </w:r>
      <w:r w:rsidRPr="00FC2616">
        <w:t>procent av sin tidigare lön vid arbetslöshet. Vi vill därför höja den högsta dagpenningen och grundbeloppet (tak och golv), indexera ersättningsbeloppen till löneutvecklingen, höja ersättningsnivån till 80</w:t>
      </w:r>
      <w:r w:rsidR="00AC3FD4">
        <w:t> </w:t>
      </w:r>
      <w:r w:rsidRPr="00FC2616">
        <w:t xml:space="preserve">procent för hela ersättningsperioden samt för tid med aktivitetsstöd, förbättra kvalificerings- och ersättningsvillkoren och återinföra studerandevillkoret. </w:t>
      </w:r>
    </w:p>
    <w:p w:rsidRPr="00FC2616" w:rsidR="009D3608" w:rsidP="00B34F6A" w:rsidRDefault="009D3608" w14:paraId="6A9931CC" w14:textId="77777777">
      <w:bookmarkStart w:name="_Hlk116392842" w:id="76"/>
      <w:r w:rsidRPr="00FC2616">
        <w:t>Reformerna ska ske successivt enligt följande modell:</w:t>
      </w:r>
    </w:p>
    <w:p w:rsidRPr="00FC2616" w:rsidR="00AD60F7" w:rsidP="00B2297E" w:rsidRDefault="00AD60F7" w14:paraId="231193E9" w14:textId="476EA889">
      <w:pPr>
        <w:pStyle w:val="ListaNummer"/>
      </w:pPr>
      <w:bookmarkStart w:name="_Hlk110944133" w:id="77"/>
      <w:r w:rsidRPr="00FC2616">
        <w:t>2023 permanentas de tillfälliga kvalificerings- och ersättningsregler som gällt under pandemin och karensdagarna i a-kassan avskaffas. Ersättningsnivån ändras så att den uppgår till 80</w:t>
      </w:r>
      <w:r w:rsidR="0087550B">
        <w:t> </w:t>
      </w:r>
      <w:r w:rsidRPr="00FC2616">
        <w:t>procent av den tidigare lönen under hela ersättningsperioden, även för dem med aktivitetsstöd. Taket i a-kassan höjs för hela ersättningsperioden, även för dem med aktivitetsstöd så att 80</w:t>
      </w:r>
      <w:r w:rsidR="00515BF0">
        <w:t> </w:t>
      </w:r>
      <w:r w:rsidRPr="00FC2616">
        <w:t>procent av löntagarna hamnar under det. Samma år höjs grundbeloppet och ersättningarna i aktivitetsstödet i relation med höjningen av taket.</w:t>
      </w:r>
    </w:p>
    <w:p w:rsidRPr="00FC2616" w:rsidR="00AD60F7" w:rsidP="00B2297E" w:rsidRDefault="00AD60F7" w14:paraId="746410CE" w14:textId="778BC80E">
      <w:pPr>
        <w:pStyle w:val="ListaNummer"/>
      </w:pPr>
      <w:r w:rsidRPr="00FC2616">
        <w:t>2024</w:t>
      </w:r>
      <w:r w:rsidRPr="00FC2616" w:rsidR="009D3608">
        <w:t xml:space="preserve"> återinförs studerandevillkoret</w:t>
      </w:r>
      <w:r w:rsidR="007058D7">
        <w:t>.</w:t>
      </w:r>
      <w:r w:rsidRPr="00FC2616">
        <w:t xml:space="preserve"> </w:t>
      </w:r>
    </w:p>
    <w:p w:rsidRPr="00FC2616" w:rsidR="00AD60F7" w:rsidP="00B2297E" w:rsidRDefault="00AD60F7" w14:paraId="3DE5B3C2" w14:textId="67A6617A">
      <w:pPr>
        <w:pStyle w:val="ListaNummer"/>
      </w:pPr>
      <w:r w:rsidRPr="00FC2616">
        <w:t xml:space="preserve">2025 inkomstindexeras ersättningsnivåerna i arbetslöshetsförsäkringen. </w:t>
      </w:r>
    </w:p>
    <w:bookmarkEnd w:id="76"/>
    <w:bookmarkEnd w:id="77"/>
    <w:p w:rsidRPr="00FC2616" w:rsidR="009D3608" w:rsidP="00A23987" w:rsidRDefault="009D3608" w14:paraId="0EC6B27B" w14:textId="1021CC42">
      <w:pPr>
        <w:pStyle w:val="Normalutanindragellerluft"/>
      </w:pPr>
      <w:r w:rsidRPr="00FC2616">
        <w:t>De tillfälliga kvalificerings- och ersättningsregler som gällt under pandemin innebär att taket i a-kassan uppgår till 1</w:t>
      </w:r>
      <w:r w:rsidRPr="00FC2616" w:rsidR="007529D3">
        <w:t> </w:t>
      </w:r>
      <w:r w:rsidRPr="00FC2616">
        <w:t>200 kronor per dag under de 100 första dagarna och där</w:t>
      </w:r>
      <w:r w:rsidR="0090762B">
        <w:softHyphen/>
      </w:r>
      <w:r w:rsidRPr="00FC2616">
        <w:t>efter 1</w:t>
      </w:r>
      <w:r w:rsidRPr="00FC2616" w:rsidR="007529D3">
        <w:t> </w:t>
      </w:r>
      <w:r w:rsidRPr="00FC2616">
        <w:t xml:space="preserve">000 kronor per dag samt att ersättning enligt grundförsäkringen uppgår till 510 kronor per dag och den tillfälligt lägsta nivån för grundbeloppet på 255 kronor bibehålls. </w:t>
      </w:r>
    </w:p>
    <w:p w:rsidRPr="00FC2616" w:rsidR="009D3608" w:rsidP="009D3608" w:rsidRDefault="00AD60F7" w14:paraId="4ED91D44" w14:textId="0EA9C517">
      <w:pPr>
        <w:tabs>
          <w:tab w:val="clear" w:pos="284"/>
        </w:tabs>
      </w:pPr>
      <w:r w:rsidRPr="00FC2616">
        <w:t>Vänsterpartiets förslag om att t</w:t>
      </w:r>
      <w:r w:rsidRPr="00FC2616" w:rsidR="009D3608">
        <w:t>aket</w:t>
      </w:r>
      <w:r w:rsidRPr="00FC2616">
        <w:t xml:space="preserve"> i arbetslöshetsförsäkringen </w:t>
      </w:r>
      <w:r w:rsidRPr="00FC2616" w:rsidR="009D3608">
        <w:t>ska uppgå till en nivå som innebär att 80</w:t>
      </w:r>
      <w:r w:rsidR="00112359">
        <w:t> </w:t>
      </w:r>
      <w:r w:rsidRPr="00FC2616" w:rsidR="009D3608">
        <w:t xml:space="preserve">procent av löntagarna har inkomster under det </w:t>
      </w:r>
      <w:r w:rsidRPr="00FC2616">
        <w:t xml:space="preserve">innebär att </w:t>
      </w:r>
      <w:r w:rsidRPr="00FC2616" w:rsidR="009D3608">
        <w:t xml:space="preserve">det höjs till </w:t>
      </w:r>
      <w:r w:rsidRPr="00FC2616" w:rsidR="009D3608">
        <w:lastRenderedPageBreak/>
        <w:t>1</w:t>
      </w:r>
      <w:r w:rsidRPr="00FC2616" w:rsidR="007529D3">
        <w:t> </w:t>
      </w:r>
      <w:r w:rsidRPr="00FC2616" w:rsidR="009D3608">
        <w:t xml:space="preserve">714 kronor per dag. </w:t>
      </w:r>
      <w:r w:rsidRPr="00FC2616">
        <w:t xml:space="preserve">Taket i </w:t>
      </w:r>
      <w:r w:rsidRPr="00FC2616" w:rsidR="009D3608">
        <w:t xml:space="preserve">grundförsäkringen </w:t>
      </w:r>
      <w:r w:rsidRPr="00FC2616">
        <w:t xml:space="preserve">höjs till </w:t>
      </w:r>
      <w:r w:rsidRPr="00FC2616" w:rsidR="009D3608">
        <w:t>688 kronor per dag och grund</w:t>
      </w:r>
      <w:r w:rsidR="0090762B">
        <w:softHyphen/>
      </w:r>
      <w:r w:rsidRPr="00FC2616" w:rsidR="009D3608">
        <w:t xml:space="preserve">beloppet </w:t>
      </w:r>
      <w:r w:rsidRPr="00FC2616">
        <w:t xml:space="preserve">till </w:t>
      </w:r>
      <w:r w:rsidRPr="00FC2616" w:rsidR="009D3608">
        <w:t>344 kronor per dag. Till följd av våra förslag får deltagarna i de arbets</w:t>
      </w:r>
      <w:r w:rsidR="0090762B">
        <w:softHyphen/>
      </w:r>
      <w:r w:rsidRPr="00FC2616" w:rsidR="009D3608">
        <w:t xml:space="preserve">marknadsåtgärder vi satsar på en högre ersättning, </w:t>
      </w:r>
      <w:r w:rsidR="00112359">
        <w:t xml:space="preserve">och </w:t>
      </w:r>
      <w:r w:rsidRPr="00FC2616" w:rsidR="009D3608">
        <w:t>vi underlättar därmed omställningen.</w:t>
      </w:r>
    </w:p>
    <w:p w:rsidRPr="00FC2616" w:rsidR="008F76A0" w:rsidRDefault="008F76A0" w14:paraId="7E6D1F34" w14:textId="2CD2AAB7">
      <w:pPr>
        <w:tabs>
          <w:tab w:val="clear" w:pos="284"/>
        </w:tabs>
      </w:pPr>
      <w:r w:rsidRPr="00FC2616">
        <w:t xml:space="preserve">Förslagen innebär att en medelinkomsttagare som varit arbetslös i över </w:t>
      </w:r>
      <w:r w:rsidRPr="00FC2616" w:rsidR="00EC27E5">
        <w:t>100</w:t>
      </w:r>
      <w:r w:rsidRPr="00FC2616">
        <w:t xml:space="preserve"> dagar får drygt 4</w:t>
      </w:r>
      <w:r w:rsidRPr="00FC2616" w:rsidR="00EC27E5">
        <w:t> </w:t>
      </w:r>
      <w:r w:rsidRPr="00FC2616">
        <w:t>000 kronor mer per månad. Den som har ersättning enligt grundförsäkringen får mellan omkring 2</w:t>
      </w:r>
      <w:r w:rsidRPr="00FC2616" w:rsidR="00EC27E5">
        <w:t> </w:t>
      </w:r>
      <w:r w:rsidRPr="00FC2616">
        <w:t>000 och 4</w:t>
      </w:r>
      <w:r w:rsidRPr="00FC2616" w:rsidR="00EC27E5">
        <w:t> </w:t>
      </w:r>
      <w:r w:rsidRPr="00FC2616">
        <w:t>000 kronor mer per månad.</w:t>
      </w:r>
    </w:p>
    <w:p w:rsidRPr="00FC2616" w:rsidR="003B7E11" w:rsidP="009D3608" w:rsidRDefault="00AD60F7" w14:paraId="736BFFD2" w14:textId="6642AB8A">
      <w:pPr>
        <w:tabs>
          <w:tab w:val="clear" w:pos="284"/>
        </w:tabs>
      </w:pPr>
      <w:r w:rsidRPr="00FC2616">
        <w:rPr>
          <w:bCs/>
        </w:rPr>
        <w:t>Vänsterpartiets föreslagna förstärkning av arbetslöshetsförsäkringen försvagar de offentliga finanserna med</w:t>
      </w:r>
      <w:r w:rsidRPr="00FC2616" w:rsidR="00C62D8A">
        <w:rPr>
          <w:bCs/>
        </w:rPr>
        <w:t xml:space="preserve"> mellan 3,2</w:t>
      </w:r>
      <w:r w:rsidR="009D046F">
        <w:rPr>
          <w:bCs/>
        </w:rPr>
        <w:t xml:space="preserve"> och </w:t>
      </w:r>
      <w:r w:rsidRPr="00FC2616" w:rsidR="00C62D8A">
        <w:rPr>
          <w:bCs/>
        </w:rPr>
        <w:t xml:space="preserve">4,8 miljarder kronor 2023–2025, varav återinförandet av studerandevillkoret uppskattas stå för </w:t>
      </w:r>
      <w:r w:rsidRPr="00FC2616" w:rsidR="00EC27E5">
        <w:rPr>
          <w:bCs/>
        </w:rPr>
        <w:t>1</w:t>
      </w:r>
      <w:r w:rsidR="00CD2F37">
        <w:rPr>
          <w:bCs/>
        </w:rPr>
        <w:t> </w:t>
      </w:r>
      <w:r w:rsidRPr="00FC2616" w:rsidR="00C62D8A">
        <w:rPr>
          <w:bCs/>
        </w:rPr>
        <w:t>miljard kronor när det införs 2024.</w:t>
      </w:r>
      <w:r w:rsidRPr="00FC2616" w:rsidR="000409A3">
        <w:rPr>
          <w:rStyle w:val="Fotnotsreferens"/>
          <w:bCs/>
        </w:rPr>
        <w:footnoteReference w:id="53"/>
      </w:r>
    </w:p>
    <w:p w:rsidRPr="00FC2616" w:rsidR="009D3608" w:rsidP="00EF6324" w:rsidRDefault="009D3608" w14:paraId="1D282EDE" w14:textId="77777777">
      <w:pPr>
        <w:pStyle w:val="Normalutanindragellerluft"/>
      </w:pPr>
      <w:r w:rsidRPr="00FC2616">
        <w:t>Vänsterpartiets förslag:</w:t>
      </w:r>
    </w:p>
    <w:p w:rsidRPr="00FC2616" w:rsidR="00F27B27" w:rsidP="00B2297E" w:rsidRDefault="009D3608" w14:paraId="1D6732F7" w14:textId="118C2347">
      <w:pPr>
        <w:pStyle w:val="ListaPunkt"/>
        <w:ind w:left="340" w:hanging="340"/>
      </w:pPr>
      <w:bookmarkStart w:name="_Hlk110944148" w:id="78"/>
      <w:r w:rsidRPr="00FC2616">
        <w:t xml:space="preserve">Reformera </w:t>
      </w:r>
      <w:r w:rsidR="008500E0">
        <w:t>a</w:t>
      </w:r>
      <w:r w:rsidRPr="00FC2616">
        <w:t>-kassan enligt beskrivningen ovan.</w:t>
      </w:r>
      <w:bookmarkEnd w:id="78"/>
    </w:p>
    <w:p w:rsidRPr="00FC2616" w:rsidR="00D6559C" w:rsidP="00D6559C" w:rsidRDefault="00D6559C" w14:paraId="5F948413" w14:textId="77777777">
      <w:pPr>
        <w:pStyle w:val="Rubrik2numrerat"/>
        <w:rPr>
          <w:lang w:eastAsia="sv-SE"/>
        </w:rPr>
      </w:pPr>
      <w:bookmarkStart w:name="_Toc149814544" w:id="79"/>
      <w:r w:rsidRPr="00FC2616">
        <w:rPr>
          <w:lang w:eastAsia="sv-SE"/>
        </w:rPr>
        <w:t>En positiv arbetslinje kräver en stark socialförsäkring</w:t>
      </w:r>
      <w:bookmarkEnd w:id="79"/>
    </w:p>
    <w:p w:rsidRPr="00FC2616" w:rsidR="00D6559C" w:rsidP="00CA63C0" w:rsidRDefault="00D6559C" w14:paraId="72C5A845" w14:textId="78E30CD4">
      <w:pPr>
        <w:pStyle w:val="Normalutanindragellerluft"/>
        <w:rPr>
          <w:lang w:eastAsia="sv-SE"/>
        </w:rPr>
      </w:pPr>
      <w:r w:rsidRPr="00FC2616">
        <w:rPr>
          <w:lang w:eastAsia="sv-SE"/>
        </w:rPr>
        <w:t>Socialförsäkringarna har urholkats under flera års tid. Det gäller inte minst pensionerna och sjukförsäkringen, inkluderat arbetsskadeförsäkringen, men också flera av de ersättningar och bidrag som tillhör familjepolitiken. Inspektionen för socialförsäkringen (ISF) har analyserat utvecklingen av socialförsäkringsförmånerna under de senaste 30</w:t>
      </w:r>
      <w:r w:rsidR="007F5FD5">
        <w:rPr>
          <w:lang w:eastAsia="sv-SE"/>
        </w:rPr>
        <w:t> </w:t>
      </w:r>
      <w:r w:rsidRPr="00FC2616">
        <w:rPr>
          <w:lang w:eastAsia="sv-SE"/>
        </w:rPr>
        <w:t>åren.</w:t>
      </w:r>
      <w:r w:rsidRPr="00FC2616">
        <w:rPr>
          <w:rStyle w:val="Fotnotsreferens"/>
          <w:lang w:eastAsia="sv-SE"/>
        </w:rPr>
        <w:footnoteReference w:id="54"/>
      </w:r>
      <w:r w:rsidRPr="00FC2616">
        <w:rPr>
          <w:lang w:eastAsia="sv-SE"/>
        </w:rPr>
        <w:t xml:space="preserve"> Inspektionen kom </w:t>
      </w:r>
      <w:r w:rsidRPr="00FC2616" w:rsidR="006D2652">
        <w:rPr>
          <w:lang w:eastAsia="sv-SE"/>
        </w:rPr>
        <w:t>bl.a.</w:t>
      </w:r>
      <w:r w:rsidRPr="00FC2616">
        <w:rPr>
          <w:lang w:eastAsia="sv-SE"/>
        </w:rPr>
        <w:t xml:space="preserve"> fram till att 14</w:t>
      </w:r>
      <w:r w:rsidR="007F5FD5">
        <w:rPr>
          <w:lang w:eastAsia="sv-SE"/>
        </w:rPr>
        <w:t> </w:t>
      </w:r>
      <w:r w:rsidRPr="00FC2616">
        <w:rPr>
          <w:lang w:eastAsia="sv-SE"/>
        </w:rPr>
        <w:t>procent av männen och 2,4</w:t>
      </w:r>
      <w:r w:rsidR="007F5FD5">
        <w:rPr>
          <w:lang w:eastAsia="sv-SE"/>
        </w:rPr>
        <w:t> </w:t>
      </w:r>
      <w:r w:rsidRPr="00FC2616">
        <w:rPr>
          <w:lang w:eastAsia="sv-SE"/>
        </w:rPr>
        <w:t>procent av kvinnorna hade inkomster över inkomsttaket i sjukpenningen 1992. 2017 var mot</w:t>
      </w:r>
      <w:r w:rsidR="0090762B">
        <w:rPr>
          <w:lang w:eastAsia="sv-SE"/>
        </w:rPr>
        <w:softHyphen/>
      </w:r>
      <w:r w:rsidRPr="00FC2616">
        <w:rPr>
          <w:lang w:eastAsia="sv-SE"/>
        </w:rPr>
        <w:t xml:space="preserve">svarande andelar 57,4 procent av männen och 37,8 procent av kvinnorna. När riksdagen beslutade att höja det allmänna barnbidraget 2018 var det </w:t>
      </w:r>
      <w:r w:rsidR="00147F9E">
        <w:rPr>
          <w:lang w:eastAsia="sv-SE"/>
        </w:rPr>
        <w:t xml:space="preserve">den </w:t>
      </w:r>
      <w:r w:rsidRPr="00FC2616">
        <w:rPr>
          <w:lang w:eastAsia="sv-SE"/>
        </w:rPr>
        <w:t>första gången sedan 2006. Bidragets faktiska värde hade då successivt sjunkit med 11</w:t>
      </w:r>
      <w:r w:rsidR="007F5FD5">
        <w:rPr>
          <w:lang w:eastAsia="sv-SE"/>
        </w:rPr>
        <w:t> </w:t>
      </w:r>
      <w:r w:rsidRPr="00FC2616">
        <w:rPr>
          <w:lang w:eastAsia="sv-SE"/>
        </w:rPr>
        <w:t>procent.</w:t>
      </w:r>
    </w:p>
    <w:p w:rsidRPr="00FC2616" w:rsidR="00D6559C" w:rsidP="00D6559C" w:rsidRDefault="00D6559C" w14:paraId="47F1B710" w14:textId="7BDCC52E">
      <w:pPr>
        <w:rPr>
          <w:lang w:eastAsia="sv-SE"/>
        </w:rPr>
      </w:pPr>
      <w:r w:rsidRPr="00FC2616">
        <w:rPr>
          <w:lang w:eastAsia="sv-SE"/>
        </w:rPr>
        <w:t>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w:t>
      </w:r>
      <w:r w:rsidR="005029EC">
        <w:rPr>
          <w:lang w:eastAsia="sv-SE"/>
        </w:rPr>
        <w:t>,</w:t>
      </w:r>
      <w:r w:rsidRPr="00FC2616">
        <w:rPr>
          <w:lang w:eastAsia="sv-SE"/>
        </w:rPr>
        <w:t xml:space="preserve"> ska inkomstindexeras på sikt. Inkomstindexeringen ska börja tillämpas från 2026, efter att vi höjt nivåerna i flera ersättningssystem. Kostnadsrelaterade ersättningar såsom barnbidrag och bostadsbidrag ska prisindexeras och fasta belopp ska endast användas undantagsvis. Vidare anser vi att ersättningsnivåer och tak bör utformas så att 80</w:t>
      </w:r>
      <w:r w:rsidR="007F5FD5">
        <w:rPr>
          <w:lang w:eastAsia="sv-SE"/>
        </w:rPr>
        <w:t> </w:t>
      </w:r>
      <w:r w:rsidRPr="00FC2616">
        <w:rPr>
          <w:lang w:eastAsia="sv-SE"/>
        </w:rPr>
        <w:t>procent av löntagarna får 80</w:t>
      </w:r>
      <w:r w:rsidR="007F5FD5">
        <w:rPr>
          <w:lang w:eastAsia="sv-SE"/>
        </w:rPr>
        <w:t> </w:t>
      </w:r>
      <w:r w:rsidRPr="00FC2616">
        <w:rPr>
          <w:lang w:eastAsia="sv-SE"/>
        </w:rPr>
        <w:t xml:space="preserve">procent av lönen i ersättning. Dessa principer vägleder Vänsterpartiets politik avseende tak och nivåer på ersättningar inom socialförsäkringen. </w:t>
      </w:r>
    </w:p>
    <w:p w:rsidRPr="00FC2616" w:rsidR="00D6559C" w:rsidP="00D6559C" w:rsidRDefault="00D6559C" w14:paraId="1F08B9AE" w14:textId="3095105D">
      <w:pPr>
        <w:rPr>
          <w:lang w:eastAsia="sv-SE"/>
        </w:rPr>
      </w:pPr>
      <w:r w:rsidRPr="00FC2616">
        <w:rPr>
          <w:lang w:eastAsia="sv-SE"/>
        </w:rPr>
        <w:t>Den 1</w:t>
      </w:r>
      <w:r w:rsidR="00CF171B">
        <w:rPr>
          <w:lang w:eastAsia="sv-SE"/>
        </w:rPr>
        <w:t> </w:t>
      </w:r>
      <w:r w:rsidRPr="00FC2616">
        <w:rPr>
          <w:lang w:eastAsia="sv-SE"/>
        </w:rPr>
        <w:t>januari 2022 höjdes taket i sjukpenningen till 10</w:t>
      </w:r>
      <w:r w:rsidR="00BD3A14">
        <w:rPr>
          <w:lang w:eastAsia="sv-SE"/>
        </w:rPr>
        <w:t> </w:t>
      </w:r>
      <w:r w:rsidRPr="00FC2616">
        <w:rPr>
          <w:lang w:eastAsia="sv-SE"/>
        </w:rPr>
        <w:t>prisbasbelopp. Taket i sjukersättningen ligger på 8</w:t>
      </w:r>
      <w:r w:rsidR="00BD3A14">
        <w:rPr>
          <w:lang w:eastAsia="sv-SE"/>
        </w:rPr>
        <w:t> </w:t>
      </w:r>
      <w:r w:rsidRPr="00FC2616">
        <w:rPr>
          <w:lang w:eastAsia="sv-SE"/>
        </w:rPr>
        <w:t>prisbasbelopp, medan föräldraförsäkringen ligger på 10</w:t>
      </w:r>
      <w:r w:rsidR="00BD3A14">
        <w:rPr>
          <w:lang w:eastAsia="sv-SE"/>
        </w:rPr>
        <w:t> </w:t>
      </w:r>
      <w:r w:rsidRPr="00FC2616">
        <w:rPr>
          <w:lang w:eastAsia="sv-SE"/>
        </w:rPr>
        <w:t>prisbasbelopp och graviditetspenning</w:t>
      </w:r>
      <w:r w:rsidR="00045F88">
        <w:rPr>
          <w:lang w:eastAsia="sv-SE"/>
        </w:rPr>
        <w:t>en</w:t>
      </w:r>
      <w:r w:rsidRPr="00FC2616">
        <w:rPr>
          <w:lang w:eastAsia="sv-SE"/>
        </w:rPr>
        <w:t xml:space="preserve"> och </w:t>
      </w:r>
      <w:r w:rsidR="00045F88">
        <w:rPr>
          <w:lang w:eastAsia="sv-SE"/>
        </w:rPr>
        <w:t xml:space="preserve">den </w:t>
      </w:r>
      <w:r w:rsidRPr="00FC2616">
        <w:rPr>
          <w:lang w:eastAsia="sv-SE"/>
        </w:rPr>
        <w:t>tillfällig</w:t>
      </w:r>
      <w:r w:rsidR="00045F88">
        <w:rPr>
          <w:lang w:eastAsia="sv-SE"/>
        </w:rPr>
        <w:t>a</w:t>
      </w:r>
      <w:r w:rsidRPr="00FC2616">
        <w:rPr>
          <w:lang w:eastAsia="sv-SE"/>
        </w:rPr>
        <w:t xml:space="preserve"> föräldrapenning</w:t>
      </w:r>
      <w:r w:rsidR="00045F88">
        <w:rPr>
          <w:lang w:eastAsia="sv-SE"/>
        </w:rPr>
        <w:t>en</w:t>
      </w:r>
      <w:r w:rsidRPr="00FC2616">
        <w:rPr>
          <w:lang w:eastAsia="sv-SE"/>
        </w:rPr>
        <w:t xml:space="preserve"> (</w:t>
      </w:r>
      <w:proofErr w:type="spellStart"/>
      <w:r w:rsidRPr="00FC2616">
        <w:rPr>
          <w:lang w:eastAsia="sv-SE"/>
        </w:rPr>
        <w:t>vab</w:t>
      </w:r>
      <w:proofErr w:type="spellEnd"/>
      <w:r w:rsidRPr="00FC2616">
        <w:rPr>
          <w:lang w:eastAsia="sv-SE"/>
        </w:rPr>
        <w:t>) på 7,5</w:t>
      </w:r>
      <w:r w:rsidR="00BD3A14">
        <w:rPr>
          <w:lang w:eastAsia="sv-SE"/>
        </w:rPr>
        <w:t> </w:t>
      </w:r>
      <w:r w:rsidRPr="00FC2616">
        <w:rPr>
          <w:lang w:eastAsia="sv-SE"/>
        </w:rPr>
        <w:t xml:space="preserve">prisbasbelopp. </w:t>
      </w:r>
    </w:p>
    <w:p w:rsidRPr="00FC2616" w:rsidR="00F76E96" w:rsidP="00A87A45" w:rsidRDefault="00D6559C" w14:paraId="794ABEE8" w14:textId="559E0F64">
      <w:pPr>
        <w:rPr>
          <w:lang w:eastAsia="sv-SE"/>
        </w:rPr>
      </w:pPr>
      <w:r w:rsidRPr="00FC2616">
        <w:rPr>
          <w:lang w:eastAsia="sv-SE"/>
        </w:rPr>
        <w:t>Vänsterpartiet anser att taken i transfereringssystemen bör vara enhetliga och utformas så att 80</w:t>
      </w:r>
      <w:r w:rsidR="003071D8">
        <w:rPr>
          <w:lang w:eastAsia="sv-SE"/>
        </w:rPr>
        <w:t> </w:t>
      </w:r>
      <w:r w:rsidRPr="00FC2616">
        <w:rPr>
          <w:lang w:eastAsia="sv-SE"/>
        </w:rPr>
        <w:t>procent av löntagarna får 80</w:t>
      </w:r>
      <w:r w:rsidR="003071D8">
        <w:rPr>
          <w:lang w:eastAsia="sv-SE"/>
        </w:rPr>
        <w:t> </w:t>
      </w:r>
      <w:r w:rsidRPr="00FC2616">
        <w:rPr>
          <w:lang w:eastAsia="sv-SE"/>
        </w:rPr>
        <w:t>procent av lönen i ersättning. För att nå dit b</w:t>
      </w:r>
      <w:r w:rsidRPr="00FC2616" w:rsidR="00DC6E6F">
        <w:rPr>
          <w:lang w:eastAsia="sv-SE"/>
        </w:rPr>
        <w:t xml:space="preserve">ehöver </w:t>
      </w:r>
      <w:r w:rsidRPr="00FC2616">
        <w:rPr>
          <w:lang w:eastAsia="sv-SE"/>
        </w:rPr>
        <w:t xml:space="preserve">taken höjas. </w:t>
      </w:r>
      <w:r w:rsidRPr="00FC2616" w:rsidR="00DC6E6F">
        <w:rPr>
          <w:lang w:eastAsia="sv-SE"/>
        </w:rPr>
        <w:t>Vänsterpartiet vill se e</w:t>
      </w:r>
      <w:r w:rsidRPr="00FC2616" w:rsidR="00725214">
        <w:rPr>
          <w:lang w:eastAsia="sv-SE"/>
        </w:rPr>
        <w:t>n</w:t>
      </w:r>
      <w:r w:rsidRPr="00FC2616" w:rsidR="00DC6E6F">
        <w:rPr>
          <w:lang w:eastAsia="sv-SE"/>
        </w:rPr>
        <w:t xml:space="preserve"> höjning av taken i socialförsäkringen 2024.</w:t>
      </w:r>
      <w:r w:rsidRPr="00FC2616">
        <w:rPr>
          <w:lang w:eastAsia="sv-SE"/>
        </w:rPr>
        <w:t xml:space="preserve"> Cirka 800</w:t>
      </w:r>
      <w:r w:rsidRPr="00FC2616" w:rsidR="00EE3621">
        <w:rPr>
          <w:lang w:eastAsia="sv-SE"/>
        </w:rPr>
        <w:t> </w:t>
      </w:r>
      <w:r w:rsidRPr="00FC2616">
        <w:rPr>
          <w:lang w:eastAsia="sv-SE"/>
        </w:rPr>
        <w:t xml:space="preserve">000 personer beräknas få en högre individuell disponibel inkomst som </w:t>
      </w:r>
      <w:r w:rsidRPr="00FC2616">
        <w:rPr>
          <w:lang w:eastAsia="sv-SE"/>
        </w:rPr>
        <w:lastRenderedPageBreak/>
        <w:t>en följd av förslaget.</w:t>
      </w:r>
      <w:r w:rsidRPr="00FC2616">
        <w:rPr>
          <w:rStyle w:val="Fotnotsreferens"/>
          <w:lang w:eastAsia="sv-SE"/>
        </w:rPr>
        <w:footnoteReference w:id="55"/>
      </w:r>
      <w:r w:rsidRPr="00FC2616">
        <w:rPr>
          <w:lang w:eastAsia="sv-SE"/>
        </w:rPr>
        <w:t xml:space="preserve"> Den offentligfinansiella effekten av förslaget innebär ökade kostnader med en dryg miljard kronor per år. </w:t>
      </w:r>
    </w:p>
    <w:p w:rsidRPr="004F1DAC" w:rsidR="00F76E96" w:rsidP="004F1DAC" w:rsidRDefault="00F76E96" w14:paraId="6470D6C3" w14:textId="0DF30F82">
      <w:pPr>
        <w:pStyle w:val="Normalutanindragellerluft"/>
        <w:spacing w:before="240"/>
        <w:rPr>
          <w:b/>
          <w:bCs/>
          <w:lang w:eastAsia="sv-SE"/>
        </w:rPr>
      </w:pPr>
      <w:r w:rsidRPr="004F1DAC">
        <w:rPr>
          <w:b/>
          <w:bCs/>
          <w:lang w:eastAsia="sv-SE"/>
        </w:rPr>
        <w:t>Vänsterpartiets förslag:</w:t>
      </w:r>
    </w:p>
    <w:p w:rsidRPr="00FC2616" w:rsidR="00F76E96" w:rsidP="006224BD" w:rsidRDefault="00F76E96" w14:paraId="57EBD16D" w14:textId="3EBA8677">
      <w:pPr>
        <w:pStyle w:val="ListaPunkt"/>
        <w:ind w:left="340" w:hanging="340"/>
        <w:rPr>
          <w:lang w:eastAsia="sv-SE"/>
        </w:rPr>
      </w:pPr>
      <w:r w:rsidRPr="00FC2616">
        <w:rPr>
          <w:lang w:eastAsia="sv-SE"/>
        </w:rPr>
        <w:t xml:space="preserve">Inkomstindexera tak och ersättningsnivåer i socialförsäkringen från och med 2026. </w:t>
      </w:r>
    </w:p>
    <w:p w:rsidRPr="00FC2616" w:rsidR="00F76E96" w:rsidP="006224BD" w:rsidRDefault="00F76E96" w14:paraId="755298C5" w14:textId="0E7FF0B8">
      <w:pPr>
        <w:pStyle w:val="ListaPunkt"/>
        <w:ind w:left="340" w:hanging="340"/>
        <w:rPr>
          <w:lang w:eastAsia="sv-SE"/>
        </w:rPr>
      </w:pPr>
      <w:r w:rsidRPr="00FC2616">
        <w:rPr>
          <w:lang w:eastAsia="sv-SE"/>
        </w:rPr>
        <w:t xml:space="preserve">Höj taken i föräldraförsäkringen (föräldrapenning och tillfällig föräldrapenning) och sjukförsäkringen (sjukpenning och sjukersättning) </w:t>
      </w:r>
      <w:r w:rsidRPr="00FC2616" w:rsidR="00DC6E6F">
        <w:rPr>
          <w:lang w:eastAsia="sv-SE"/>
        </w:rPr>
        <w:t>så att 80</w:t>
      </w:r>
      <w:r w:rsidR="00EA001B">
        <w:rPr>
          <w:lang w:eastAsia="sv-SE"/>
        </w:rPr>
        <w:t> </w:t>
      </w:r>
      <w:r w:rsidRPr="00FC2616" w:rsidR="00DC6E6F">
        <w:rPr>
          <w:lang w:eastAsia="sv-SE"/>
        </w:rPr>
        <w:t xml:space="preserve">procent av löntagarna får ersättning i relation till sin tidigare inkomst </w:t>
      </w:r>
      <w:r w:rsidRPr="00FC2616" w:rsidR="00EE3621">
        <w:rPr>
          <w:lang w:eastAsia="sv-SE"/>
        </w:rPr>
        <w:t>fr.o.m.</w:t>
      </w:r>
      <w:r w:rsidRPr="00FC2616" w:rsidR="00DC6E6F">
        <w:rPr>
          <w:lang w:eastAsia="sv-SE"/>
        </w:rPr>
        <w:t xml:space="preserve"> 2024</w:t>
      </w:r>
      <w:r w:rsidRPr="00FC2616">
        <w:rPr>
          <w:lang w:eastAsia="sv-SE"/>
        </w:rPr>
        <w:t xml:space="preserve">. </w:t>
      </w:r>
    </w:p>
    <w:p w:rsidRPr="00FC2616" w:rsidR="00D6559C" w:rsidP="00D6559C" w:rsidRDefault="00D6559C" w14:paraId="1182046B" w14:textId="77777777">
      <w:pPr>
        <w:pStyle w:val="Rubrik2numrerat"/>
        <w:rPr>
          <w:lang w:eastAsia="sv-SE"/>
        </w:rPr>
      </w:pPr>
      <w:bookmarkStart w:name="_Toc149814545" w:id="80"/>
      <w:r w:rsidRPr="00FC2616">
        <w:rPr>
          <w:lang w:eastAsia="sv-SE"/>
        </w:rPr>
        <w:t>Sjukförsäkringen</w:t>
      </w:r>
      <w:bookmarkEnd w:id="80"/>
    </w:p>
    <w:p w:rsidRPr="00FC2616" w:rsidR="00D6559C" w:rsidP="006224BD" w:rsidRDefault="00D6559C" w14:paraId="43F0463A" w14:textId="0717C9A5">
      <w:pPr>
        <w:pStyle w:val="Normalutanindragellerluft"/>
        <w:rPr>
          <w:lang w:eastAsia="sv-SE"/>
        </w:rPr>
      </w:pPr>
      <w:r w:rsidRPr="00FC2616">
        <w:rPr>
          <w:lang w:eastAsia="sv-SE"/>
        </w:rPr>
        <w:t xml:space="preserve">Alla kan bli sjuka. Alla har därför ett intresse av en bra sjukförsäkring. Den svenska sjukförsäkringen bygger på att personer som drabbas av sjukdom som gör dem oförmögna att arbeta fortsatt </w:t>
      </w:r>
      <w:r w:rsidRPr="00FC2616" w:rsidR="001D228A">
        <w:rPr>
          <w:lang w:eastAsia="sv-SE"/>
        </w:rPr>
        <w:t>ska</w:t>
      </w:r>
      <w:r w:rsidRPr="00FC2616">
        <w:rPr>
          <w:lang w:eastAsia="sv-SE"/>
        </w:rPr>
        <w:t xml:space="preserve"> ha en rimlig ekonomisk situation samt få stöd att komma tillbaka till arbete. Det finns ett starkt stöd i befolkningen för att viktiga trygghetssystem som sjukförsäkringen ska finansieras gemensamt och solidariskt.</w:t>
      </w:r>
    </w:p>
    <w:p w:rsidRPr="00FC2616" w:rsidR="00D6559C" w:rsidP="00D6559C" w:rsidRDefault="00D6559C" w14:paraId="73C2F23D" w14:textId="77777777">
      <w:pPr>
        <w:rPr>
          <w:lang w:eastAsia="sv-SE"/>
        </w:rPr>
      </w:pPr>
      <w:r w:rsidRPr="00FC2616">
        <w:rPr>
          <w:lang w:eastAsia="sv-SE"/>
        </w:rPr>
        <w:t>Den tidigare borgerliga regeringens såväl som den nuvarande regeringens attacker mot sjukförsäkringen har lett till att många sjuka förvägras ekonomisk trygghet vid sjukdom. Sverige har blivit ett land där sjukdom för många har kommit att innebära fattigdom. Därmed urholkas legitimiteten i och förtroendet för sjukförsäkringen. Det krävs en rad förändringar för att återupprätta en sjukförsäkring som bygger på trygghet och solidaritet mellan oss alla som omfattas av den.</w:t>
      </w:r>
    </w:p>
    <w:p w:rsidRPr="00FC2616" w:rsidR="00D6559C" w:rsidP="00D6559C" w:rsidRDefault="00D6559C" w14:paraId="18D3FFD4" w14:textId="77777777">
      <w:pPr>
        <w:rPr>
          <w:lang w:eastAsia="sv-SE"/>
        </w:rPr>
      </w:pPr>
      <w:r w:rsidRPr="00FC2616">
        <w:rPr>
          <w:lang w:eastAsia="sv-SE"/>
        </w:rPr>
        <w:t xml:space="preserve">Det regelverk som nu är styrande, med fasta tidsgränser inom sjukförsäkringen, drabbar LO-kvinnor hårdast och förstärker köns- och klassorättvisorna. Tidsgränserna har gjort försäkringen stelbent och flyttat riskerna och ansvaret för sjukdom till den enskilde. </w:t>
      </w:r>
    </w:p>
    <w:p w:rsidRPr="00FC2616" w:rsidR="00D6559C" w:rsidP="00D6559C" w:rsidRDefault="00D6559C" w14:paraId="180A30A0" w14:textId="77777777">
      <w:pPr>
        <w:rPr>
          <w:lang w:eastAsia="sv-SE"/>
        </w:rPr>
      </w:pPr>
      <w:r w:rsidRPr="00FC2616">
        <w:rPr>
          <w:lang w:eastAsia="sv-SE"/>
        </w:rPr>
        <w:t>Arbetsgivaren har en nyckelroll både i att förhindra att anställda blir sjuka och i rehabiliteringen och återgången till arbetet. Det är från arbetet man sjukskrivs och till arbetet man ska rehabiliteras. Vänsterpartiet anser att rehabiliteringskedjan, med stelbenta tidsgränser, bör slopas och ersättas av ett individuellt anpassat system där fokus hamnar på medicinska insatser, rehabilitering och arbetsprövning utifrån förmågor hos den enskilde.</w:t>
      </w:r>
    </w:p>
    <w:p w:rsidRPr="00FC2616" w:rsidR="00D6559C" w:rsidP="00D6559C" w:rsidRDefault="00D6559C" w14:paraId="1EA2CDF9" w14:textId="4B9975DC">
      <w:pPr>
        <w:rPr>
          <w:lang w:eastAsia="sv-SE"/>
        </w:rPr>
      </w:pPr>
      <w:r w:rsidRPr="00FC2616">
        <w:rPr>
          <w:lang w:eastAsia="sv-SE"/>
        </w:rPr>
        <w:t>Vänsterpartiet anser att ersättning bör finnas i fler steg än dagens fyra för att underlätta och göra det mindre riskabelt att pröva att börja arbeta igen. Vid prövning av sjukpenning och sjukersättning ska Försäkringskassan göra en helhetsbedömning som kan väga in flera saker</w:t>
      </w:r>
      <w:r w:rsidR="00D45D41">
        <w:rPr>
          <w:lang w:eastAsia="sv-SE"/>
        </w:rPr>
        <w:t>,</w:t>
      </w:r>
      <w:r w:rsidRPr="00FC2616">
        <w:rPr>
          <w:lang w:eastAsia="sv-SE"/>
        </w:rPr>
        <w:t xml:space="preserve"> såsom ålder, arbetslivserfarenhet och bosättningsort. Den grundläggande försäkringsrättsliga principen att den försäkrade är försäkrad i befintligt skick bör åter gälla.</w:t>
      </w:r>
    </w:p>
    <w:p w:rsidRPr="00FC2616" w:rsidR="00D6559C" w:rsidP="00D6559C" w:rsidRDefault="00D6559C" w14:paraId="66C48E3D" w14:textId="5872BE7A">
      <w:pPr>
        <w:rPr>
          <w:lang w:eastAsia="sv-SE"/>
        </w:rPr>
      </w:pPr>
      <w:r w:rsidRPr="00FC2616">
        <w:rPr>
          <w:lang w:eastAsia="sv-SE"/>
        </w:rPr>
        <w:t>Flera ersättningsnivåer inom sjukförsäkringen behöver höjas. Vänsterpartiet vill höja taket i sjukpenningen för arbetssökande från dagens 543 kronor per dag till 664 kronor per dag. Därefter bör det inkomstindexeras. Omkring 40</w:t>
      </w:r>
      <w:r w:rsidRPr="00FC2616" w:rsidR="0064493F">
        <w:rPr>
          <w:lang w:eastAsia="sv-SE"/>
        </w:rPr>
        <w:t> </w:t>
      </w:r>
      <w:r w:rsidRPr="00FC2616">
        <w:rPr>
          <w:lang w:eastAsia="sv-SE"/>
        </w:rPr>
        <w:t>000 individer beräknas beröras av förslaget på så sätt att de får en ökad individuell disponibel inkomst år 2023. Den offentligfinansiella effekten av förslaget innebär ökade kostnader med 100 miljoner kronor 2023, 200 miljoner kronor 2024, 300 miljoner kronor 2025 och 400 miljoner kronor 2026.</w:t>
      </w:r>
      <w:r w:rsidRPr="00FC2616">
        <w:rPr>
          <w:rStyle w:val="Fotnotsreferens"/>
          <w:lang w:eastAsia="sv-SE"/>
        </w:rPr>
        <w:footnoteReference w:id="56"/>
      </w:r>
    </w:p>
    <w:p w:rsidRPr="00FC2616" w:rsidR="00D6559C" w:rsidP="00D6559C" w:rsidRDefault="00D6559C" w14:paraId="1D91B0A0" w14:textId="12643695">
      <w:pPr>
        <w:rPr>
          <w:lang w:eastAsia="sv-SE"/>
        </w:rPr>
      </w:pPr>
      <w:r w:rsidRPr="00FC2616">
        <w:rPr>
          <w:lang w:eastAsia="sv-SE"/>
        </w:rPr>
        <w:lastRenderedPageBreak/>
        <w:t>Vi vill också avskaffa bestämmelserna om sjukpenning på fortsättningsnivå så att den som har sjukpenning i över ett år fortsatt får 80</w:t>
      </w:r>
      <w:r w:rsidR="007F5FD5">
        <w:rPr>
          <w:lang w:eastAsia="sv-SE"/>
        </w:rPr>
        <w:t> </w:t>
      </w:r>
      <w:r w:rsidRPr="00FC2616">
        <w:rPr>
          <w:lang w:eastAsia="sv-SE"/>
        </w:rPr>
        <w:t>procent av SG</w:t>
      </w:r>
      <w:r w:rsidRPr="00FC2616" w:rsidR="00EA47BF">
        <w:rPr>
          <w:lang w:eastAsia="sv-SE"/>
        </w:rPr>
        <w:t>I</w:t>
      </w:r>
      <w:r w:rsidRPr="00FC2616">
        <w:rPr>
          <w:lang w:eastAsia="sv-SE"/>
        </w:rPr>
        <w:t xml:space="preserve"> i</w:t>
      </w:r>
      <w:r w:rsidRPr="00FC2616" w:rsidR="008D2084">
        <w:rPr>
          <w:lang w:eastAsia="sv-SE"/>
        </w:rPr>
        <w:t xml:space="preserve"> </w:t>
      </w:r>
      <w:r w:rsidRPr="00FC2616">
        <w:rPr>
          <w:lang w:eastAsia="sv-SE"/>
        </w:rPr>
        <w:t>stället för 75</w:t>
      </w:r>
      <w:r w:rsidR="007F5FD5">
        <w:rPr>
          <w:lang w:eastAsia="sv-SE"/>
        </w:rPr>
        <w:t> </w:t>
      </w:r>
      <w:r w:rsidRPr="00FC2616">
        <w:rPr>
          <w:lang w:eastAsia="sv-SE"/>
        </w:rPr>
        <w:t>procent som i</w:t>
      </w:r>
      <w:r w:rsidRPr="00FC2616" w:rsidR="008D2084">
        <w:rPr>
          <w:lang w:eastAsia="sv-SE"/>
        </w:rPr>
        <w:t xml:space="preserve"> </w:t>
      </w:r>
      <w:r w:rsidRPr="00FC2616">
        <w:rPr>
          <w:lang w:eastAsia="sv-SE"/>
        </w:rPr>
        <w:t>dag. Omkring 100</w:t>
      </w:r>
      <w:r w:rsidRPr="00FC2616" w:rsidR="008D2084">
        <w:rPr>
          <w:lang w:eastAsia="sv-SE"/>
        </w:rPr>
        <w:t> </w:t>
      </w:r>
      <w:r w:rsidRPr="00FC2616">
        <w:rPr>
          <w:lang w:eastAsia="sv-SE"/>
        </w:rPr>
        <w:t>000 personer beräknas få en högre individuell disponibel inkomst som en följd av förslaget 2023. Förslaget beräknas försvaga de offentliga finanserna med 600 till 700 miljoner kronor per år under den kommande mandatperioden.</w:t>
      </w:r>
      <w:r w:rsidRPr="00FC2616">
        <w:rPr>
          <w:rStyle w:val="Fotnotsreferens"/>
          <w:lang w:eastAsia="sv-SE"/>
        </w:rPr>
        <w:footnoteReference w:id="57"/>
      </w:r>
      <w:r w:rsidRPr="00FC2616">
        <w:rPr>
          <w:lang w:eastAsia="sv-SE"/>
        </w:rPr>
        <w:t xml:space="preserve"> </w:t>
      </w:r>
    </w:p>
    <w:p w:rsidRPr="00FC2616" w:rsidR="00D6559C" w:rsidP="00D6559C" w:rsidRDefault="00D6559C" w14:paraId="7931A444" w14:textId="4BA6DF00">
      <w:pPr>
        <w:rPr>
          <w:lang w:eastAsia="sv-SE"/>
        </w:rPr>
      </w:pPr>
      <w:r w:rsidRPr="00FC2616">
        <w:rPr>
          <w:lang w:eastAsia="sv-SE"/>
        </w:rPr>
        <w:t>Vänsterpartiet anser vidare att ersättningsnivån i sjuk- och aktivitetsersättningen bör höjas till 80</w:t>
      </w:r>
      <w:r w:rsidR="007F5FD5">
        <w:rPr>
          <w:lang w:eastAsia="sv-SE"/>
        </w:rPr>
        <w:t> </w:t>
      </w:r>
      <w:r w:rsidRPr="00FC2616">
        <w:rPr>
          <w:lang w:eastAsia="sv-SE"/>
        </w:rPr>
        <w:t>procent av antagandeinkomsten. Förslaget beräknas ge omkring 130</w:t>
      </w:r>
      <w:r w:rsidRPr="00FC2616" w:rsidR="00443190">
        <w:rPr>
          <w:lang w:eastAsia="sv-SE"/>
        </w:rPr>
        <w:t> </w:t>
      </w:r>
      <w:r w:rsidRPr="00FC2616">
        <w:rPr>
          <w:lang w:eastAsia="sv-SE"/>
        </w:rPr>
        <w:t>000 personer en högre individuell disponibel inkomst 2023. De offentliga finanserna beräknas under kommande mandatperiod försvagas med 2,2</w:t>
      </w:r>
      <w:r w:rsidRPr="00FC2616" w:rsidR="00443190">
        <w:rPr>
          <w:lang w:eastAsia="sv-SE"/>
        </w:rPr>
        <w:t>–</w:t>
      </w:r>
      <w:r w:rsidRPr="00FC2616">
        <w:rPr>
          <w:lang w:eastAsia="sv-SE"/>
        </w:rPr>
        <w:t>2,4</w:t>
      </w:r>
      <w:r w:rsidR="007F5FD5">
        <w:rPr>
          <w:lang w:eastAsia="sv-SE"/>
        </w:rPr>
        <w:t> </w:t>
      </w:r>
      <w:r w:rsidRPr="00FC2616">
        <w:rPr>
          <w:lang w:eastAsia="sv-SE"/>
        </w:rPr>
        <w:t>miljarder kronor per år till följd av förslaget.</w:t>
      </w:r>
      <w:r w:rsidRPr="00FC2616">
        <w:rPr>
          <w:rStyle w:val="Fotnotsreferens"/>
          <w:lang w:eastAsia="sv-SE"/>
        </w:rPr>
        <w:footnoteReference w:id="58"/>
      </w:r>
      <w:r w:rsidRPr="00FC2616">
        <w:rPr>
          <w:lang w:eastAsia="sv-SE"/>
        </w:rPr>
        <w:t xml:space="preserve"> </w:t>
      </w:r>
    </w:p>
    <w:p w:rsidRPr="00FC2616" w:rsidR="003E3A90" w:rsidP="00D6559C" w:rsidRDefault="00D6559C" w14:paraId="1C31ED6B" w14:textId="4D265605">
      <w:pPr>
        <w:rPr>
          <w:lang w:eastAsia="sv-SE"/>
        </w:rPr>
      </w:pPr>
      <w:r w:rsidRPr="00FC2616">
        <w:rPr>
          <w:lang w:eastAsia="sv-SE"/>
        </w:rPr>
        <w:t xml:space="preserve">Slutligen anser vi att hela karensavdraget bör avskaffas snarast möjligt och att </w:t>
      </w:r>
      <w:r w:rsidRPr="00FC2616" w:rsidR="00F24DB7">
        <w:rPr>
          <w:lang w:eastAsia="sv-SE"/>
        </w:rPr>
        <w:t>arbetsgivarna bör</w:t>
      </w:r>
      <w:r w:rsidRPr="00FC2616">
        <w:rPr>
          <w:lang w:eastAsia="sv-SE"/>
        </w:rPr>
        <w:t xml:space="preserve"> stå för kostnaden, men vi är också beredda att överväga andra alternativ som att förlänga den karensersättning som gällt under pandemin fram till </w:t>
      </w:r>
      <w:r w:rsidRPr="00FC2616" w:rsidR="006C0318">
        <w:rPr>
          <w:lang w:eastAsia="sv-SE"/>
        </w:rPr>
        <w:t xml:space="preserve">dess </w:t>
      </w:r>
      <w:r w:rsidRPr="00FC2616">
        <w:rPr>
          <w:lang w:eastAsia="sv-SE"/>
        </w:rPr>
        <w:t>att utredningens förslag genomförs. De</w:t>
      </w:r>
      <w:r w:rsidRPr="00FC2616" w:rsidR="00B66EB5">
        <w:rPr>
          <w:lang w:eastAsia="sv-SE"/>
        </w:rPr>
        <w:t>t</w:t>
      </w:r>
      <w:r w:rsidRPr="00FC2616">
        <w:rPr>
          <w:lang w:eastAsia="sv-SE"/>
        </w:rPr>
        <w:t xml:space="preserve"> offentligfinansiella sparandet minskar med omkring </w:t>
      </w:r>
      <w:r w:rsidRPr="00FC2616" w:rsidR="00F24DB7">
        <w:rPr>
          <w:lang w:eastAsia="sv-SE"/>
        </w:rPr>
        <w:t xml:space="preserve">600 miljoner </w:t>
      </w:r>
      <w:r w:rsidRPr="00FC2616">
        <w:rPr>
          <w:lang w:eastAsia="sv-SE"/>
        </w:rPr>
        <w:t xml:space="preserve">kronor per år om </w:t>
      </w:r>
      <w:r w:rsidRPr="00FC2616" w:rsidR="00127217">
        <w:rPr>
          <w:lang w:eastAsia="sv-SE"/>
        </w:rPr>
        <w:t xml:space="preserve">arbetsgivarna </w:t>
      </w:r>
      <w:r w:rsidRPr="00FC2616">
        <w:rPr>
          <w:lang w:eastAsia="sv-SE"/>
        </w:rPr>
        <w:t>tar hela kostnaden för att avskaffa karensavdraget.</w:t>
      </w:r>
      <w:r w:rsidRPr="00FC2616">
        <w:rPr>
          <w:rStyle w:val="Fotnotsreferens"/>
          <w:lang w:eastAsia="sv-SE"/>
        </w:rPr>
        <w:footnoteReference w:id="59"/>
      </w:r>
      <w:r w:rsidRPr="00FC2616">
        <w:rPr>
          <w:lang w:eastAsia="sv-SE"/>
        </w:rPr>
        <w:t xml:space="preserve"> </w:t>
      </w:r>
    </w:p>
    <w:p w:rsidRPr="00FC2616" w:rsidR="00D6559C" w:rsidP="00D6559C" w:rsidRDefault="003E3A90" w14:paraId="0077C31D" w14:textId="4EFD9A47">
      <w:pPr>
        <w:rPr>
          <w:lang w:eastAsia="sv-SE"/>
        </w:rPr>
      </w:pPr>
      <w:r w:rsidRPr="00FC2616">
        <w:rPr>
          <w:lang w:eastAsia="sv-SE"/>
        </w:rPr>
        <w:t>I samband med att karensavdraget slopas bör sjuklöneansvaret för mindre företag ses över. Vänsterpartiet har tidigare föreslagit slopat sjuklöneansvar för företag med tio anställda eller färre och minskat sjuklöneansvar för företag med mellan tio och femton anställda. I mars 2022 tillsatt</w:t>
      </w:r>
      <w:r w:rsidRPr="00FC2616" w:rsidR="006C0318">
        <w:rPr>
          <w:lang w:eastAsia="sv-SE"/>
        </w:rPr>
        <w:t>e</w:t>
      </w:r>
      <w:r w:rsidRPr="00FC2616">
        <w:rPr>
          <w:lang w:eastAsia="sv-SE"/>
        </w:rPr>
        <w:t xml:space="preserve"> den dåvarande regeringen en utredning av karensavdraget och sjuklöneansvaret (</w:t>
      </w:r>
      <w:r w:rsidRPr="00FC2616" w:rsidR="006C0318">
        <w:rPr>
          <w:lang w:eastAsia="sv-SE"/>
        </w:rPr>
        <w:t>d</w:t>
      </w:r>
      <w:r w:rsidRPr="00FC2616">
        <w:rPr>
          <w:lang w:eastAsia="sv-SE"/>
        </w:rPr>
        <w:t xml:space="preserve">ir. 2022:23). </w:t>
      </w:r>
    </w:p>
    <w:p w:rsidRPr="00FC2616" w:rsidR="00D6559C" w:rsidP="00D6559C" w:rsidRDefault="00D6559C" w14:paraId="0D84CD23" w14:textId="5DBC0926">
      <w:pPr>
        <w:rPr>
          <w:lang w:eastAsia="sv-SE"/>
        </w:rPr>
      </w:pPr>
      <w:r w:rsidRPr="00FC2616">
        <w:rPr>
          <w:lang w:eastAsia="sv-SE"/>
        </w:rPr>
        <w:t>Vänsterpartiets politik för att stärka sjukförsäkringen beskrivs närmare i motionen En fungerande sjukförsäkring (2022/23:</w:t>
      </w:r>
      <w:r w:rsidR="000D214E">
        <w:rPr>
          <w:lang w:eastAsia="sv-SE"/>
        </w:rPr>
        <w:t>1228</w:t>
      </w:r>
      <w:r w:rsidRPr="00FC2616">
        <w:rPr>
          <w:lang w:eastAsia="sv-SE"/>
        </w:rPr>
        <w:t>).</w:t>
      </w:r>
    </w:p>
    <w:p w:rsidRPr="0090762B" w:rsidR="00F76E96" w:rsidP="0090762B" w:rsidRDefault="00F76E96" w14:paraId="590FDC8F" w14:textId="77777777">
      <w:pPr>
        <w:pStyle w:val="Normalutanindragellerluft"/>
        <w:spacing w:before="240"/>
        <w:rPr>
          <w:b/>
          <w:bCs/>
          <w:lang w:eastAsia="sv-SE"/>
        </w:rPr>
      </w:pPr>
      <w:r w:rsidRPr="0090762B">
        <w:rPr>
          <w:b/>
          <w:bCs/>
          <w:lang w:eastAsia="sv-SE"/>
        </w:rPr>
        <w:t>Vänsterpartiets förslag:</w:t>
      </w:r>
    </w:p>
    <w:p w:rsidRPr="00FC2616" w:rsidR="00F76E96" w:rsidP="006224BD" w:rsidRDefault="00F76E96" w14:paraId="141C89AF" w14:textId="05E94C36">
      <w:pPr>
        <w:pStyle w:val="ListaPunkt"/>
        <w:ind w:left="340" w:hanging="340"/>
        <w:rPr>
          <w:lang w:eastAsia="sv-SE"/>
        </w:rPr>
      </w:pPr>
      <w:r w:rsidRPr="00FC2616">
        <w:rPr>
          <w:lang w:eastAsia="sv-SE"/>
        </w:rPr>
        <w:t xml:space="preserve">Höj taket i sjukpenningen för arbetssökande till 664 kronor per dag och inkomstindexera det. </w:t>
      </w:r>
    </w:p>
    <w:p w:rsidRPr="00FC2616" w:rsidR="00F76E96" w:rsidP="006224BD" w:rsidRDefault="00F76E96" w14:paraId="621D6BD0" w14:textId="086F4D81">
      <w:pPr>
        <w:pStyle w:val="ListaPunkt"/>
        <w:ind w:left="340" w:hanging="340"/>
        <w:rPr>
          <w:lang w:eastAsia="sv-SE"/>
        </w:rPr>
      </w:pPr>
      <w:r w:rsidRPr="00FC2616">
        <w:rPr>
          <w:lang w:eastAsia="sv-SE"/>
        </w:rPr>
        <w:t>Avskaffa bestämmelserna om sjukpenning på fortsättningsnivå så att den som har sjukpenning i över ett år fortsatt får 80</w:t>
      </w:r>
      <w:r w:rsidR="00E57423">
        <w:rPr>
          <w:lang w:eastAsia="sv-SE"/>
        </w:rPr>
        <w:t> </w:t>
      </w:r>
      <w:r w:rsidRPr="00FC2616">
        <w:rPr>
          <w:lang w:eastAsia="sv-SE"/>
        </w:rPr>
        <w:t xml:space="preserve">procent av SGI. </w:t>
      </w:r>
    </w:p>
    <w:p w:rsidRPr="00FC2616" w:rsidR="00F76E96" w:rsidP="006224BD" w:rsidRDefault="00F76E96" w14:paraId="0C92C26F" w14:textId="169875A8">
      <w:pPr>
        <w:pStyle w:val="ListaPunkt"/>
        <w:ind w:left="340" w:hanging="340"/>
        <w:rPr>
          <w:lang w:eastAsia="sv-SE"/>
        </w:rPr>
      </w:pPr>
      <w:r w:rsidRPr="00FC2616">
        <w:rPr>
          <w:lang w:eastAsia="sv-SE"/>
        </w:rPr>
        <w:t>Höj ersättningsnivån i sjuk- och aktivitetsersättningen till 80</w:t>
      </w:r>
      <w:r w:rsidR="00776281">
        <w:rPr>
          <w:lang w:eastAsia="sv-SE"/>
        </w:rPr>
        <w:t> </w:t>
      </w:r>
      <w:r w:rsidRPr="00FC2616">
        <w:rPr>
          <w:lang w:eastAsia="sv-SE"/>
        </w:rPr>
        <w:t>procent av antagandeinkomsten.</w:t>
      </w:r>
    </w:p>
    <w:p w:rsidRPr="00FC2616" w:rsidR="00F76E96" w:rsidP="006224BD" w:rsidRDefault="00F76E96" w14:paraId="13B0CDB4" w14:textId="19982EF4">
      <w:pPr>
        <w:pStyle w:val="ListaPunkt"/>
        <w:ind w:left="340" w:hanging="340"/>
        <w:rPr>
          <w:lang w:eastAsia="sv-SE"/>
        </w:rPr>
      </w:pPr>
      <w:r w:rsidRPr="00FC2616">
        <w:rPr>
          <w:lang w:eastAsia="sv-SE"/>
        </w:rPr>
        <w:t xml:space="preserve">Avskaffa karensavdraget och låt </w:t>
      </w:r>
      <w:r w:rsidRPr="00FC2616" w:rsidR="00F24DB7">
        <w:rPr>
          <w:lang w:eastAsia="sv-SE"/>
        </w:rPr>
        <w:t xml:space="preserve">arbetsgivarna </w:t>
      </w:r>
      <w:r w:rsidRPr="00FC2616">
        <w:rPr>
          <w:lang w:eastAsia="sv-SE"/>
        </w:rPr>
        <w:t>ta hela kostnaden.</w:t>
      </w:r>
    </w:p>
    <w:p w:rsidRPr="00FC2616" w:rsidR="00D6559C" w:rsidP="00D6559C" w:rsidRDefault="00D6559C" w14:paraId="3ABE6187" w14:textId="77777777">
      <w:pPr>
        <w:pStyle w:val="Rubrik2numrerat"/>
        <w:rPr>
          <w:lang w:eastAsia="sv-SE"/>
        </w:rPr>
      </w:pPr>
      <w:bookmarkStart w:name="_Toc149814546" w:id="81"/>
      <w:r w:rsidRPr="00FC2616">
        <w:rPr>
          <w:lang w:eastAsia="sv-SE"/>
        </w:rPr>
        <w:t>Pensionssystemet</w:t>
      </w:r>
      <w:bookmarkEnd w:id="81"/>
    </w:p>
    <w:p w:rsidRPr="00FC2616" w:rsidR="00D6559C" w:rsidP="00D6559C" w:rsidRDefault="00D6559C" w14:paraId="34B044A8" w14:textId="17B04B99">
      <w:pPr>
        <w:pStyle w:val="Normalutanindragellerluft"/>
        <w:rPr>
          <w:lang w:eastAsia="sv-SE"/>
        </w:rPr>
      </w:pPr>
      <w:r w:rsidRPr="00FC2616">
        <w:rPr>
          <w:lang w:eastAsia="sv-SE"/>
        </w:rPr>
        <w:t>Vi tjänar in vår pension medan vi arbetar. Pension kan därför beskrivas som uppskjuten lön. Samtidigt finansieras dagens pensioner med avgifter på nuvarande löneinkomster. Därför är pensionssystemets utformning och hur den avstådda lönen används av stor samhällsekonomisk betydelse. Vänsterpartiet vill att pensionssystemet ska ge verklig ekonomisk trygghet vid arbetslivets slut. Det allmänna pensionssystemet bör garantera pensioner motsvarande cirka 65</w:t>
      </w:r>
      <w:r w:rsidR="00462DF0">
        <w:rPr>
          <w:lang w:eastAsia="sv-SE"/>
        </w:rPr>
        <w:t> </w:t>
      </w:r>
      <w:r w:rsidRPr="00FC2616">
        <w:rPr>
          <w:lang w:eastAsia="sv-SE"/>
        </w:rPr>
        <w:t>procent av slutlönen för låg- och medelinkomsttagare. Med tjänstepensionen inkluderad blir kompensationsgraden givetvis högre. Pensions</w:t>
      </w:r>
      <w:r w:rsidR="002432AF">
        <w:rPr>
          <w:lang w:eastAsia="sv-SE"/>
        </w:rPr>
        <w:softHyphen/>
      </w:r>
      <w:r w:rsidRPr="00FC2616">
        <w:rPr>
          <w:lang w:eastAsia="sv-SE"/>
        </w:rPr>
        <w:t xml:space="preserve">systemet bör dessutom innehålla ett grundskydd som gör att ingen pensionär tvingas </w:t>
      </w:r>
      <w:r w:rsidR="00E84EE2">
        <w:rPr>
          <w:lang w:eastAsia="sv-SE"/>
        </w:rPr>
        <w:t xml:space="preserve">att </w:t>
      </w:r>
      <w:r w:rsidRPr="00FC2616">
        <w:rPr>
          <w:lang w:eastAsia="sv-SE"/>
        </w:rPr>
        <w:lastRenderedPageBreak/>
        <w:t xml:space="preserve">leva i fattigdom. Systemet ska också ge möjlighet att avsluta yrkeslivet i förtid med en rimlig pension för den som slitit ut sig under ett långt och tungt arbetsliv. </w:t>
      </w:r>
    </w:p>
    <w:p w:rsidRPr="00FC2616" w:rsidR="00D6559C" w:rsidP="00D6559C" w:rsidRDefault="00D6559C" w14:paraId="6946C3A2" w14:textId="6150DE08">
      <w:pPr>
        <w:rPr>
          <w:lang w:eastAsia="sv-SE"/>
        </w:rPr>
      </w:pPr>
      <w:r w:rsidRPr="00FC2616">
        <w:rPr>
          <w:lang w:eastAsia="sv-SE"/>
        </w:rPr>
        <w:t>Vänsterpartiet vill ha en öppen och demokratisk process kring pensionerna i</w:t>
      </w:r>
      <w:r w:rsidRPr="00FC2616" w:rsidR="006049CB">
        <w:rPr>
          <w:lang w:eastAsia="sv-SE"/>
        </w:rPr>
        <w:t xml:space="preserve"> </w:t>
      </w:r>
      <w:r w:rsidRPr="00FC2616">
        <w:rPr>
          <w:lang w:eastAsia="sv-SE"/>
        </w:rPr>
        <w:t>stället för den nuvarande icke-transparenta pensionsgruppen. Tills vi har ett nytt pensions</w:t>
      </w:r>
      <w:r w:rsidR="002432AF">
        <w:rPr>
          <w:lang w:eastAsia="sv-SE"/>
        </w:rPr>
        <w:softHyphen/>
      </w:r>
      <w:r w:rsidRPr="00FC2616">
        <w:rPr>
          <w:lang w:eastAsia="sv-SE"/>
        </w:rPr>
        <w:t>system kommer Vänsterpartiet att verka för att förbättra det befintliga systemet.</w:t>
      </w:r>
    </w:p>
    <w:p w:rsidRPr="00FC2616" w:rsidR="00D6559C" w:rsidP="00B50CBA" w:rsidRDefault="00D6559C" w14:paraId="5ACC1F8D" w14:textId="7FBC1D24">
      <w:pPr>
        <w:pStyle w:val="Rubrik3numrerat"/>
        <w:rPr>
          <w:lang w:eastAsia="sv-SE"/>
        </w:rPr>
      </w:pPr>
      <w:bookmarkStart w:name="_Toc149814547" w:id="82"/>
      <w:r w:rsidRPr="00FC2616">
        <w:rPr>
          <w:lang w:eastAsia="sv-SE"/>
        </w:rPr>
        <w:t>Höj pensionerna</w:t>
      </w:r>
      <w:bookmarkEnd w:id="82"/>
    </w:p>
    <w:p w:rsidRPr="00FC2616" w:rsidR="00D6559C" w:rsidP="00D6559C" w:rsidRDefault="00D6559C" w14:paraId="63E34E2B" w14:textId="7EAE2DC0">
      <w:pPr>
        <w:pStyle w:val="Normalutanindragellerluft"/>
        <w:rPr>
          <w:lang w:eastAsia="sv-SE"/>
        </w:rPr>
      </w:pPr>
      <w:r w:rsidRPr="00FC2616">
        <w:rPr>
          <w:lang w:eastAsia="sv-SE"/>
        </w:rPr>
        <w:t>Pensionerna behöver höjas. Den genomsnittliga allmänna pensionen för årskull 1954 uppgick 2020 till 13</w:t>
      </w:r>
      <w:r w:rsidRPr="00FC2616" w:rsidR="006049CB">
        <w:rPr>
          <w:lang w:eastAsia="sv-SE"/>
        </w:rPr>
        <w:t> </w:t>
      </w:r>
      <w:r w:rsidRPr="00FC2616">
        <w:rPr>
          <w:lang w:eastAsia="sv-SE"/>
        </w:rPr>
        <w:t>672 kronor per månad, före skatt. För kvinnor uppgick den till 12</w:t>
      </w:r>
      <w:r w:rsidRPr="00FC2616" w:rsidR="006049CB">
        <w:rPr>
          <w:lang w:eastAsia="sv-SE"/>
        </w:rPr>
        <w:t> </w:t>
      </w:r>
      <w:r w:rsidRPr="00FC2616">
        <w:rPr>
          <w:lang w:eastAsia="sv-SE"/>
        </w:rPr>
        <w:t>689 kronor per månad och för män till 14</w:t>
      </w:r>
      <w:r w:rsidRPr="00FC2616" w:rsidR="006049CB">
        <w:rPr>
          <w:lang w:eastAsia="sv-SE"/>
        </w:rPr>
        <w:t> </w:t>
      </w:r>
      <w:r w:rsidRPr="00FC2616">
        <w:rPr>
          <w:lang w:eastAsia="sv-SE"/>
        </w:rPr>
        <w:t>764 kronor per månad, före skatt. Nära hälften av landets kvinnliga pensionärer har så låg inkomstgrundad pension att de har rätt till garantipension.</w:t>
      </w:r>
      <w:r w:rsidRPr="00FC2616">
        <w:rPr>
          <w:rStyle w:val="Fotnotsreferens"/>
          <w:lang w:eastAsia="sv-SE"/>
        </w:rPr>
        <w:footnoteReference w:id="60"/>
      </w:r>
      <w:r w:rsidRPr="00FC2616">
        <w:rPr>
          <w:lang w:eastAsia="sv-SE"/>
        </w:rPr>
        <w:t xml:space="preserve"> Omkring 300</w:t>
      </w:r>
      <w:r w:rsidRPr="00FC2616" w:rsidR="006049CB">
        <w:rPr>
          <w:lang w:eastAsia="sv-SE"/>
        </w:rPr>
        <w:t> </w:t>
      </w:r>
      <w:r w:rsidRPr="00FC2616">
        <w:rPr>
          <w:lang w:eastAsia="sv-SE"/>
        </w:rPr>
        <w:t>000 pensionärer i Sverige lever med låg ekonomisk standard. Det är den högsta siffran i Norden.</w:t>
      </w:r>
      <w:r w:rsidRPr="00FC2616">
        <w:rPr>
          <w:rStyle w:val="Fotnotsreferens"/>
          <w:lang w:eastAsia="sv-SE"/>
        </w:rPr>
        <w:footnoteReference w:id="61"/>
      </w:r>
    </w:p>
    <w:p w:rsidRPr="00FC2616" w:rsidR="00D6559C" w:rsidP="00D6559C" w:rsidRDefault="00D6559C" w14:paraId="223AC1AE" w14:textId="2D99B1E9">
      <w:pPr>
        <w:rPr>
          <w:lang w:eastAsia="sv-SE"/>
        </w:rPr>
      </w:pPr>
      <w:r w:rsidRPr="00FC2616">
        <w:rPr>
          <w:lang w:eastAsia="sv-SE"/>
        </w:rPr>
        <w:t>Behovet av höjda pensioner är större för låginkomsttagare. Vänsterpartiet har under lång tid drivit på för att höja garantipensionen och nu tvingat övriga partier att agera. Höjningen</w:t>
      </w:r>
      <w:r w:rsidRPr="00FC2616" w:rsidR="00B66EB5">
        <w:rPr>
          <w:lang w:eastAsia="sv-SE"/>
        </w:rPr>
        <w:t>, med 1</w:t>
      </w:r>
      <w:r w:rsidRPr="00FC2616" w:rsidR="00615094">
        <w:rPr>
          <w:lang w:eastAsia="sv-SE"/>
        </w:rPr>
        <w:t> </w:t>
      </w:r>
      <w:r w:rsidRPr="00FC2616" w:rsidR="00B66EB5">
        <w:rPr>
          <w:lang w:eastAsia="sv-SE"/>
        </w:rPr>
        <w:t>000 kronor i månaden,</w:t>
      </w:r>
      <w:r w:rsidRPr="00FC2616">
        <w:rPr>
          <w:lang w:eastAsia="sv-SE"/>
        </w:rPr>
        <w:t xml:space="preserve"> genomför</w:t>
      </w:r>
      <w:r w:rsidRPr="00FC2616" w:rsidR="00B66EB5">
        <w:rPr>
          <w:lang w:eastAsia="sv-SE"/>
        </w:rPr>
        <w:t>de</w:t>
      </w:r>
      <w:r w:rsidRPr="00FC2616">
        <w:rPr>
          <w:lang w:eastAsia="sv-SE"/>
        </w:rPr>
        <w:t>s i augusti 2022 och är ett resultat av Vänsterpartiets enträgna arbete för höjda pensioner. Den strid kring pensionsfrågan som föregick beslutet visar också att Pensionsgruppen allt mer spelat ut sin roll.</w:t>
      </w:r>
    </w:p>
    <w:p w:rsidRPr="00FC2616" w:rsidR="000C7AB8" w:rsidP="00D6559C" w:rsidRDefault="00D6559C" w14:paraId="4E3D5BB2" w14:textId="039EC0D3">
      <w:pPr>
        <w:rPr>
          <w:lang w:eastAsia="sv-SE"/>
        </w:rPr>
      </w:pPr>
      <w:r w:rsidRPr="00FC2616">
        <w:rPr>
          <w:lang w:eastAsia="sv-SE"/>
        </w:rPr>
        <w:t>För att pensionssystemet ska ha allmänhetens förtroende måste det fungera för alla som omfattas av det. Sveriges pensionssparare och pensionärer ska inte vara beroende a</w:t>
      </w:r>
      <w:r w:rsidR="00ED5F81">
        <w:rPr>
          <w:lang w:eastAsia="sv-SE"/>
        </w:rPr>
        <w:t>v</w:t>
      </w:r>
      <w:r w:rsidRPr="00FC2616">
        <w:rPr>
          <w:lang w:eastAsia="sv-SE"/>
        </w:rPr>
        <w:t xml:space="preserve"> privata lösningar för ekonomisk trygghet vid arbetslivets slut. Det ska inte vara ett personligt ansvar att trygga sin pension, det ansvaret ska vara politikens. </w:t>
      </w:r>
    </w:p>
    <w:p w:rsidRPr="00FC2616" w:rsidR="00D6559C" w:rsidP="00D6559C" w:rsidRDefault="00D6559C" w14:paraId="3A4E2C92" w14:textId="349733B0">
      <w:pPr>
        <w:rPr>
          <w:lang w:eastAsia="sv-SE"/>
        </w:rPr>
      </w:pPr>
      <w:r w:rsidRPr="00FC2616">
        <w:rPr>
          <w:lang w:eastAsia="sv-SE"/>
        </w:rPr>
        <w:t>När de pensionärer</w:t>
      </w:r>
      <w:r w:rsidR="009C2349">
        <w:rPr>
          <w:lang w:eastAsia="sv-SE"/>
        </w:rPr>
        <w:t xml:space="preserve"> som har det </w:t>
      </w:r>
      <w:r w:rsidRPr="00FC2616" w:rsidR="009C2349">
        <w:rPr>
          <w:lang w:eastAsia="sv-SE"/>
        </w:rPr>
        <w:t>sämst ställ</w:t>
      </w:r>
      <w:r w:rsidR="009C2349">
        <w:rPr>
          <w:lang w:eastAsia="sv-SE"/>
        </w:rPr>
        <w:t>t</w:t>
      </w:r>
      <w:r w:rsidRPr="00FC2616">
        <w:rPr>
          <w:lang w:eastAsia="sv-SE"/>
        </w:rPr>
        <w:t xml:space="preserve"> får ökade inkomster skapas också ett tryck på förbättringar för övriga pensionärer. Nästa steg i att förbättra pensionärernas ekonomi är därför höjda inkomstpensioner. </w:t>
      </w:r>
    </w:p>
    <w:p w:rsidRPr="00FC2616" w:rsidR="00283F39" w:rsidP="00283F39" w:rsidRDefault="00D6559C" w14:paraId="2E14DABC" w14:textId="7662D49C">
      <w:pPr>
        <w:rPr>
          <w:lang w:eastAsia="sv-SE"/>
        </w:rPr>
      </w:pPr>
      <w:r w:rsidRPr="00FC2616">
        <w:rPr>
          <w:lang w:eastAsia="sv-SE"/>
        </w:rPr>
        <w:t>Vänsterpartiet har i vårbudgetmotionen (2021/22:4707) presenterat ett förslag som höjer inkomstpensionerna med omkring 13,4 procent eller strax under 2</w:t>
      </w:r>
      <w:r w:rsidRPr="00FC2616" w:rsidR="00615094">
        <w:rPr>
          <w:lang w:eastAsia="sv-SE"/>
        </w:rPr>
        <w:t> </w:t>
      </w:r>
      <w:r w:rsidRPr="00FC2616">
        <w:rPr>
          <w:lang w:eastAsia="sv-SE"/>
        </w:rPr>
        <w:t>000 kronor i månaden för genomsnittspensionären. Förslaget innebär att inbetalningarna till pensionssystemet ökar och att pensionsrätterna för dagens pensionärer och pensions</w:t>
      </w:r>
      <w:r w:rsidR="002432AF">
        <w:rPr>
          <w:lang w:eastAsia="sv-SE"/>
        </w:rPr>
        <w:softHyphen/>
      </w:r>
      <w:r w:rsidRPr="00FC2616">
        <w:rPr>
          <w:lang w:eastAsia="sv-SE"/>
        </w:rPr>
        <w:t>sparare höjs i motsvarande omfattning succe</w:t>
      </w:r>
      <w:r w:rsidRPr="00FC2616" w:rsidR="00615094">
        <w:rPr>
          <w:lang w:eastAsia="sv-SE"/>
        </w:rPr>
        <w:t>s</w:t>
      </w:r>
      <w:r w:rsidRPr="00FC2616">
        <w:rPr>
          <w:lang w:eastAsia="sv-SE"/>
        </w:rPr>
        <w:t>sivt fram till 2026. Till följd av förslaget ökar inkomstindex</w:t>
      </w:r>
      <w:r w:rsidR="00314BCB">
        <w:rPr>
          <w:lang w:eastAsia="sv-SE"/>
        </w:rPr>
        <w:t>,</w:t>
      </w:r>
      <w:r w:rsidRPr="00FC2616">
        <w:rPr>
          <w:lang w:eastAsia="sv-SE"/>
        </w:rPr>
        <w:t xml:space="preserve"> vilket höjer pensionerna ytterligare 2024. För att skapa symmetri i systemet gentemot den broms som finns i</w:t>
      </w:r>
      <w:r w:rsidRPr="00FC2616" w:rsidR="00615094">
        <w:rPr>
          <w:lang w:eastAsia="sv-SE"/>
        </w:rPr>
        <w:t xml:space="preserve"> </w:t>
      </w:r>
      <w:r w:rsidRPr="00FC2616">
        <w:rPr>
          <w:lang w:eastAsia="sv-SE"/>
        </w:rPr>
        <w:t>dag, och för att se till att pensionerna ökar när pensionssystemet har stora överskott</w:t>
      </w:r>
      <w:r w:rsidR="00B81578">
        <w:rPr>
          <w:lang w:eastAsia="sv-SE"/>
        </w:rPr>
        <w:t>,</w:t>
      </w:r>
      <w:r w:rsidRPr="00FC2616">
        <w:rPr>
          <w:lang w:eastAsia="sv-SE"/>
        </w:rPr>
        <w:t xml:space="preserve"> vill vi också införa en gas i pensionssystemet.</w:t>
      </w:r>
    </w:p>
    <w:p w:rsidRPr="00FC2616" w:rsidR="00D6559C" w:rsidP="00EE0B61" w:rsidRDefault="00D6559C" w14:paraId="0576705A" w14:textId="4883609A">
      <w:pPr>
        <w:rPr>
          <w:lang w:eastAsia="sv-SE"/>
        </w:rPr>
      </w:pPr>
      <w:r w:rsidRPr="00FC2616">
        <w:rPr>
          <w:lang w:eastAsia="sv-SE"/>
        </w:rPr>
        <w:t>Förslagen innebär att pensionen höjs med cirka 13,4 procent till 2026. En medel</w:t>
      </w:r>
      <w:r w:rsidR="002432AF">
        <w:rPr>
          <w:lang w:eastAsia="sv-SE"/>
        </w:rPr>
        <w:softHyphen/>
      </w:r>
      <w:r w:rsidRPr="00FC2616">
        <w:rPr>
          <w:lang w:eastAsia="sv-SE"/>
        </w:rPr>
        <w:t>inkomsttagare som går i pension efter att reformen är genomförd får till följd av våra förslag drygt 2</w:t>
      </w:r>
      <w:r w:rsidRPr="00FC2616" w:rsidR="00586ABB">
        <w:rPr>
          <w:lang w:eastAsia="sv-SE"/>
        </w:rPr>
        <w:t> </w:t>
      </w:r>
      <w:r w:rsidRPr="00FC2616">
        <w:rPr>
          <w:lang w:eastAsia="sv-SE"/>
        </w:rPr>
        <w:t>000 kronor högre inkomstpension.</w:t>
      </w:r>
    </w:p>
    <w:p w:rsidRPr="00FC2616" w:rsidR="00D6559C" w:rsidP="00D6559C" w:rsidRDefault="00D6559C" w14:paraId="1EB2E8B2" w14:textId="7767C185">
      <w:pPr>
        <w:rPr>
          <w:lang w:eastAsia="sv-SE"/>
        </w:rPr>
      </w:pPr>
      <w:r w:rsidRPr="00FC2616">
        <w:rPr>
          <w:lang w:eastAsia="sv-SE"/>
        </w:rPr>
        <w:t>Kompensationsgraden är högre för de</w:t>
      </w:r>
      <w:r w:rsidRPr="00FC2616" w:rsidR="00586ABB">
        <w:rPr>
          <w:lang w:eastAsia="sv-SE"/>
        </w:rPr>
        <w:t>m</w:t>
      </w:r>
      <w:r w:rsidRPr="00FC2616">
        <w:rPr>
          <w:lang w:eastAsia="sv-SE"/>
        </w:rPr>
        <w:t xml:space="preserve"> med låga inkomster, eftersom grundskyddet höjer den allmänna pensionen relativt slutlön. För de</w:t>
      </w:r>
      <w:r w:rsidRPr="00FC2616" w:rsidR="00586ABB">
        <w:rPr>
          <w:lang w:eastAsia="sv-SE"/>
        </w:rPr>
        <w:t>m</w:t>
      </w:r>
      <w:r w:rsidRPr="00FC2616">
        <w:rPr>
          <w:lang w:eastAsia="sv-SE"/>
        </w:rPr>
        <w:t xml:space="preserve"> med högre inkomster blir kompensationsgraden lägre eftersom inkomster över taket inte ger pensionsrätter. </w:t>
      </w:r>
    </w:p>
    <w:p w:rsidRPr="00FC2616" w:rsidR="00D6559C" w:rsidP="00B50CBA" w:rsidRDefault="00D6559C" w14:paraId="5095C5A9" w14:textId="6EB6DE2B">
      <w:pPr>
        <w:pStyle w:val="Rubrik3numrerat"/>
        <w:rPr>
          <w:lang w:eastAsia="sv-SE"/>
        </w:rPr>
      </w:pPr>
      <w:bookmarkStart w:name="_Toc149814548" w:id="83"/>
      <w:r w:rsidRPr="00FC2616">
        <w:rPr>
          <w:lang w:eastAsia="sv-SE"/>
        </w:rPr>
        <w:t>Övergångsregler</w:t>
      </w:r>
      <w:bookmarkEnd w:id="83"/>
    </w:p>
    <w:p w:rsidRPr="00FC2616" w:rsidR="00D6559C" w:rsidP="006224BD" w:rsidRDefault="00D6559C" w14:paraId="1CCCCBCC" w14:textId="2CBC2C5A">
      <w:pPr>
        <w:pStyle w:val="Normalutanindragellerluft"/>
        <w:rPr>
          <w:lang w:eastAsia="sv-SE"/>
        </w:rPr>
      </w:pPr>
      <w:r w:rsidRPr="00FC2616">
        <w:rPr>
          <w:lang w:eastAsia="sv-SE"/>
        </w:rPr>
        <w:t xml:space="preserve">Förändringarna föreslås genomföras under kommande mandatperiod. Inbetalningarna till pensionssystemet höjs totalt med 1,29 procentenheter till 2026. Höjningen föreslås fördelas jämnt över kommande fyra år. Alltså höjs inbetalningarna med drygt 0,32 </w:t>
      </w:r>
      <w:r w:rsidRPr="00FC2616">
        <w:rPr>
          <w:lang w:eastAsia="sv-SE"/>
        </w:rPr>
        <w:lastRenderedPageBreak/>
        <w:t>procentenheter per år. 2023 avskaffas den allmänna pensionsavgiften och det skatte</w:t>
      </w:r>
      <w:r w:rsidR="002432AF">
        <w:rPr>
          <w:lang w:eastAsia="sv-SE"/>
        </w:rPr>
        <w:softHyphen/>
      </w:r>
      <w:r w:rsidRPr="00FC2616">
        <w:rPr>
          <w:lang w:eastAsia="sv-SE"/>
        </w:rPr>
        <w:t>avdrag som kompenserar för avgiften. Samtidigt höjs ålderspensionsavgiften till drygt 17,53 procent. 2024 höjs således inkomstindex med 6,6 procent och pensionerna ökar därför med 5,9 procent. Även inbetalningarna höjs med ytterligare drygt 0,32 procenten</w:t>
      </w:r>
      <w:r w:rsidR="002432AF">
        <w:rPr>
          <w:lang w:eastAsia="sv-SE"/>
        </w:rPr>
        <w:softHyphen/>
      </w:r>
      <w:r w:rsidRPr="00FC2616">
        <w:rPr>
          <w:lang w:eastAsia="sv-SE"/>
        </w:rPr>
        <w:t>heter till cirka 17,86 procent för att höjas till knappt 18,18 procent 2025 och 18,5 procent 2026. Även pensionsrätterna för nuvarande pensionssparare och pensionärer höjs successivt under kommande fyra år, sammantaget med 7,5</w:t>
      </w:r>
      <w:r w:rsidR="00F61645">
        <w:rPr>
          <w:lang w:eastAsia="sv-SE"/>
        </w:rPr>
        <w:t> </w:t>
      </w:r>
      <w:r w:rsidRPr="00FC2616">
        <w:rPr>
          <w:lang w:eastAsia="sv-SE"/>
        </w:rPr>
        <w:t>procent. Totalt höjs inkomst</w:t>
      </w:r>
      <w:r w:rsidR="002432AF">
        <w:rPr>
          <w:lang w:eastAsia="sv-SE"/>
        </w:rPr>
        <w:softHyphen/>
      </w:r>
      <w:r w:rsidRPr="00FC2616">
        <w:rPr>
          <w:lang w:eastAsia="sv-SE"/>
        </w:rPr>
        <w:t>pensionerna med 13,4 procent till 2026. En gas införs i systemet 2026, då övriga föreslagna reformer avslutas.</w:t>
      </w:r>
    </w:p>
    <w:p w:rsidRPr="00FC2616" w:rsidR="00D6559C" w:rsidP="00B50CBA" w:rsidRDefault="00D6559C" w14:paraId="77B31E0F" w14:textId="77777777">
      <w:pPr>
        <w:pStyle w:val="Rubrik3numrerat"/>
        <w:rPr>
          <w:lang w:eastAsia="sv-SE"/>
        </w:rPr>
      </w:pPr>
      <w:bookmarkStart w:name="_Toc149814549" w:id="84"/>
      <w:r w:rsidRPr="00FC2616">
        <w:rPr>
          <w:lang w:eastAsia="sv-SE"/>
        </w:rPr>
        <w:t>Offentligfinansiella effekter</w:t>
      </w:r>
      <w:bookmarkEnd w:id="84"/>
    </w:p>
    <w:p w:rsidRPr="00FC2616" w:rsidR="00D6559C" w:rsidP="006224BD" w:rsidRDefault="00D6559C" w14:paraId="2D951432" w14:textId="49FE35B0">
      <w:pPr>
        <w:pStyle w:val="Normalutanindragellerluft"/>
        <w:rPr>
          <w:lang w:eastAsia="sv-SE"/>
        </w:rPr>
      </w:pPr>
      <w:r w:rsidRPr="00FC2616">
        <w:rPr>
          <w:lang w:eastAsia="sv-SE"/>
        </w:rPr>
        <w:t>Reformen föreslås genomföras under kommande mandatperiod</w:t>
      </w:r>
      <w:r w:rsidR="00155B56">
        <w:rPr>
          <w:lang w:eastAsia="sv-SE"/>
        </w:rPr>
        <w:t>,</w:t>
      </w:r>
      <w:r w:rsidRPr="00FC2616">
        <w:rPr>
          <w:lang w:eastAsia="sv-SE"/>
        </w:rPr>
        <w:t xml:space="preserve"> varför de offentlig</w:t>
      </w:r>
      <w:r w:rsidR="002432AF">
        <w:rPr>
          <w:lang w:eastAsia="sv-SE"/>
        </w:rPr>
        <w:softHyphen/>
      </w:r>
      <w:r w:rsidRPr="00FC2616">
        <w:rPr>
          <w:lang w:eastAsia="sv-SE"/>
        </w:rPr>
        <w:t xml:space="preserve">finansiella effekterna fördelas över kommande fyra år. 2023 ökar inbetalningarna till pensionssystemet, varför de offentliga finanserna stärks. Eftersom pensionerna och inkomstindex föreslås höjas </w:t>
      </w:r>
      <w:r w:rsidRPr="00FC2616" w:rsidR="003C09DC">
        <w:rPr>
          <w:lang w:eastAsia="sv-SE"/>
        </w:rPr>
        <w:t>fr.o.m.</w:t>
      </w:r>
      <w:r w:rsidRPr="00FC2616">
        <w:rPr>
          <w:lang w:eastAsia="sv-SE"/>
        </w:rPr>
        <w:t xml:space="preserve"> 2024 försvagas de offentliga finanserna från d</w:t>
      </w:r>
      <w:r w:rsidRPr="00FC2616" w:rsidR="00DC6E6F">
        <w:rPr>
          <w:lang w:eastAsia="sv-SE"/>
        </w:rPr>
        <w:t>e</w:t>
      </w:r>
      <w:r w:rsidRPr="00FC2616">
        <w:rPr>
          <w:lang w:eastAsia="sv-SE"/>
        </w:rPr>
        <w:t xml:space="preserve">t året och framåt. Statens och kommunsektorns skatteinkomster ökar också från det året, samtidigt som utgifterna för grundskyddet och inkomstpensionstillägget minskar. </w:t>
      </w:r>
    </w:p>
    <w:p w:rsidRPr="00FC2616" w:rsidR="00D6559C" w:rsidP="00D6559C" w:rsidRDefault="00D6559C" w14:paraId="4B34879F" w14:textId="77777777">
      <w:pPr>
        <w:rPr>
          <w:lang w:eastAsia="sv-SE"/>
        </w:rPr>
      </w:pPr>
      <w:r w:rsidRPr="00FC2616">
        <w:rPr>
          <w:lang w:eastAsia="sv-SE"/>
        </w:rPr>
        <w:t>De samlade offentligfinansiella effekterna uppgår till en kostnad om 21,3 miljarder kronor när reformen är fullt genomförd 2026. Statens kostnader uppgår till 15,6 miljarder kronor. Kommunsektorns finanser beräknas stärkas med 14,7 miljarder kronor 2026, varav 13,7 miljarder kronor består av ökad inkomstskatt. Ålderspensionssystemets finanser försvagas med drygt 20 miljarder kronor.</w:t>
      </w:r>
    </w:p>
    <w:p w:rsidRPr="006224BD" w:rsidR="00D6559C" w:rsidP="006224BD" w:rsidRDefault="00D6559C" w14:paraId="783E4465" w14:textId="649B6E08">
      <w:pPr>
        <w:pStyle w:val="Tabellrubrik"/>
      </w:pPr>
      <w:r w:rsidRPr="006224BD">
        <w:t xml:space="preserve">Tabell </w:t>
      </w:r>
      <w:r w:rsidRPr="006224BD" w:rsidR="0008121C">
        <w:t>1</w:t>
      </w:r>
      <w:r w:rsidRPr="006224BD">
        <w:t xml:space="preserve"> Offentligfinansiella effekter av förslaget (miljarder kronor)</w:t>
      </w:r>
    </w:p>
    <w:tbl>
      <w:tblPr>
        <w:tblW w:w="8789" w:type="dxa"/>
        <w:tblLayout w:type="fixed"/>
        <w:tblCellMar>
          <w:left w:w="28" w:type="dxa"/>
          <w:right w:w="28" w:type="dxa"/>
        </w:tblCellMar>
        <w:tblLook w:val="04A0" w:firstRow="1" w:lastRow="0" w:firstColumn="1" w:lastColumn="0" w:noHBand="0" w:noVBand="1"/>
      </w:tblPr>
      <w:tblGrid>
        <w:gridCol w:w="3686"/>
        <w:gridCol w:w="1275"/>
        <w:gridCol w:w="1276"/>
        <w:gridCol w:w="1276"/>
        <w:gridCol w:w="1276"/>
      </w:tblGrid>
      <w:tr w:rsidRPr="00FC2616" w:rsidR="00D6559C" w:rsidTr="006224BD" w14:paraId="16696FEB" w14:textId="77777777">
        <w:trPr>
          <w:cantSplit/>
        </w:trPr>
        <w:tc>
          <w:tcPr>
            <w:tcW w:w="3686" w:type="dxa"/>
            <w:tcBorders>
              <w:top w:val="single" w:color="auto" w:sz="8" w:space="0"/>
              <w:left w:val="nil"/>
              <w:bottom w:val="single" w:color="auto" w:sz="8" w:space="0"/>
              <w:right w:val="nil"/>
            </w:tcBorders>
            <w:shd w:val="clear" w:color="auto" w:fill="auto"/>
            <w:noWrap/>
            <w:hideMark/>
          </w:tcPr>
          <w:p w:rsidRPr="00FC2616" w:rsidR="00D6559C" w:rsidP="006224BD" w:rsidRDefault="00D6559C" w14:paraId="07D2D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w:t>
            </w:r>
          </w:p>
        </w:tc>
        <w:tc>
          <w:tcPr>
            <w:tcW w:w="1275" w:type="dxa"/>
            <w:tcBorders>
              <w:top w:val="single" w:color="auto" w:sz="8" w:space="0"/>
              <w:left w:val="nil"/>
              <w:bottom w:val="single" w:color="auto" w:sz="8" w:space="0"/>
              <w:right w:val="nil"/>
            </w:tcBorders>
            <w:shd w:val="clear" w:color="auto" w:fill="auto"/>
            <w:noWrap/>
            <w:hideMark/>
          </w:tcPr>
          <w:p w:rsidRPr="006224BD" w:rsidR="00D6559C" w:rsidP="006224BD" w:rsidRDefault="00D6559C" w14:paraId="3EC73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sz w:val="20"/>
                <w:szCs w:val="20"/>
                <w:lang w:eastAsia="sv-SE"/>
              </w:rPr>
            </w:pPr>
            <w:r w:rsidRPr="006224BD">
              <w:rPr>
                <w:rFonts w:ascii="Times New Roman" w:hAnsi="Times New Roman" w:eastAsia="Times New Roman" w:cs="Times New Roman"/>
                <w:b/>
                <w:bCs/>
                <w:color w:val="000000"/>
                <w:kern w:val="0"/>
                <w:sz w:val="20"/>
                <w:szCs w:val="20"/>
                <w:lang w:eastAsia="sv-SE"/>
                <w14:numSpacing w14:val="default"/>
              </w:rPr>
              <w:t>2023</w:t>
            </w:r>
          </w:p>
        </w:tc>
        <w:tc>
          <w:tcPr>
            <w:tcW w:w="1276" w:type="dxa"/>
            <w:tcBorders>
              <w:top w:val="single" w:color="auto" w:sz="8" w:space="0"/>
              <w:left w:val="nil"/>
              <w:bottom w:val="single" w:color="auto" w:sz="8" w:space="0"/>
              <w:right w:val="nil"/>
            </w:tcBorders>
            <w:shd w:val="clear" w:color="auto" w:fill="auto"/>
            <w:noWrap/>
            <w:hideMark/>
          </w:tcPr>
          <w:p w:rsidRPr="006224BD" w:rsidR="00D6559C" w:rsidP="006224BD" w:rsidRDefault="00D6559C" w14:paraId="7CA80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sz w:val="20"/>
                <w:szCs w:val="20"/>
                <w:lang w:eastAsia="sv-SE"/>
              </w:rPr>
            </w:pPr>
            <w:r w:rsidRPr="006224BD">
              <w:rPr>
                <w:rFonts w:ascii="Times New Roman" w:hAnsi="Times New Roman" w:eastAsia="Times New Roman" w:cs="Times New Roman"/>
                <w:b/>
                <w:bCs/>
                <w:color w:val="000000"/>
                <w:kern w:val="0"/>
                <w:sz w:val="20"/>
                <w:szCs w:val="20"/>
                <w:lang w:eastAsia="sv-SE"/>
                <w14:numSpacing w14:val="default"/>
              </w:rPr>
              <w:t>2024</w:t>
            </w:r>
          </w:p>
        </w:tc>
        <w:tc>
          <w:tcPr>
            <w:tcW w:w="1276" w:type="dxa"/>
            <w:tcBorders>
              <w:top w:val="single" w:color="auto" w:sz="8" w:space="0"/>
              <w:left w:val="nil"/>
              <w:bottom w:val="single" w:color="auto" w:sz="8" w:space="0"/>
              <w:right w:val="nil"/>
            </w:tcBorders>
            <w:shd w:val="clear" w:color="auto" w:fill="auto"/>
            <w:noWrap/>
            <w:hideMark/>
          </w:tcPr>
          <w:p w:rsidRPr="006224BD" w:rsidR="00D6559C" w:rsidP="006224BD" w:rsidRDefault="00D6559C" w14:paraId="552FE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sz w:val="20"/>
                <w:szCs w:val="20"/>
                <w:lang w:eastAsia="sv-SE"/>
              </w:rPr>
            </w:pPr>
            <w:r w:rsidRPr="006224BD">
              <w:rPr>
                <w:rFonts w:ascii="Times New Roman" w:hAnsi="Times New Roman" w:eastAsia="Times New Roman" w:cs="Times New Roman"/>
                <w:b/>
                <w:bCs/>
                <w:color w:val="000000"/>
                <w:kern w:val="0"/>
                <w:sz w:val="20"/>
                <w:szCs w:val="20"/>
                <w:lang w:eastAsia="sv-SE"/>
                <w14:numSpacing w14:val="default"/>
              </w:rPr>
              <w:t>2025</w:t>
            </w:r>
          </w:p>
        </w:tc>
        <w:tc>
          <w:tcPr>
            <w:tcW w:w="1276" w:type="dxa"/>
            <w:tcBorders>
              <w:top w:val="single" w:color="auto" w:sz="8" w:space="0"/>
              <w:left w:val="nil"/>
              <w:bottom w:val="single" w:color="auto" w:sz="8" w:space="0"/>
              <w:right w:val="nil"/>
            </w:tcBorders>
            <w:shd w:val="clear" w:color="auto" w:fill="auto"/>
            <w:noWrap/>
            <w:hideMark/>
          </w:tcPr>
          <w:p w:rsidRPr="006224BD" w:rsidR="00D6559C" w:rsidP="006224BD" w:rsidRDefault="00D6559C" w14:paraId="2A3D8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sz w:val="20"/>
                <w:szCs w:val="20"/>
                <w:lang w:eastAsia="sv-SE"/>
              </w:rPr>
            </w:pPr>
            <w:r w:rsidRPr="006224BD">
              <w:rPr>
                <w:rFonts w:ascii="Times New Roman" w:hAnsi="Times New Roman" w:eastAsia="Times New Roman" w:cs="Times New Roman"/>
                <w:b/>
                <w:bCs/>
                <w:color w:val="000000"/>
                <w:kern w:val="0"/>
                <w:sz w:val="20"/>
                <w:szCs w:val="20"/>
                <w:lang w:eastAsia="sv-SE"/>
                <w14:numSpacing w14:val="default"/>
              </w:rPr>
              <w:t>2026</w:t>
            </w:r>
          </w:p>
        </w:tc>
      </w:tr>
      <w:tr w:rsidRPr="00FC2616" w:rsidR="00D6559C" w:rsidTr="006224BD" w14:paraId="2BEF2A09"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65F74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Staten</w:t>
            </w:r>
          </w:p>
        </w:tc>
        <w:tc>
          <w:tcPr>
            <w:tcW w:w="1275" w:type="dxa"/>
            <w:tcBorders>
              <w:top w:val="nil"/>
              <w:left w:val="nil"/>
              <w:bottom w:val="nil"/>
              <w:right w:val="nil"/>
            </w:tcBorders>
            <w:shd w:val="clear" w:color="auto" w:fill="auto"/>
            <w:noWrap/>
            <w:hideMark/>
          </w:tcPr>
          <w:p w:rsidRPr="00FC2616" w:rsidR="00D6559C" w:rsidP="006224BD" w:rsidRDefault="004F1DAC" w14:paraId="59A1F8C7" w14:textId="0D9135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kern w:val="0"/>
                <w:sz w:val="20"/>
                <w:szCs w:val="20"/>
                <w:lang w:eastAsia="sv-SE"/>
                <w14:numSpacing w14:val="default"/>
              </w:rPr>
              <w:t>–</w:t>
            </w:r>
            <w:r w:rsidRPr="00FC2616" w:rsidR="00D6559C">
              <w:rPr>
                <w:rFonts w:ascii="Times New Roman" w:hAnsi="Times New Roman" w:eastAsia="Times New Roman" w:cs="Times New Roman"/>
                <w:b/>
                <w:bCs/>
                <w:kern w:val="0"/>
                <w:sz w:val="20"/>
                <w:szCs w:val="20"/>
                <w:lang w:eastAsia="sv-SE"/>
                <w14:numSpacing w14:val="default"/>
              </w:rPr>
              <w:t>3,4</w:t>
            </w:r>
          </w:p>
        </w:tc>
        <w:tc>
          <w:tcPr>
            <w:tcW w:w="1276" w:type="dxa"/>
            <w:tcBorders>
              <w:top w:val="nil"/>
              <w:left w:val="nil"/>
              <w:bottom w:val="nil"/>
              <w:right w:val="nil"/>
            </w:tcBorders>
            <w:shd w:val="clear" w:color="auto" w:fill="auto"/>
            <w:noWrap/>
            <w:hideMark/>
          </w:tcPr>
          <w:p w:rsidRPr="00FC2616" w:rsidR="00D6559C" w:rsidP="006224BD" w:rsidRDefault="004F1DAC" w14:paraId="35D1D391" w14:textId="0F519A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kern w:val="0"/>
                <w:sz w:val="20"/>
                <w:szCs w:val="20"/>
                <w:lang w:eastAsia="sv-SE"/>
                <w14:numSpacing w14:val="default"/>
              </w:rPr>
              <w:t>–</w:t>
            </w:r>
            <w:r w:rsidRPr="00FC2616" w:rsidR="00D6559C">
              <w:rPr>
                <w:rFonts w:ascii="Times New Roman" w:hAnsi="Times New Roman" w:eastAsia="Times New Roman" w:cs="Times New Roman"/>
                <w:b/>
                <w:bCs/>
                <w:kern w:val="0"/>
                <w:sz w:val="20"/>
                <w:szCs w:val="20"/>
                <w:lang w:eastAsia="sv-SE"/>
                <w14:numSpacing w14:val="default"/>
              </w:rPr>
              <w:t>8,4</w:t>
            </w:r>
          </w:p>
        </w:tc>
        <w:tc>
          <w:tcPr>
            <w:tcW w:w="1276" w:type="dxa"/>
            <w:tcBorders>
              <w:top w:val="nil"/>
              <w:left w:val="nil"/>
              <w:bottom w:val="nil"/>
              <w:right w:val="nil"/>
            </w:tcBorders>
            <w:shd w:val="clear" w:color="auto" w:fill="auto"/>
            <w:noWrap/>
            <w:hideMark/>
          </w:tcPr>
          <w:p w:rsidRPr="00FC2616" w:rsidR="00D6559C" w:rsidP="006224BD" w:rsidRDefault="004F1DAC" w14:paraId="4DAE4362" w14:textId="28294F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kern w:val="0"/>
                <w:sz w:val="20"/>
                <w:szCs w:val="20"/>
                <w:lang w:eastAsia="sv-SE"/>
                <w14:numSpacing w14:val="default"/>
              </w:rPr>
              <w:t>–</w:t>
            </w:r>
            <w:r w:rsidRPr="00FC2616" w:rsidR="00D6559C">
              <w:rPr>
                <w:rFonts w:ascii="Times New Roman" w:hAnsi="Times New Roman" w:eastAsia="Times New Roman" w:cs="Times New Roman"/>
                <w:b/>
                <w:bCs/>
                <w:kern w:val="0"/>
                <w:sz w:val="20"/>
                <w:szCs w:val="20"/>
                <w:lang w:eastAsia="sv-SE"/>
                <w14:numSpacing w14:val="default"/>
              </w:rPr>
              <w:t>11,0</w:t>
            </w:r>
          </w:p>
        </w:tc>
        <w:tc>
          <w:tcPr>
            <w:tcW w:w="1276" w:type="dxa"/>
            <w:tcBorders>
              <w:top w:val="nil"/>
              <w:left w:val="nil"/>
              <w:bottom w:val="nil"/>
              <w:right w:val="nil"/>
            </w:tcBorders>
            <w:shd w:val="clear" w:color="auto" w:fill="auto"/>
            <w:noWrap/>
            <w:hideMark/>
          </w:tcPr>
          <w:p w:rsidRPr="00FC2616" w:rsidR="00D6559C" w:rsidP="006224BD" w:rsidRDefault="004F1DAC" w14:paraId="315BDB0C" w14:textId="6F6B9C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kern w:val="0"/>
                <w:sz w:val="20"/>
                <w:szCs w:val="20"/>
                <w:lang w:eastAsia="sv-SE"/>
                <w14:numSpacing w14:val="default"/>
              </w:rPr>
              <w:t>–</w:t>
            </w:r>
            <w:r w:rsidRPr="00FC2616" w:rsidR="00D6559C">
              <w:rPr>
                <w:rFonts w:ascii="Times New Roman" w:hAnsi="Times New Roman" w:eastAsia="Times New Roman" w:cs="Times New Roman"/>
                <w:b/>
                <w:bCs/>
                <w:kern w:val="0"/>
                <w:sz w:val="20"/>
                <w:szCs w:val="20"/>
                <w:lang w:eastAsia="sv-SE"/>
                <w14:numSpacing w14:val="default"/>
              </w:rPr>
              <w:t>15,6</w:t>
            </w:r>
          </w:p>
        </w:tc>
      </w:tr>
      <w:tr w:rsidRPr="00FC2616" w:rsidR="00D6559C" w:rsidTr="006224BD" w14:paraId="641A3D1A"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112C6A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Grundskydd* och inkomstpensionstillägg</w:t>
            </w:r>
          </w:p>
        </w:tc>
        <w:tc>
          <w:tcPr>
            <w:tcW w:w="1275" w:type="dxa"/>
            <w:tcBorders>
              <w:top w:val="nil"/>
              <w:left w:val="nil"/>
              <w:bottom w:val="nil"/>
              <w:right w:val="nil"/>
            </w:tcBorders>
            <w:shd w:val="clear" w:color="auto" w:fill="auto"/>
            <w:noWrap/>
            <w:hideMark/>
          </w:tcPr>
          <w:p w:rsidRPr="00FC2616" w:rsidR="00D6559C" w:rsidP="006224BD" w:rsidRDefault="00D6559C" w14:paraId="6FFD5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0,0</w:t>
            </w:r>
          </w:p>
        </w:tc>
        <w:tc>
          <w:tcPr>
            <w:tcW w:w="1276" w:type="dxa"/>
            <w:tcBorders>
              <w:top w:val="nil"/>
              <w:left w:val="nil"/>
              <w:bottom w:val="nil"/>
              <w:right w:val="nil"/>
            </w:tcBorders>
            <w:shd w:val="clear" w:color="auto" w:fill="auto"/>
            <w:noWrap/>
            <w:hideMark/>
          </w:tcPr>
          <w:p w:rsidRPr="00FC2616" w:rsidR="00D6559C" w:rsidP="006224BD" w:rsidRDefault="00D6559C" w14:paraId="65076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2,0</w:t>
            </w:r>
          </w:p>
        </w:tc>
        <w:tc>
          <w:tcPr>
            <w:tcW w:w="1276" w:type="dxa"/>
            <w:tcBorders>
              <w:top w:val="nil"/>
              <w:left w:val="nil"/>
              <w:bottom w:val="nil"/>
              <w:right w:val="nil"/>
            </w:tcBorders>
            <w:shd w:val="clear" w:color="auto" w:fill="auto"/>
            <w:noWrap/>
            <w:hideMark/>
          </w:tcPr>
          <w:p w:rsidRPr="00FC2616" w:rsidR="00D6559C" w:rsidP="006224BD" w:rsidRDefault="00D6559C" w14:paraId="6948E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6,8</w:t>
            </w:r>
          </w:p>
        </w:tc>
        <w:tc>
          <w:tcPr>
            <w:tcW w:w="1276" w:type="dxa"/>
            <w:tcBorders>
              <w:top w:val="nil"/>
              <w:left w:val="nil"/>
              <w:bottom w:val="nil"/>
              <w:right w:val="nil"/>
            </w:tcBorders>
            <w:shd w:val="clear" w:color="auto" w:fill="auto"/>
            <w:noWrap/>
            <w:hideMark/>
          </w:tcPr>
          <w:p w:rsidRPr="00FC2616" w:rsidR="00D6559C" w:rsidP="006224BD" w:rsidRDefault="00D6559C" w14:paraId="2D099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9,1</w:t>
            </w:r>
          </w:p>
        </w:tc>
      </w:tr>
      <w:tr w:rsidRPr="00FC2616" w:rsidR="00D6559C" w:rsidTr="006224BD" w14:paraId="2B355F25"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5DA6F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Skatt**</w:t>
            </w:r>
          </w:p>
        </w:tc>
        <w:tc>
          <w:tcPr>
            <w:tcW w:w="1275" w:type="dxa"/>
            <w:tcBorders>
              <w:top w:val="nil"/>
              <w:left w:val="nil"/>
              <w:bottom w:val="nil"/>
              <w:right w:val="nil"/>
            </w:tcBorders>
            <w:shd w:val="clear" w:color="auto" w:fill="auto"/>
            <w:noWrap/>
            <w:hideMark/>
          </w:tcPr>
          <w:p w:rsidRPr="00FC2616" w:rsidR="00D6559C" w:rsidP="006224BD" w:rsidRDefault="006224BD" w14:paraId="68A858FD" w14:textId="65A168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0,5</w:t>
            </w:r>
          </w:p>
        </w:tc>
        <w:tc>
          <w:tcPr>
            <w:tcW w:w="1276" w:type="dxa"/>
            <w:tcBorders>
              <w:top w:val="nil"/>
              <w:left w:val="nil"/>
              <w:bottom w:val="nil"/>
              <w:right w:val="nil"/>
            </w:tcBorders>
            <w:shd w:val="clear" w:color="auto" w:fill="auto"/>
            <w:noWrap/>
            <w:hideMark/>
          </w:tcPr>
          <w:p w:rsidRPr="00FC2616" w:rsidR="00D6559C" w:rsidP="006224BD" w:rsidRDefault="006224BD" w14:paraId="1D6AD6A7" w14:textId="4CD408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0,3</w:t>
            </w:r>
          </w:p>
        </w:tc>
        <w:tc>
          <w:tcPr>
            <w:tcW w:w="1276" w:type="dxa"/>
            <w:tcBorders>
              <w:top w:val="nil"/>
              <w:left w:val="nil"/>
              <w:bottom w:val="nil"/>
              <w:right w:val="nil"/>
            </w:tcBorders>
            <w:shd w:val="clear" w:color="auto" w:fill="auto"/>
            <w:noWrap/>
            <w:hideMark/>
          </w:tcPr>
          <w:p w:rsidRPr="00FC2616" w:rsidR="00D6559C" w:rsidP="006224BD" w:rsidRDefault="00D6559C" w14:paraId="26B977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0,0</w:t>
            </w:r>
          </w:p>
        </w:tc>
        <w:tc>
          <w:tcPr>
            <w:tcW w:w="1276" w:type="dxa"/>
            <w:tcBorders>
              <w:top w:val="nil"/>
              <w:left w:val="nil"/>
              <w:bottom w:val="nil"/>
              <w:right w:val="nil"/>
            </w:tcBorders>
            <w:shd w:val="clear" w:color="auto" w:fill="auto"/>
            <w:noWrap/>
            <w:hideMark/>
          </w:tcPr>
          <w:p w:rsidRPr="00FC2616" w:rsidR="00D6559C" w:rsidP="006224BD" w:rsidRDefault="00D6559C" w14:paraId="343D3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0,1</w:t>
            </w:r>
          </w:p>
        </w:tc>
      </w:tr>
      <w:tr w:rsidRPr="00FC2616" w:rsidR="00D6559C" w:rsidTr="006224BD" w14:paraId="5531C019"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398FDBEB" w14:textId="59A8DD6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Skattered</w:t>
            </w:r>
            <w:r w:rsidR="006224BD">
              <w:rPr>
                <w:rFonts w:ascii="Times New Roman" w:hAnsi="Times New Roman" w:eastAsia="Times New Roman" w:cs="Times New Roman"/>
                <w:kern w:val="0"/>
                <w:sz w:val="20"/>
                <w:szCs w:val="20"/>
                <w:lang w:eastAsia="sv-SE"/>
                <w14:numSpacing w14:val="default"/>
              </w:rPr>
              <w:t>.</w:t>
            </w:r>
            <w:r w:rsidRPr="00FC2616">
              <w:rPr>
                <w:rFonts w:ascii="Times New Roman" w:hAnsi="Times New Roman" w:eastAsia="Times New Roman" w:cs="Times New Roman"/>
                <w:kern w:val="0"/>
                <w:sz w:val="20"/>
                <w:szCs w:val="20"/>
                <w:lang w:eastAsia="sv-SE"/>
                <w14:numSpacing w14:val="default"/>
              </w:rPr>
              <w:t xml:space="preserve"> allmän pensionsavgift</w:t>
            </w:r>
          </w:p>
        </w:tc>
        <w:tc>
          <w:tcPr>
            <w:tcW w:w="1275" w:type="dxa"/>
            <w:tcBorders>
              <w:top w:val="nil"/>
              <w:left w:val="nil"/>
              <w:bottom w:val="nil"/>
              <w:right w:val="nil"/>
            </w:tcBorders>
            <w:shd w:val="clear" w:color="auto" w:fill="auto"/>
            <w:noWrap/>
            <w:hideMark/>
          </w:tcPr>
          <w:p w:rsidRPr="00FC2616" w:rsidR="00D6559C" w:rsidP="006224BD" w:rsidRDefault="00D6559C" w14:paraId="5EF499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149,4</w:t>
            </w:r>
          </w:p>
        </w:tc>
        <w:tc>
          <w:tcPr>
            <w:tcW w:w="1276" w:type="dxa"/>
            <w:tcBorders>
              <w:top w:val="nil"/>
              <w:left w:val="nil"/>
              <w:bottom w:val="nil"/>
              <w:right w:val="nil"/>
            </w:tcBorders>
            <w:shd w:val="clear" w:color="auto" w:fill="auto"/>
            <w:noWrap/>
            <w:hideMark/>
          </w:tcPr>
          <w:p w:rsidRPr="00FC2616" w:rsidR="00D6559C" w:rsidP="006224BD" w:rsidRDefault="00D6559C" w14:paraId="68A4D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156,2</w:t>
            </w:r>
          </w:p>
        </w:tc>
        <w:tc>
          <w:tcPr>
            <w:tcW w:w="1276" w:type="dxa"/>
            <w:tcBorders>
              <w:top w:val="nil"/>
              <w:left w:val="nil"/>
              <w:bottom w:val="nil"/>
              <w:right w:val="nil"/>
            </w:tcBorders>
            <w:shd w:val="clear" w:color="auto" w:fill="auto"/>
            <w:noWrap/>
            <w:hideMark/>
          </w:tcPr>
          <w:p w:rsidRPr="00FC2616" w:rsidR="00D6559C" w:rsidP="006224BD" w:rsidRDefault="00D6559C" w14:paraId="169D5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163,0</w:t>
            </w:r>
          </w:p>
        </w:tc>
        <w:tc>
          <w:tcPr>
            <w:tcW w:w="1276" w:type="dxa"/>
            <w:tcBorders>
              <w:top w:val="nil"/>
              <w:left w:val="nil"/>
              <w:bottom w:val="nil"/>
              <w:right w:val="nil"/>
            </w:tcBorders>
            <w:shd w:val="clear" w:color="auto" w:fill="auto"/>
            <w:noWrap/>
            <w:hideMark/>
          </w:tcPr>
          <w:p w:rsidRPr="00FC2616" w:rsidR="00D6559C" w:rsidP="006224BD" w:rsidRDefault="00D6559C" w14:paraId="2C9B19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163,0</w:t>
            </w:r>
          </w:p>
        </w:tc>
      </w:tr>
      <w:tr w:rsidRPr="00FC2616" w:rsidR="00D6559C" w:rsidTr="006224BD" w14:paraId="5B8DE49C"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70A35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Allmän löneavgift</w:t>
            </w:r>
          </w:p>
        </w:tc>
        <w:tc>
          <w:tcPr>
            <w:tcW w:w="1275" w:type="dxa"/>
            <w:tcBorders>
              <w:top w:val="nil"/>
              <w:left w:val="nil"/>
              <w:bottom w:val="nil"/>
              <w:right w:val="nil"/>
            </w:tcBorders>
            <w:shd w:val="clear" w:color="auto" w:fill="auto"/>
            <w:noWrap/>
            <w:hideMark/>
          </w:tcPr>
          <w:p w:rsidRPr="00FC2616" w:rsidR="00D6559C" w:rsidP="006224BD" w:rsidRDefault="006224BD" w14:paraId="4651FF00" w14:textId="5C50E3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160,6</w:t>
            </w:r>
          </w:p>
        </w:tc>
        <w:tc>
          <w:tcPr>
            <w:tcW w:w="1276" w:type="dxa"/>
            <w:tcBorders>
              <w:top w:val="nil"/>
              <w:left w:val="nil"/>
              <w:bottom w:val="nil"/>
              <w:right w:val="nil"/>
            </w:tcBorders>
            <w:shd w:val="clear" w:color="auto" w:fill="auto"/>
            <w:noWrap/>
            <w:hideMark/>
          </w:tcPr>
          <w:p w:rsidRPr="00FC2616" w:rsidR="00D6559C" w:rsidP="006224BD" w:rsidRDefault="006224BD" w14:paraId="52B07D23" w14:textId="6A1E37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175,8</w:t>
            </w:r>
          </w:p>
        </w:tc>
        <w:tc>
          <w:tcPr>
            <w:tcW w:w="1276" w:type="dxa"/>
            <w:tcBorders>
              <w:top w:val="nil"/>
              <w:left w:val="nil"/>
              <w:bottom w:val="nil"/>
              <w:right w:val="nil"/>
            </w:tcBorders>
            <w:shd w:val="clear" w:color="auto" w:fill="auto"/>
            <w:noWrap/>
            <w:hideMark/>
          </w:tcPr>
          <w:p w:rsidRPr="00FC2616" w:rsidR="00D6559C" w:rsidP="006224BD" w:rsidRDefault="006224BD" w14:paraId="57BD9542" w14:textId="4AD53A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191,5</w:t>
            </w:r>
          </w:p>
        </w:tc>
        <w:tc>
          <w:tcPr>
            <w:tcW w:w="1276" w:type="dxa"/>
            <w:tcBorders>
              <w:top w:val="nil"/>
              <w:left w:val="nil"/>
              <w:bottom w:val="nil"/>
              <w:right w:val="nil"/>
            </w:tcBorders>
            <w:shd w:val="clear" w:color="auto" w:fill="auto"/>
            <w:noWrap/>
            <w:hideMark/>
          </w:tcPr>
          <w:p w:rsidRPr="00FC2616" w:rsidR="00D6559C" w:rsidP="006224BD" w:rsidRDefault="006224BD" w14:paraId="1F13F43F" w14:textId="5146B4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199,2</w:t>
            </w:r>
          </w:p>
        </w:tc>
      </w:tr>
      <w:tr w:rsidRPr="00FC2616" w:rsidR="00D6559C" w:rsidTr="006224BD" w14:paraId="4BEFC3F7"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6D881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Statlig ålderspensionsavgift</w:t>
            </w:r>
          </w:p>
        </w:tc>
        <w:tc>
          <w:tcPr>
            <w:tcW w:w="1275" w:type="dxa"/>
            <w:tcBorders>
              <w:top w:val="nil"/>
              <w:left w:val="nil"/>
              <w:bottom w:val="nil"/>
              <w:right w:val="nil"/>
            </w:tcBorders>
            <w:shd w:val="clear" w:color="auto" w:fill="auto"/>
            <w:noWrap/>
            <w:hideMark/>
          </w:tcPr>
          <w:p w:rsidRPr="00FC2616" w:rsidR="00D6559C" w:rsidP="006224BD" w:rsidRDefault="006224BD" w14:paraId="192877AD" w14:textId="5B4008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8,2</w:t>
            </w:r>
          </w:p>
        </w:tc>
        <w:tc>
          <w:tcPr>
            <w:tcW w:w="1276" w:type="dxa"/>
            <w:tcBorders>
              <w:top w:val="nil"/>
              <w:left w:val="nil"/>
              <w:bottom w:val="nil"/>
              <w:right w:val="nil"/>
            </w:tcBorders>
            <w:shd w:val="clear" w:color="auto" w:fill="auto"/>
            <w:noWrap/>
            <w:hideMark/>
          </w:tcPr>
          <w:p w:rsidRPr="00FC2616" w:rsidR="00D6559C" w:rsidP="006224BD" w:rsidRDefault="006224BD" w14:paraId="4083EA02" w14:textId="75927F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8,9</w:t>
            </w:r>
          </w:p>
        </w:tc>
        <w:tc>
          <w:tcPr>
            <w:tcW w:w="1276" w:type="dxa"/>
            <w:tcBorders>
              <w:top w:val="nil"/>
              <w:left w:val="nil"/>
              <w:bottom w:val="nil"/>
              <w:right w:val="nil"/>
            </w:tcBorders>
            <w:shd w:val="clear" w:color="auto" w:fill="auto"/>
            <w:noWrap/>
            <w:hideMark/>
          </w:tcPr>
          <w:p w:rsidRPr="00FC2616" w:rsidR="00D6559C" w:rsidP="006224BD" w:rsidRDefault="006224BD" w14:paraId="1FB5377B" w14:textId="56CB76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9,5</w:t>
            </w:r>
          </w:p>
        </w:tc>
        <w:tc>
          <w:tcPr>
            <w:tcW w:w="1276" w:type="dxa"/>
            <w:tcBorders>
              <w:top w:val="nil"/>
              <w:left w:val="nil"/>
              <w:bottom w:val="nil"/>
              <w:right w:val="nil"/>
            </w:tcBorders>
            <w:shd w:val="clear" w:color="auto" w:fill="auto"/>
            <w:noWrap/>
            <w:hideMark/>
          </w:tcPr>
          <w:p w:rsidRPr="00FC2616" w:rsidR="00D6559C" w:rsidP="006224BD" w:rsidRDefault="006224BD" w14:paraId="061E1A9E" w14:textId="434B4F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9,5</w:t>
            </w:r>
          </w:p>
        </w:tc>
      </w:tr>
      <w:tr w:rsidRPr="00FC2616" w:rsidR="00D6559C" w:rsidTr="006224BD" w14:paraId="54FB288D"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483DA6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Ålderspensionsavgifter över taket</w:t>
            </w:r>
          </w:p>
        </w:tc>
        <w:tc>
          <w:tcPr>
            <w:tcW w:w="1275" w:type="dxa"/>
            <w:tcBorders>
              <w:top w:val="nil"/>
              <w:left w:val="nil"/>
              <w:bottom w:val="nil"/>
              <w:right w:val="nil"/>
            </w:tcBorders>
            <w:shd w:val="clear" w:color="auto" w:fill="auto"/>
            <w:noWrap/>
            <w:hideMark/>
          </w:tcPr>
          <w:p w:rsidRPr="00FC2616" w:rsidR="00D6559C" w:rsidP="006224BD" w:rsidRDefault="00D6559C" w14:paraId="00342E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16,7</w:t>
            </w:r>
          </w:p>
        </w:tc>
        <w:tc>
          <w:tcPr>
            <w:tcW w:w="1276" w:type="dxa"/>
            <w:tcBorders>
              <w:top w:val="nil"/>
              <w:left w:val="nil"/>
              <w:bottom w:val="nil"/>
              <w:right w:val="nil"/>
            </w:tcBorders>
            <w:shd w:val="clear" w:color="auto" w:fill="auto"/>
            <w:noWrap/>
            <w:hideMark/>
          </w:tcPr>
          <w:p w:rsidRPr="00FC2616" w:rsidR="00D6559C" w:rsidP="006224BD" w:rsidRDefault="00D6559C" w14:paraId="6CE901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17,8</w:t>
            </w:r>
          </w:p>
        </w:tc>
        <w:tc>
          <w:tcPr>
            <w:tcW w:w="1276" w:type="dxa"/>
            <w:tcBorders>
              <w:top w:val="nil"/>
              <w:left w:val="nil"/>
              <w:bottom w:val="nil"/>
              <w:right w:val="nil"/>
            </w:tcBorders>
            <w:shd w:val="clear" w:color="auto" w:fill="auto"/>
            <w:noWrap/>
            <w:hideMark/>
          </w:tcPr>
          <w:p w:rsidRPr="00FC2616" w:rsidR="00D6559C" w:rsidP="006224BD" w:rsidRDefault="00D6559C" w14:paraId="41F02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19,5</w:t>
            </w:r>
          </w:p>
        </w:tc>
        <w:tc>
          <w:tcPr>
            <w:tcW w:w="1276" w:type="dxa"/>
            <w:tcBorders>
              <w:top w:val="nil"/>
              <w:left w:val="nil"/>
              <w:bottom w:val="nil"/>
              <w:right w:val="nil"/>
            </w:tcBorders>
            <w:shd w:val="clear" w:color="auto" w:fill="auto"/>
            <w:noWrap/>
            <w:hideMark/>
          </w:tcPr>
          <w:p w:rsidRPr="00FC2616" w:rsidR="00D6559C" w:rsidP="006224BD" w:rsidRDefault="00D6559C" w14:paraId="3600BA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20,3</w:t>
            </w:r>
          </w:p>
        </w:tc>
      </w:tr>
      <w:tr w:rsidRPr="00FC2616" w:rsidR="00DC6E6F" w:rsidTr="006224BD" w14:paraId="6B2AC23E" w14:textId="77777777">
        <w:trPr>
          <w:cantSplit/>
        </w:trPr>
        <w:tc>
          <w:tcPr>
            <w:tcW w:w="3686" w:type="dxa"/>
            <w:tcBorders>
              <w:top w:val="nil"/>
              <w:left w:val="nil"/>
              <w:bottom w:val="nil"/>
              <w:right w:val="nil"/>
            </w:tcBorders>
            <w:shd w:val="clear" w:color="auto" w:fill="auto"/>
            <w:noWrap/>
          </w:tcPr>
          <w:p w:rsidRPr="00FC2616" w:rsidR="00DC6E6F" w:rsidP="006224BD" w:rsidRDefault="00DC6E6F" w14:paraId="01665211" w14:textId="4A8A638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2616">
              <w:rPr>
                <w:rFonts w:ascii="Times New Roman" w:hAnsi="Times New Roman" w:eastAsia="Times New Roman" w:cs="Times New Roman"/>
                <w:kern w:val="0"/>
                <w:sz w:val="20"/>
                <w:szCs w:val="20"/>
                <w:lang w:eastAsia="sv-SE"/>
                <w14:numSpacing w14:val="default"/>
              </w:rPr>
              <w:t xml:space="preserve">Tillskott </w:t>
            </w:r>
            <w:r w:rsidRPr="00FC2616" w:rsidR="004D118F">
              <w:rPr>
                <w:rFonts w:ascii="Times New Roman" w:hAnsi="Times New Roman" w:eastAsia="Times New Roman" w:cs="Times New Roman"/>
                <w:kern w:val="0"/>
                <w:sz w:val="20"/>
                <w:szCs w:val="20"/>
                <w:lang w:eastAsia="sv-SE"/>
                <w14:numSpacing w14:val="default"/>
              </w:rPr>
              <w:t>t</w:t>
            </w:r>
            <w:r w:rsidRPr="00FC2616">
              <w:rPr>
                <w:rFonts w:ascii="Times New Roman" w:hAnsi="Times New Roman" w:eastAsia="Times New Roman" w:cs="Times New Roman"/>
                <w:kern w:val="0"/>
                <w:sz w:val="20"/>
                <w:szCs w:val="20"/>
                <w:lang w:eastAsia="sv-SE"/>
                <w14:numSpacing w14:val="default"/>
              </w:rPr>
              <w:t>ill ÅP-systemet</w:t>
            </w:r>
          </w:p>
        </w:tc>
        <w:tc>
          <w:tcPr>
            <w:tcW w:w="1275" w:type="dxa"/>
            <w:tcBorders>
              <w:top w:val="nil"/>
              <w:left w:val="nil"/>
              <w:bottom w:val="nil"/>
              <w:right w:val="nil"/>
            </w:tcBorders>
            <w:shd w:val="clear" w:color="auto" w:fill="auto"/>
            <w:noWrap/>
          </w:tcPr>
          <w:p w:rsidRPr="00FC2616" w:rsidR="00DC6E6F" w:rsidP="006224BD" w:rsidRDefault="00DC6E6F" w14:paraId="4D67011C" w14:textId="181ABD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2616">
              <w:rPr>
                <w:rFonts w:ascii="Times New Roman" w:hAnsi="Times New Roman" w:eastAsia="Times New Roman" w:cs="Times New Roman"/>
                <w:kern w:val="0"/>
                <w:sz w:val="20"/>
                <w:szCs w:val="20"/>
                <w:lang w:eastAsia="sv-SE"/>
                <w14:numSpacing w14:val="default"/>
              </w:rPr>
              <w:t>0</w:t>
            </w:r>
          </w:p>
        </w:tc>
        <w:tc>
          <w:tcPr>
            <w:tcW w:w="1276" w:type="dxa"/>
            <w:tcBorders>
              <w:top w:val="nil"/>
              <w:left w:val="nil"/>
              <w:bottom w:val="nil"/>
              <w:right w:val="nil"/>
            </w:tcBorders>
            <w:shd w:val="clear" w:color="auto" w:fill="auto"/>
            <w:noWrap/>
          </w:tcPr>
          <w:p w:rsidRPr="00FC2616" w:rsidR="00DC6E6F" w:rsidP="006224BD" w:rsidRDefault="00DC6E6F" w14:paraId="03A26C17" w14:textId="70BFC4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2616">
              <w:rPr>
                <w:rFonts w:ascii="Times New Roman" w:hAnsi="Times New Roman" w:eastAsia="Times New Roman" w:cs="Times New Roman"/>
                <w:kern w:val="0"/>
                <w:sz w:val="20"/>
                <w:szCs w:val="20"/>
                <w:lang w:eastAsia="sv-SE"/>
                <w14:numSpacing w14:val="default"/>
              </w:rPr>
              <w:t>4,2</w:t>
            </w:r>
          </w:p>
        </w:tc>
        <w:tc>
          <w:tcPr>
            <w:tcW w:w="1276" w:type="dxa"/>
            <w:tcBorders>
              <w:top w:val="nil"/>
              <w:left w:val="nil"/>
              <w:bottom w:val="nil"/>
              <w:right w:val="nil"/>
            </w:tcBorders>
            <w:shd w:val="clear" w:color="auto" w:fill="auto"/>
            <w:noWrap/>
          </w:tcPr>
          <w:p w:rsidRPr="00FC2616" w:rsidR="00DC6E6F" w:rsidP="006224BD" w:rsidRDefault="00DC6E6F" w14:paraId="09194FED" w14:textId="1BEFB1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2616">
              <w:rPr>
                <w:rFonts w:ascii="Times New Roman" w:hAnsi="Times New Roman" w:eastAsia="Times New Roman" w:cs="Times New Roman"/>
                <w:kern w:val="0"/>
                <w:sz w:val="20"/>
                <w:szCs w:val="20"/>
                <w:lang w:eastAsia="sv-SE"/>
                <w14:numSpacing w14:val="default"/>
              </w:rPr>
              <w:t>17,3</w:t>
            </w:r>
          </w:p>
        </w:tc>
        <w:tc>
          <w:tcPr>
            <w:tcW w:w="1276" w:type="dxa"/>
            <w:tcBorders>
              <w:top w:val="nil"/>
              <w:left w:val="nil"/>
              <w:bottom w:val="nil"/>
              <w:right w:val="nil"/>
            </w:tcBorders>
            <w:shd w:val="clear" w:color="auto" w:fill="auto"/>
            <w:noWrap/>
          </w:tcPr>
          <w:p w:rsidRPr="00FC2616" w:rsidR="00DC6E6F" w:rsidP="006224BD" w:rsidRDefault="00DC6E6F" w14:paraId="2B1BF8F6" w14:textId="5BCA26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2616">
              <w:rPr>
                <w:rFonts w:ascii="Times New Roman" w:hAnsi="Times New Roman" w:eastAsia="Times New Roman" w:cs="Times New Roman"/>
                <w:kern w:val="0"/>
                <w:sz w:val="20"/>
                <w:szCs w:val="20"/>
                <w:lang w:eastAsia="sv-SE"/>
                <w14:numSpacing w14:val="default"/>
              </w:rPr>
              <w:t>20,4</w:t>
            </w:r>
          </w:p>
        </w:tc>
      </w:tr>
      <w:tr w:rsidRPr="00FC2616" w:rsidR="00D6559C" w:rsidTr="006224BD" w14:paraId="72FB599B"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424F99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Övrigt***</w:t>
            </w:r>
          </w:p>
        </w:tc>
        <w:tc>
          <w:tcPr>
            <w:tcW w:w="1275" w:type="dxa"/>
            <w:tcBorders>
              <w:top w:val="nil"/>
              <w:left w:val="nil"/>
              <w:bottom w:val="nil"/>
              <w:right w:val="nil"/>
            </w:tcBorders>
            <w:shd w:val="clear" w:color="auto" w:fill="auto"/>
            <w:noWrap/>
            <w:hideMark/>
          </w:tcPr>
          <w:p w:rsidRPr="00FC2616" w:rsidR="00D6559C" w:rsidP="006224BD" w:rsidRDefault="006224BD" w14:paraId="02B0E877" w14:textId="3D522C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0,2</w:t>
            </w:r>
          </w:p>
        </w:tc>
        <w:tc>
          <w:tcPr>
            <w:tcW w:w="1276" w:type="dxa"/>
            <w:tcBorders>
              <w:top w:val="nil"/>
              <w:left w:val="nil"/>
              <w:bottom w:val="nil"/>
              <w:right w:val="nil"/>
            </w:tcBorders>
            <w:shd w:val="clear" w:color="auto" w:fill="auto"/>
            <w:noWrap/>
            <w:hideMark/>
          </w:tcPr>
          <w:p w:rsidRPr="00FC2616" w:rsidR="00D6559C" w:rsidP="006224BD" w:rsidRDefault="00D6559C" w14:paraId="57D2E0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0,6</w:t>
            </w:r>
          </w:p>
        </w:tc>
        <w:tc>
          <w:tcPr>
            <w:tcW w:w="1276" w:type="dxa"/>
            <w:tcBorders>
              <w:top w:val="nil"/>
              <w:left w:val="nil"/>
              <w:bottom w:val="nil"/>
              <w:right w:val="nil"/>
            </w:tcBorders>
            <w:shd w:val="clear" w:color="auto" w:fill="auto"/>
            <w:noWrap/>
            <w:hideMark/>
          </w:tcPr>
          <w:p w:rsidRPr="00FC2616" w:rsidR="00D6559C" w:rsidP="006224BD" w:rsidRDefault="00D6559C" w14:paraId="4FF36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0,6</w:t>
            </w:r>
          </w:p>
        </w:tc>
        <w:tc>
          <w:tcPr>
            <w:tcW w:w="1276" w:type="dxa"/>
            <w:tcBorders>
              <w:top w:val="nil"/>
              <w:left w:val="nil"/>
              <w:bottom w:val="nil"/>
              <w:right w:val="nil"/>
            </w:tcBorders>
            <w:shd w:val="clear" w:color="auto" w:fill="auto"/>
            <w:noWrap/>
            <w:hideMark/>
          </w:tcPr>
          <w:p w:rsidRPr="00FC2616" w:rsidR="00D6559C" w:rsidP="006224BD" w:rsidRDefault="00D6559C" w14:paraId="47B12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0,6</w:t>
            </w:r>
          </w:p>
        </w:tc>
      </w:tr>
      <w:tr w:rsidRPr="00FC2616" w:rsidR="00D6559C" w:rsidTr="006224BD" w14:paraId="3C24E612"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2FA97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Kommuner</w:t>
            </w:r>
          </w:p>
        </w:tc>
        <w:tc>
          <w:tcPr>
            <w:tcW w:w="1275" w:type="dxa"/>
            <w:tcBorders>
              <w:top w:val="nil"/>
              <w:left w:val="nil"/>
              <w:bottom w:val="nil"/>
              <w:right w:val="nil"/>
            </w:tcBorders>
            <w:shd w:val="clear" w:color="auto" w:fill="auto"/>
            <w:noWrap/>
            <w:hideMark/>
          </w:tcPr>
          <w:p w:rsidRPr="00FC2616" w:rsidR="00D6559C" w:rsidP="006224BD" w:rsidRDefault="006224BD" w14:paraId="146CA383" w14:textId="427159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kern w:val="0"/>
                <w:sz w:val="20"/>
                <w:szCs w:val="20"/>
                <w:lang w:eastAsia="sv-SE"/>
                <w14:numSpacing w14:val="default"/>
              </w:rPr>
              <w:t>–</w:t>
            </w:r>
            <w:r w:rsidRPr="00FC2616" w:rsidR="00D6559C">
              <w:rPr>
                <w:rFonts w:ascii="Times New Roman" w:hAnsi="Times New Roman" w:eastAsia="Times New Roman" w:cs="Times New Roman"/>
                <w:b/>
                <w:bCs/>
                <w:kern w:val="0"/>
                <w:sz w:val="20"/>
                <w:szCs w:val="20"/>
                <w:lang w:eastAsia="sv-SE"/>
                <w14:numSpacing w14:val="default"/>
              </w:rPr>
              <w:t>0,2</w:t>
            </w:r>
          </w:p>
        </w:tc>
        <w:tc>
          <w:tcPr>
            <w:tcW w:w="1276" w:type="dxa"/>
            <w:tcBorders>
              <w:top w:val="nil"/>
              <w:left w:val="nil"/>
              <w:bottom w:val="nil"/>
              <w:right w:val="nil"/>
            </w:tcBorders>
            <w:shd w:val="clear" w:color="auto" w:fill="auto"/>
            <w:noWrap/>
            <w:hideMark/>
          </w:tcPr>
          <w:p w:rsidRPr="00FC2616" w:rsidR="00D6559C" w:rsidP="006224BD" w:rsidRDefault="00D6559C" w14:paraId="26C9A0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4,1</w:t>
            </w:r>
          </w:p>
        </w:tc>
        <w:tc>
          <w:tcPr>
            <w:tcW w:w="1276" w:type="dxa"/>
            <w:tcBorders>
              <w:top w:val="nil"/>
              <w:left w:val="nil"/>
              <w:bottom w:val="nil"/>
              <w:right w:val="nil"/>
            </w:tcBorders>
            <w:shd w:val="clear" w:color="auto" w:fill="auto"/>
            <w:noWrap/>
            <w:hideMark/>
          </w:tcPr>
          <w:p w:rsidRPr="00FC2616" w:rsidR="00D6559C" w:rsidP="006224BD" w:rsidRDefault="00D6559C" w14:paraId="200EB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11,2</w:t>
            </w:r>
          </w:p>
        </w:tc>
        <w:tc>
          <w:tcPr>
            <w:tcW w:w="1276" w:type="dxa"/>
            <w:tcBorders>
              <w:top w:val="nil"/>
              <w:left w:val="nil"/>
              <w:bottom w:val="nil"/>
              <w:right w:val="nil"/>
            </w:tcBorders>
            <w:shd w:val="clear" w:color="auto" w:fill="auto"/>
            <w:noWrap/>
            <w:hideMark/>
          </w:tcPr>
          <w:p w:rsidRPr="00FC2616" w:rsidR="00D6559C" w:rsidP="006224BD" w:rsidRDefault="00D6559C" w14:paraId="6F9B8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14,7</w:t>
            </w:r>
          </w:p>
        </w:tc>
      </w:tr>
      <w:tr w:rsidRPr="00FC2616" w:rsidR="00D6559C" w:rsidTr="006224BD" w14:paraId="5969F739"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6E9B1F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Ålderspensionssystemet</w:t>
            </w:r>
          </w:p>
        </w:tc>
        <w:tc>
          <w:tcPr>
            <w:tcW w:w="1275" w:type="dxa"/>
            <w:tcBorders>
              <w:top w:val="nil"/>
              <w:left w:val="nil"/>
              <w:bottom w:val="nil"/>
              <w:right w:val="nil"/>
            </w:tcBorders>
            <w:shd w:val="clear" w:color="auto" w:fill="auto"/>
            <w:noWrap/>
            <w:hideMark/>
          </w:tcPr>
          <w:p w:rsidRPr="00FC2616" w:rsidR="00D6559C" w:rsidP="006224BD" w:rsidRDefault="00D6559C" w14:paraId="5007C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6,6</w:t>
            </w:r>
          </w:p>
        </w:tc>
        <w:tc>
          <w:tcPr>
            <w:tcW w:w="1276" w:type="dxa"/>
            <w:tcBorders>
              <w:top w:val="nil"/>
              <w:left w:val="nil"/>
              <w:bottom w:val="nil"/>
              <w:right w:val="nil"/>
            </w:tcBorders>
            <w:shd w:val="clear" w:color="auto" w:fill="auto"/>
            <w:noWrap/>
            <w:hideMark/>
          </w:tcPr>
          <w:p w:rsidRPr="00FC2616" w:rsidR="00D6559C" w:rsidP="006224BD" w:rsidRDefault="006A6E1B" w14:paraId="550F592F" w14:textId="3A1812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0</w:t>
            </w:r>
          </w:p>
        </w:tc>
        <w:tc>
          <w:tcPr>
            <w:tcW w:w="1276" w:type="dxa"/>
            <w:tcBorders>
              <w:top w:val="nil"/>
              <w:left w:val="nil"/>
              <w:bottom w:val="nil"/>
              <w:right w:val="nil"/>
            </w:tcBorders>
            <w:shd w:val="clear" w:color="auto" w:fill="auto"/>
            <w:noWrap/>
            <w:hideMark/>
          </w:tcPr>
          <w:p w:rsidRPr="00FC2616" w:rsidR="00D6559C" w:rsidP="006224BD" w:rsidRDefault="006A6E1B" w14:paraId="48DD5436" w14:textId="489C9C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0</w:t>
            </w:r>
          </w:p>
        </w:tc>
        <w:tc>
          <w:tcPr>
            <w:tcW w:w="1276" w:type="dxa"/>
            <w:tcBorders>
              <w:top w:val="nil"/>
              <w:left w:val="nil"/>
              <w:bottom w:val="nil"/>
              <w:right w:val="nil"/>
            </w:tcBorders>
            <w:shd w:val="clear" w:color="auto" w:fill="auto"/>
            <w:noWrap/>
            <w:hideMark/>
          </w:tcPr>
          <w:p w:rsidRPr="00FC2616" w:rsidR="00D6559C" w:rsidP="006224BD" w:rsidRDefault="006A6E1B" w14:paraId="6DF48A49" w14:textId="3B28A2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0</w:t>
            </w:r>
          </w:p>
        </w:tc>
      </w:tr>
      <w:tr w:rsidRPr="00FC2616" w:rsidR="00D6559C" w:rsidTr="006224BD" w14:paraId="49C2B3A0"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513E24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Tilläggspension</w:t>
            </w:r>
          </w:p>
        </w:tc>
        <w:tc>
          <w:tcPr>
            <w:tcW w:w="1275" w:type="dxa"/>
            <w:tcBorders>
              <w:top w:val="nil"/>
              <w:left w:val="nil"/>
              <w:bottom w:val="nil"/>
              <w:right w:val="nil"/>
            </w:tcBorders>
            <w:shd w:val="clear" w:color="auto" w:fill="auto"/>
            <w:noWrap/>
            <w:hideMark/>
          </w:tcPr>
          <w:p w:rsidRPr="00FC2616" w:rsidR="00D6559C" w:rsidP="006224BD" w:rsidRDefault="00D6559C" w14:paraId="580507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0,0</w:t>
            </w:r>
          </w:p>
        </w:tc>
        <w:tc>
          <w:tcPr>
            <w:tcW w:w="1276" w:type="dxa"/>
            <w:tcBorders>
              <w:top w:val="nil"/>
              <w:left w:val="nil"/>
              <w:bottom w:val="nil"/>
              <w:right w:val="nil"/>
            </w:tcBorders>
            <w:shd w:val="clear" w:color="auto" w:fill="auto"/>
            <w:noWrap/>
            <w:hideMark/>
          </w:tcPr>
          <w:p w:rsidRPr="00FC2616" w:rsidR="00D6559C" w:rsidP="006224BD" w:rsidRDefault="006224BD" w14:paraId="53F426CC" w14:textId="24765D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8,7</w:t>
            </w:r>
          </w:p>
        </w:tc>
        <w:tc>
          <w:tcPr>
            <w:tcW w:w="1276" w:type="dxa"/>
            <w:tcBorders>
              <w:top w:val="nil"/>
              <w:left w:val="nil"/>
              <w:bottom w:val="nil"/>
              <w:right w:val="nil"/>
            </w:tcBorders>
            <w:shd w:val="clear" w:color="auto" w:fill="auto"/>
            <w:noWrap/>
            <w:hideMark/>
          </w:tcPr>
          <w:p w:rsidRPr="00FC2616" w:rsidR="00D6559C" w:rsidP="006224BD" w:rsidRDefault="006224BD" w14:paraId="5881464F" w14:textId="42122B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8,3</w:t>
            </w:r>
          </w:p>
        </w:tc>
        <w:tc>
          <w:tcPr>
            <w:tcW w:w="1276" w:type="dxa"/>
            <w:tcBorders>
              <w:top w:val="nil"/>
              <w:left w:val="nil"/>
              <w:bottom w:val="nil"/>
              <w:right w:val="nil"/>
            </w:tcBorders>
            <w:shd w:val="clear" w:color="auto" w:fill="auto"/>
            <w:noWrap/>
            <w:hideMark/>
          </w:tcPr>
          <w:p w:rsidRPr="00FC2616" w:rsidR="00D6559C" w:rsidP="006224BD" w:rsidRDefault="006224BD" w14:paraId="72733B9C" w14:textId="7C1E1D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8,3</w:t>
            </w:r>
          </w:p>
        </w:tc>
      </w:tr>
      <w:tr w:rsidRPr="00FC2616" w:rsidR="00D6559C" w:rsidTr="006224BD" w14:paraId="775CE0B3"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4D71E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Inkomstpension</w:t>
            </w:r>
          </w:p>
        </w:tc>
        <w:tc>
          <w:tcPr>
            <w:tcW w:w="1275" w:type="dxa"/>
            <w:tcBorders>
              <w:top w:val="nil"/>
              <w:left w:val="nil"/>
              <w:bottom w:val="nil"/>
              <w:right w:val="nil"/>
            </w:tcBorders>
            <w:shd w:val="clear" w:color="auto" w:fill="auto"/>
            <w:noWrap/>
            <w:hideMark/>
          </w:tcPr>
          <w:p w:rsidRPr="00FC2616" w:rsidR="00D6559C" w:rsidP="006224BD" w:rsidRDefault="00D6559C" w14:paraId="25B5F2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0,0</w:t>
            </w:r>
          </w:p>
        </w:tc>
        <w:tc>
          <w:tcPr>
            <w:tcW w:w="1276" w:type="dxa"/>
            <w:tcBorders>
              <w:top w:val="nil"/>
              <w:left w:val="nil"/>
              <w:bottom w:val="nil"/>
              <w:right w:val="nil"/>
            </w:tcBorders>
            <w:shd w:val="clear" w:color="auto" w:fill="auto"/>
            <w:noWrap/>
            <w:hideMark/>
          </w:tcPr>
          <w:p w:rsidRPr="00FC2616" w:rsidR="00D6559C" w:rsidP="006224BD" w:rsidRDefault="006224BD" w14:paraId="502D0250" w14:textId="12B069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9,7</w:t>
            </w:r>
          </w:p>
        </w:tc>
        <w:tc>
          <w:tcPr>
            <w:tcW w:w="1276" w:type="dxa"/>
            <w:tcBorders>
              <w:top w:val="nil"/>
              <w:left w:val="nil"/>
              <w:bottom w:val="nil"/>
              <w:right w:val="nil"/>
            </w:tcBorders>
            <w:shd w:val="clear" w:color="auto" w:fill="auto"/>
            <w:noWrap/>
            <w:hideMark/>
          </w:tcPr>
          <w:p w:rsidRPr="00FC2616" w:rsidR="00D6559C" w:rsidP="006224BD" w:rsidRDefault="006224BD" w14:paraId="69BE9ADD" w14:textId="130EDC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31,3</w:t>
            </w:r>
          </w:p>
        </w:tc>
        <w:tc>
          <w:tcPr>
            <w:tcW w:w="1276" w:type="dxa"/>
            <w:tcBorders>
              <w:top w:val="nil"/>
              <w:left w:val="nil"/>
              <w:bottom w:val="nil"/>
              <w:right w:val="nil"/>
            </w:tcBorders>
            <w:shd w:val="clear" w:color="auto" w:fill="auto"/>
            <w:noWrap/>
            <w:hideMark/>
          </w:tcPr>
          <w:p w:rsidRPr="00FC2616" w:rsidR="00D6559C" w:rsidP="006224BD" w:rsidRDefault="006224BD" w14:paraId="50480E64" w14:textId="473C20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41,7</w:t>
            </w:r>
          </w:p>
        </w:tc>
      </w:tr>
      <w:tr w:rsidRPr="00FC2616" w:rsidR="00D6559C" w:rsidTr="006224BD" w14:paraId="415CE80E"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412533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Allmän pensionsavgift</w:t>
            </w:r>
          </w:p>
        </w:tc>
        <w:tc>
          <w:tcPr>
            <w:tcW w:w="1275" w:type="dxa"/>
            <w:tcBorders>
              <w:top w:val="nil"/>
              <w:left w:val="nil"/>
              <w:bottom w:val="nil"/>
              <w:right w:val="nil"/>
            </w:tcBorders>
            <w:shd w:val="clear" w:color="auto" w:fill="auto"/>
            <w:noWrap/>
            <w:hideMark/>
          </w:tcPr>
          <w:p w:rsidRPr="00FC2616" w:rsidR="00D6559C" w:rsidP="006224BD" w:rsidRDefault="006224BD" w14:paraId="4B257070" w14:textId="78FB8A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149,4</w:t>
            </w:r>
          </w:p>
        </w:tc>
        <w:tc>
          <w:tcPr>
            <w:tcW w:w="1276" w:type="dxa"/>
            <w:tcBorders>
              <w:top w:val="nil"/>
              <w:left w:val="nil"/>
              <w:bottom w:val="nil"/>
              <w:right w:val="nil"/>
            </w:tcBorders>
            <w:shd w:val="clear" w:color="auto" w:fill="auto"/>
            <w:noWrap/>
            <w:hideMark/>
          </w:tcPr>
          <w:p w:rsidRPr="00FC2616" w:rsidR="00D6559C" w:rsidP="006224BD" w:rsidRDefault="006224BD" w14:paraId="76576149" w14:textId="71022F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156,2</w:t>
            </w:r>
          </w:p>
        </w:tc>
        <w:tc>
          <w:tcPr>
            <w:tcW w:w="1276" w:type="dxa"/>
            <w:tcBorders>
              <w:top w:val="nil"/>
              <w:left w:val="nil"/>
              <w:bottom w:val="nil"/>
              <w:right w:val="nil"/>
            </w:tcBorders>
            <w:shd w:val="clear" w:color="auto" w:fill="auto"/>
            <w:noWrap/>
            <w:hideMark/>
          </w:tcPr>
          <w:p w:rsidRPr="00FC2616" w:rsidR="00D6559C" w:rsidP="006224BD" w:rsidRDefault="006224BD" w14:paraId="113C1D3E" w14:textId="5BB0DC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163,0</w:t>
            </w:r>
          </w:p>
        </w:tc>
        <w:tc>
          <w:tcPr>
            <w:tcW w:w="1276" w:type="dxa"/>
            <w:tcBorders>
              <w:top w:val="nil"/>
              <w:left w:val="nil"/>
              <w:bottom w:val="nil"/>
              <w:right w:val="nil"/>
            </w:tcBorders>
            <w:shd w:val="clear" w:color="auto" w:fill="auto"/>
            <w:noWrap/>
            <w:hideMark/>
          </w:tcPr>
          <w:p w:rsidRPr="00FC2616" w:rsidR="00D6559C" w:rsidP="006224BD" w:rsidRDefault="006224BD" w14:paraId="4A3A8068" w14:textId="4D27FC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C2616" w:rsidR="00D6559C">
              <w:rPr>
                <w:rFonts w:ascii="Times New Roman" w:hAnsi="Times New Roman" w:eastAsia="Times New Roman" w:cs="Times New Roman"/>
                <w:kern w:val="0"/>
                <w:sz w:val="20"/>
                <w:szCs w:val="20"/>
                <w:lang w:eastAsia="sv-SE"/>
                <w14:numSpacing w14:val="default"/>
              </w:rPr>
              <w:t>163,0</w:t>
            </w:r>
          </w:p>
        </w:tc>
      </w:tr>
      <w:tr w:rsidRPr="00FC2616" w:rsidR="00D6559C" w:rsidTr="006224BD" w14:paraId="3302CF40"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243F2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Ålderspensionsavgift</w:t>
            </w:r>
          </w:p>
        </w:tc>
        <w:tc>
          <w:tcPr>
            <w:tcW w:w="1275" w:type="dxa"/>
            <w:tcBorders>
              <w:top w:val="nil"/>
              <w:left w:val="nil"/>
              <w:bottom w:val="nil"/>
              <w:right w:val="nil"/>
            </w:tcBorders>
            <w:shd w:val="clear" w:color="auto" w:fill="auto"/>
            <w:noWrap/>
            <w:hideMark/>
          </w:tcPr>
          <w:p w:rsidRPr="00FC2616" w:rsidR="00D6559C" w:rsidP="006224BD" w:rsidRDefault="00D6559C" w14:paraId="258E4C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147,8</w:t>
            </w:r>
          </w:p>
        </w:tc>
        <w:tc>
          <w:tcPr>
            <w:tcW w:w="1276" w:type="dxa"/>
            <w:tcBorders>
              <w:top w:val="nil"/>
              <w:left w:val="nil"/>
              <w:bottom w:val="nil"/>
              <w:right w:val="nil"/>
            </w:tcBorders>
            <w:shd w:val="clear" w:color="auto" w:fill="auto"/>
            <w:noWrap/>
            <w:hideMark/>
          </w:tcPr>
          <w:p w:rsidRPr="00FC2616" w:rsidR="00D6559C" w:rsidP="006224BD" w:rsidRDefault="00D6559C" w14:paraId="5F237D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161,5</w:t>
            </w:r>
          </w:p>
        </w:tc>
        <w:tc>
          <w:tcPr>
            <w:tcW w:w="1276" w:type="dxa"/>
            <w:tcBorders>
              <w:top w:val="nil"/>
              <w:left w:val="nil"/>
              <w:bottom w:val="nil"/>
              <w:right w:val="nil"/>
            </w:tcBorders>
            <w:shd w:val="clear" w:color="auto" w:fill="auto"/>
            <w:noWrap/>
            <w:hideMark/>
          </w:tcPr>
          <w:p w:rsidRPr="00FC2616" w:rsidR="00D6559C" w:rsidP="006224BD" w:rsidRDefault="00D6559C" w14:paraId="6F87F0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175,8</w:t>
            </w:r>
          </w:p>
        </w:tc>
        <w:tc>
          <w:tcPr>
            <w:tcW w:w="1276" w:type="dxa"/>
            <w:tcBorders>
              <w:top w:val="nil"/>
              <w:left w:val="nil"/>
              <w:bottom w:val="nil"/>
              <w:right w:val="nil"/>
            </w:tcBorders>
            <w:shd w:val="clear" w:color="auto" w:fill="auto"/>
            <w:noWrap/>
            <w:hideMark/>
          </w:tcPr>
          <w:p w:rsidRPr="00FC2616" w:rsidR="00D6559C" w:rsidP="006224BD" w:rsidRDefault="00D6559C" w14:paraId="4D182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182,9</w:t>
            </w:r>
          </w:p>
        </w:tc>
      </w:tr>
      <w:tr w:rsidRPr="00FC2616" w:rsidR="00D6559C" w:rsidTr="006224BD" w14:paraId="1CA58606" w14:textId="77777777">
        <w:trPr>
          <w:cantSplit/>
        </w:trPr>
        <w:tc>
          <w:tcPr>
            <w:tcW w:w="3686" w:type="dxa"/>
            <w:tcBorders>
              <w:top w:val="nil"/>
              <w:left w:val="nil"/>
              <w:bottom w:val="nil"/>
              <w:right w:val="nil"/>
            </w:tcBorders>
            <w:shd w:val="clear" w:color="auto" w:fill="auto"/>
            <w:noWrap/>
            <w:hideMark/>
          </w:tcPr>
          <w:p w:rsidRPr="00FC2616" w:rsidR="00D6559C" w:rsidP="006224BD" w:rsidRDefault="00D6559C" w14:paraId="0DD58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 xml:space="preserve">   Statlig ålderspensionsavgift</w:t>
            </w:r>
          </w:p>
        </w:tc>
        <w:tc>
          <w:tcPr>
            <w:tcW w:w="1275" w:type="dxa"/>
            <w:tcBorders>
              <w:top w:val="nil"/>
              <w:left w:val="nil"/>
              <w:bottom w:val="nil"/>
              <w:right w:val="nil"/>
            </w:tcBorders>
            <w:shd w:val="clear" w:color="auto" w:fill="auto"/>
            <w:noWrap/>
            <w:hideMark/>
          </w:tcPr>
          <w:p w:rsidRPr="00FC2616" w:rsidR="00D6559C" w:rsidP="006224BD" w:rsidRDefault="00D6559C" w14:paraId="54925F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8,2</w:t>
            </w:r>
          </w:p>
        </w:tc>
        <w:tc>
          <w:tcPr>
            <w:tcW w:w="1276" w:type="dxa"/>
            <w:tcBorders>
              <w:top w:val="nil"/>
              <w:left w:val="nil"/>
              <w:bottom w:val="nil"/>
              <w:right w:val="nil"/>
            </w:tcBorders>
            <w:shd w:val="clear" w:color="auto" w:fill="auto"/>
            <w:noWrap/>
            <w:hideMark/>
          </w:tcPr>
          <w:p w:rsidRPr="00FC2616" w:rsidR="00D6559C" w:rsidP="006224BD" w:rsidRDefault="00D6559C" w14:paraId="0E6F6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8,9</w:t>
            </w:r>
          </w:p>
        </w:tc>
        <w:tc>
          <w:tcPr>
            <w:tcW w:w="1276" w:type="dxa"/>
            <w:tcBorders>
              <w:top w:val="nil"/>
              <w:left w:val="nil"/>
              <w:bottom w:val="nil"/>
              <w:right w:val="nil"/>
            </w:tcBorders>
            <w:shd w:val="clear" w:color="auto" w:fill="auto"/>
            <w:noWrap/>
            <w:hideMark/>
          </w:tcPr>
          <w:p w:rsidRPr="00FC2616" w:rsidR="00D6559C" w:rsidP="006224BD" w:rsidRDefault="00D6559C" w14:paraId="61FC39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9,5</w:t>
            </w:r>
          </w:p>
        </w:tc>
        <w:tc>
          <w:tcPr>
            <w:tcW w:w="1276" w:type="dxa"/>
            <w:tcBorders>
              <w:top w:val="nil"/>
              <w:left w:val="nil"/>
              <w:bottom w:val="nil"/>
              <w:right w:val="nil"/>
            </w:tcBorders>
            <w:shd w:val="clear" w:color="auto" w:fill="auto"/>
            <w:noWrap/>
            <w:hideMark/>
          </w:tcPr>
          <w:p w:rsidRPr="00FC2616" w:rsidR="00D6559C" w:rsidP="006224BD" w:rsidRDefault="00D6559C" w14:paraId="244240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C2616">
              <w:rPr>
                <w:rFonts w:ascii="Times New Roman" w:hAnsi="Times New Roman" w:eastAsia="Times New Roman" w:cs="Times New Roman"/>
                <w:kern w:val="0"/>
                <w:sz w:val="20"/>
                <w:szCs w:val="20"/>
                <w:lang w:eastAsia="sv-SE"/>
                <w14:numSpacing w14:val="default"/>
              </w:rPr>
              <w:t>9,7</w:t>
            </w:r>
          </w:p>
        </w:tc>
      </w:tr>
      <w:tr w:rsidRPr="00FC2616" w:rsidR="00D6559C" w:rsidTr="006224BD" w14:paraId="649096C5" w14:textId="77777777">
        <w:trPr>
          <w:cantSplit/>
        </w:trPr>
        <w:tc>
          <w:tcPr>
            <w:tcW w:w="3686" w:type="dxa"/>
            <w:tcBorders>
              <w:top w:val="nil"/>
              <w:left w:val="nil"/>
              <w:bottom w:val="single" w:color="auto" w:sz="8" w:space="0"/>
              <w:right w:val="nil"/>
            </w:tcBorders>
            <w:shd w:val="clear" w:color="auto" w:fill="auto"/>
            <w:noWrap/>
            <w:hideMark/>
          </w:tcPr>
          <w:p w:rsidRPr="00FC2616" w:rsidR="00D6559C" w:rsidP="006224BD" w:rsidRDefault="00D6559C" w14:paraId="15134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 xml:space="preserve">Totalt </w:t>
            </w:r>
          </w:p>
        </w:tc>
        <w:tc>
          <w:tcPr>
            <w:tcW w:w="1275" w:type="dxa"/>
            <w:tcBorders>
              <w:top w:val="nil"/>
              <w:left w:val="nil"/>
              <w:bottom w:val="single" w:color="auto" w:sz="8" w:space="0"/>
              <w:right w:val="nil"/>
            </w:tcBorders>
            <w:shd w:val="clear" w:color="auto" w:fill="auto"/>
            <w:noWrap/>
            <w:hideMark/>
          </w:tcPr>
          <w:p w:rsidRPr="00FC2616" w:rsidR="00D6559C" w:rsidP="006224BD" w:rsidRDefault="00D6559C" w14:paraId="20CD5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FC2616">
              <w:rPr>
                <w:rFonts w:ascii="Times New Roman" w:hAnsi="Times New Roman" w:eastAsia="Times New Roman" w:cs="Times New Roman"/>
                <w:b/>
                <w:bCs/>
                <w:kern w:val="0"/>
                <w:sz w:val="20"/>
                <w:szCs w:val="20"/>
                <w:lang w:eastAsia="sv-SE"/>
                <w14:numSpacing w14:val="default"/>
              </w:rPr>
              <w:t>3,0</w:t>
            </w:r>
          </w:p>
        </w:tc>
        <w:tc>
          <w:tcPr>
            <w:tcW w:w="1276" w:type="dxa"/>
            <w:tcBorders>
              <w:top w:val="nil"/>
              <w:left w:val="nil"/>
              <w:bottom w:val="single" w:color="auto" w:sz="8" w:space="0"/>
              <w:right w:val="nil"/>
            </w:tcBorders>
            <w:shd w:val="clear" w:color="auto" w:fill="auto"/>
            <w:noWrap/>
            <w:hideMark/>
          </w:tcPr>
          <w:p w:rsidRPr="00FC2616" w:rsidR="00D6559C" w:rsidP="006224BD" w:rsidRDefault="006224BD" w14:paraId="0171CAF6" w14:textId="79A727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kern w:val="0"/>
                <w:sz w:val="20"/>
                <w:szCs w:val="20"/>
                <w:lang w:eastAsia="sv-SE"/>
                <w14:numSpacing w14:val="default"/>
              </w:rPr>
              <w:t>–</w:t>
            </w:r>
            <w:r w:rsidRPr="00FC2616" w:rsidR="00D6559C">
              <w:rPr>
                <w:rFonts w:ascii="Times New Roman" w:hAnsi="Times New Roman" w:eastAsia="Times New Roman" w:cs="Times New Roman"/>
                <w:b/>
                <w:bCs/>
                <w:kern w:val="0"/>
                <w:sz w:val="20"/>
                <w:szCs w:val="20"/>
                <w:lang w:eastAsia="sv-SE"/>
                <w14:numSpacing w14:val="default"/>
              </w:rPr>
              <w:t>8,5</w:t>
            </w:r>
          </w:p>
        </w:tc>
        <w:tc>
          <w:tcPr>
            <w:tcW w:w="1276" w:type="dxa"/>
            <w:tcBorders>
              <w:top w:val="nil"/>
              <w:left w:val="nil"/>
              <w:bottom w:val="single" w:color="auto" w:sz="8" w:space="0"/>
              <w:right w:val="nil"/>
            </w:tcBorders>
            <w:shd w:val="clear" w:color="auto" w:fill="auto"/>
            <w:noWrap/>
            <w:hideMark/>
          </w:tcPr>
          <w:p w:rsidRPr="00FC2616" w:rsidR="00D6559C" w:rsidP="006224BD" w:rsidRDefault="006224BD" w14:paraId="0583E5F6" w14:textId="0EBF06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kern w:val="0"/>
                <w:sz w:val="20"/>
                <w:szCs w:val="20"/>
                <w:lang w:eastAsia="sv-SE"/>
                <w14:numSpacing w14:val="default"/>
              </w:rPr>
              <w:t>–</w:t>
            </w:r>
            <w:r w:rsidRPr="00FC2616" w:rsidR="00D6559C">
              <w:rPr>
                <w:rFonts w:ascii="Times New Roman" w:hAnsi="Times New Roman" w:eastAsia="Times New Roman" w:cs="Times New Roman"/>
                <w:b/>
                <w:bCs/>
                <w:kern w:val="0"/>
                <w:sz w:val="20"/>
                <w:szCs w:val="20"/>
                <w:lang w:eastAsia="sv-SE"/>
                <w14:numSpacing w14:val="default"/>
              </w:rPr>
              <w:t>17,1</w:t>
            </w:r>
          </w:p>
        </w:tc>
        <w:tc>
          <w:tcPr>
            <w:tcW w:w="1276" w:type="dxa"/>
            <w:tcBorders>
              <w:top w:val="nil"/>
              <w:left w:val="nil"/>
              <w:bottom w:val="single" w:color="auto" w:sz="8" w:space="0"/>
              <w:right w:val="nil"/>
            </w:tcBorders>
            <w:shd w:val="clear" w:color="auto" w:fill="auto"/>
            <w:noWrap/>
            <w:hideMark/>
          </w:tcPr>
          <w:p w:rsidRPr="00FC2616" w:rsidR="00D6559C" w:rsidP="006224BD" w:rsidRDefault="006224BD" w14:paraId="3019B063" w14:textId="7AF3BE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Pr>
                <w:rFonts w:ascii="Times New Roman" w:hAnsi="Times New Roman" w:eastAsia="Times New Roman" w:cs="Times New Roman"/>
                <w:b/>
                <w:bCs/>
                <w:kern w:val="0"/>
                <w:sz w:val="20"/>
                <w:szCs w:val="20"/>
                <w:lang w:eastAsia="sv-SE"/>
                <w14:numSpacing w14:val="default"/>
              </w:rPr>
              <w:t>–</w:t>
            </w:r>
            <w:r w:rsidRPr="00FC2616" w:rsidR="00D6559C">
              <w:rPr>
                <w:rFonts w:ascii="Times New Roman" w:hAnsi="Times New Roman" w:eastAsia="Times New Roman" w:cs="Times New Roman"/>
                <w:b/>
                <w:bCs/>
                <w:kern w:val="0"/>
                <w:sz w:val="20"/>
                <w:szCs w:val="20"/>
                <w:lang w:eastAsia="sv-SE"/>
                <w14:numSpacing w14:val="default"/>
              </w:rPr>
              <w:t>21,3</w:t>
            </w:r>
          </w:p>
        </w:tc>
      </w:tr>
    </w:tbl>
    <w:p w:rsidRPr="006151D0" w:rsidR="00D6559C" w:rsidP="006151D0" w:rsidRDefault="00D6559C" w14:paraId="19F4E517" w14:textId="77777777">
      <w:pPr>
        <w:pStyle w:val="Klla"/>
      </w:pPr>
      <w:r w:rsidRPr="006151D0">
        <w:t>Källa: Beräkningarna är baserade på RUT 2022:722.</w:t>
      </w:r>
      <w:r w:rsidRPr="006151D0">
        <w:rPr>
          <w:vertAlign w:val="superscript"/>
        </w:rPr>
        <w:footnoteReference w:id="62"/>
      </w:r>
      <w:r w:rsidRPr="006151D0">
        <w:t xml:space="preserve"> </w:t>
      </w:r>
    </w:p>
    <w:p w:rsidRPr="006151D0" w:rsidR="00D6559C" w:rsidP="006151D0" w:rsidRDefault="00D6559C" w14:paraId="63055328" w14:textId="6942C48A">
      <w:pPr>
        <w:pStyle w:val="Klla"/>
      </w:pPr>
      <w:r w:rsidRPr="006151D0">
        <w:t>*Garantipension, bostadstillägg och garantitillägg</w:t>
      </w:r>
      <w:r w:rsidRPr="006151D0" w:rsidR="000F0131">
        <w:t>.</w:t>
      </w:r>
    </w:p>
    <w:p w:rsidRPr="006151D0" w:rsidR="00D6559C" w:rsidP="006151D0" w:rsidRDefault="00D6559C" w14:paraId="5E542163" w14:textId="1EA68448">
      <w:pPr>
        <w:pStyle w:val="Klla"/>
      </w:pPr>
      <w:r w:rsidRPr="006151D0">
        <w:lastRenderedPageBreak/>
        <w:t>**Statlig skatt, public service-avgift, kapitalskatt, skattereduktion förvärvsinkomstbolagsskatt, bolagsskatt</w:t>
      </w:r>
      <w:r w:rsidRPr="006151D0" w:rsidR="000F0131">
        <w:t>.</w:t>
      </w:r>
    </w:p>
    <w:p w:rsidRPr="006151D0" w:rsidR="00D6559C" w:rsidP="006151D0" w:rsidRDefault="00D6559C" w14:paraId="5C91B678" w14:textId="752D8808">
      <w:pPr>
        <w:pStyle w:val="Klla"/>
      </w:pPr>
      <w:r w:rsidRPr="006151D0">
        <w:t>***Höjd avgift: staten arbetsgivare, sänkt premie till tjänstepensionen</w:t>
      </w:r>
      <w:r w:rsidRPr="006151D0" w:rsidR="000F0131">
        <w:t>.</w:t>
      </w:r>
    </w:p>
    <w:p w:rsidRPr="002432AF" w:rsidR="003F43EF" w:rsidP="002432AF" w:rsidRDefault="003F43EF" w14:paraId="191189DC" w14:textId="77777777">
      <w:pPr>
        <w:pStyle w:val="Normalutanindragellerluft"/>
        <w:spacing w:before="240"/>
        <w:rPr>
          <w:rFonts w:eastAsia="Times New Roman"/>
          <w:b/>
          <w:bCs/>
        </w:rPr>
      </w:pPr>
      <w:r w:rsidRPr="002432AF">
        <w:rPr>
          <w:rFonts w:eastAsia="Times New Roman"/>
          <w:b/>
          <w:bCs/>
        </w:rPr>
        <w:t>Vänsterpartiets förslag:</w:t>
      </w:r>
    </w:p>
    <w:p w:rsidRPr="00FC2616" w:rsidR="007A1CDA" w:rsidP="006151D0" w:rsidRDefault="003F43EF" w14:paraId="0EBC7DAB" w14:textId="21830C74">
      <w:pPr>
        <w:pStyle w:val="ListaPunkt"/>
        <w:ind w:left="340" w:hanging="340"/>
        <w:rPr>
          <w:rFonts w:eastAsia="Times New Roman"/>
        </w:rPr>
      </w:pPr>
      <w:r w:rsidRPr="00FC2616">
        <w:rPr>
          <w:rFonts w:eastAsia="Times New Roman"/>
        </w:rPr>
        <w:t>Höj inbetalningarna till pensionssystemet och pensionsrätterna för dagens pensionärer och pensionssparare till 18,5 procent av bruttoinkomsten. Till följd av förslaget ökar inkomstindex</w:t>
      </w:r>
      <w:r w:rsidR="000F0131">
        <w:rPr>
          <w:rFonts w:eastAsia="Times New Roman"/>
        </w:rPr>
        <w:t>,</w:t>
      </w:r>
      <w:r w:rsidRPr="00FC2616">
        <w:rPr>
          <w:rFonts w:eastAsia="Times New Roman"/>
        </w:rPr>
        <w:t xml:space="preserve"> vilket höjer pensionerna ytterligare. För att skapa symmetri i systemet gentemot den broms som finns i</w:t>
      </w:r>
      <w:r w:rsidRPr="00FC2616" w:rsidR="006B6770">
        <w:rPr>
          <w:rFonts w:eastAsia="Times New Roman"/>
        </w:rPr>
        <w:t xml:space="preserve"> </w:t>
      </w:r>
      <w:r w:rsidRPr="00FC2616">
        <w:rPr>
          <w:rFonts w:eastAsia="Times New Roman"/>
        </w:rPr>
        <w:t>dag, och för att se till att pensionerna ökar när pensionssystemet har stora överskott</w:t>
      </w:r>
      <w:r w:rsidR="000F0131">
        <w:rPr>
          <w:rFonts w:eastAsia="Times New Roman"/>
        </w:rPr>
        <w:t>,</w:t>
      </w:r>
      <w:r w:rsidRPr="00FC2616">
        <w:rPr>
          <w:rFonts w:eastAsia="Times New Roman"/>
        </w:rPr>
        <w:t xml:space="preserve"> vill vi också införa en gas i pensionssystemet.</w:t>
      </w:r>
      <w:r w:rsidRPr="00FC2616">
        <w:rPr>
          <w:rStyle w:val="Fotnotsreferens"/>
          <w:rFonts w:eastAsia="Times New Roman"/>
        </w:rPr>
        <w:footnoteReference w:id="63"/>
      </w:r>
    </w:p>
    <w:p w:rsidRPr="00FC2616" w:rsidR="00D6559C" w:rsidP="00B50CBA" w:rsidRDefault="00D6559C" w14:paraId="5D11FBD3" w14:textId="1FBAFD25">
      <w:pPr>
        <w:pStyle w:val="Rubrik3numrerat"/>
        <w:rPr>
          <w:lang w:eastAsia="sv-SE"/>
        </w:rPr>
      </w:pPr>
      <w:bookmarkStart w:name="_Toc149814550" w:id="85"/>
      <w:r w:rsidRPr="00FC2616">
        <w:rPr>
          <w:lang w:eastAsia="sv-SE"/>
        </w:rPr>
        <w:t xml:space="preserve">Ytterligare </w:t>
      </w:r>
      <w:r w:rsidRPr="00FC2616" w:rsidR="006A4D4E">
        <w:rPr>
          <w:lang w:eastAsia="sv-SE"/>
        </w:rPr>
        <w:t>förändringar inom pensionssystemet</w:t>
      </w:r>
      <w:bookmarkEnd w:id="85"/>
    </w:p>
    <w:p w:rsidRPr="00FC2616" w:rsidR="00D6559C" w:rsidP="006A4D4E" w:rsidRDefault="006A4D4E" w14:paraId="7795CB7A" w14:textId="385E753C">
      <w:pPr>
        <w:pStyle w:val="Normalutanindragellerluft"/>
        <w:rPr>
          <w:lang w:eastAsia="sv-SE"/>
        </w:rPr>
      </w:pPr>
      <w:r w:rsidRPr="00FC2616">
        <w:rPr>
          <w:lang w:eastAsia="sv-SE"/>
        </w:rPr>
        <w:t>De förslag som presenteras här syftar till att höja pensionerna nu. De innebär inte att bristerna i pensionssystemet är åtgärdade. Den främsta anledningen till att pensionerna urholkats är att vi lever längre i dag än när pensionssystemet infördes. Givet pensions</w:t>
      </w:r>
      <w:r w:rsidR="002432AF">
        <w:rPr>
          <w:lang w:eastAsia="sv-SE"/>
        </w:rPr>
        <w:softHyphen/>
      </w:r>
      <w:r w:rsidRPr="00FC2616">
        <w:rPr>
          <w:lang w:eastAsia="sv-SE"/>
        </w:rPr>
        <w:t>systemets konstruktion kräver det att vi arbetar längre för att få en rimlig pension, vilket många inte klarar. Arbetsmiljön och arbetsvillkoren har inte förbättrats på de sätt som krävs för att möjliggöra ett längre arbetsliv generellt. Systemet behöver reformeras både för att höja pensionerna generellt och för att kunna ge ekonomisk trygghet åt de som sliter ut sig i förtid.</w:t>
      </w:r>
    </w:p>
    <w:p w:rsidRPr="00FC2616" w:rsidR="00D6559C" w:rsidP="006A4D4E" w:rsidRDefault="00D6559C" w14:paraId="64D7B3F5" w14:textId="1AC43F8A">
      <w:pPr>
        <w:rPr>
          <w:lang w:eastAsia="sv-SE"/>
        </w:rPr>
      </w:pPr>
      <w:r w:rsidRPr="00FC2616">
        <w:rPr>
          <w:lang w:eastAsia="sv-SE"/>
        </w:rPr>
        <w:t>Vänsterpartiet anser att det ska räcka med 44</w:t>
      </w:r>
      <w:r w:rsidR="00520C16">
        <w:rPr>
          <w:lang w:eastAsia="sv-SE"/>
        </w:rPr>
        <w:t> </w:t>
      </w:r>
      <w:r w:rsidRPr="00FC2616">
        <w:rPr>
          <w:lang w:eastAsia="sv-SE"/>
        </w:rPr>
        <w:t xml:space="preserve">års arbete </w:t>
      </w:r>
      <w:r w:rsidRPr="00FC2616" w:rsidR="006A4D4E">
        <w:rPr>
          <w:lang w:eastAsia="sv-SE"/>
        </w:rPr>
        <w:t>för att få rätt till garanti</w:t>
      </w:r>
      <w:r w:rsidR="002432AF">
        <w:rPr>
          <w:lang w:eastAsia="sv-SE"/>
        </w:rPr>
        <w:softHyphen/>
      </w:r>
      <w:r w:rsidRPr="00FC2616" w:rsidR="006A4D4E">
        <w:rPr>
          <w:lang w:eastAsia="sv-SE"/>
        </w:rPr>
        <w:t xml:space="preserve">pension </w:t>
      </w:r>
      <w:r w:rsidRPr="00FC2616">
        <w:rPr>
          <w:lang w:eastAsia="sv-SE"/>
        </w:rPr>
        <w:t xml:space="preserve">oavsett hur gammal man är. Eftersom det inte går att säga hur många som skulle använda möjligheten att ta ut garantipension tidigare har det inte gått att beräkna de offentligfinansiella effekterna av förslaget. </w:t>
      </w:r>
    </w:p>
    <w:p w:rsidRPr="00FC2616" w:rsidR="00D6559C" w:rsidP="00D6559C" w:rsidRDefault="006A4D4E" w14:paraId="421FA315" w14:textId="75C64235">
      <w:pPr>
        <w:rPr>
          <w:lang w:eastAsia="sv-SE"/>
        </w:rPr>
      </w:pPr>
      <w:r w:rsidRPr="00FC2616">
        <w:rPr>
          <w:lang w:eastAsia="sv-SE"/>
        </w:rPr>
        <w:t xml:space="preserve">Vidare anser </w:t>
      </w:r>
      <w:r w:rsidRPr="00FC2616" w:rsidR="006B6770">
        <w:rPr>
          <w:lang w:eastAsia="sv-SE"/>
        </w:rPr>
        <w:t>V</w:t>
      </w:r>
      <w:r w:rsidRPr="00FC2616" w:rsidR="00D6559C">
        <w:rPr>
          <w:lang w:eastAsia="sv-SE"/>
        </w:rPr>
        <w:t xml:space="preserve">änsterpartiet </w:t>
      </w:r>
      <w:r w:rsidRPr="00FC2616">
        <w:rPr>
          <w:lang w:eastAsia="sv-SE"/>
        </w:rPr>
        <w:t>att i</w:t>
      </w:r>
      <w:r w:rsidRPr="00FC2616" w:rsidR="00D6559C">
        <w:rPr>
          <w:lang w:eastAsia="sv-SE"/>
        </w:rPr>
        <w:t>nbetalningarna till pensionssystemet och de med</w:t>
      </w:r>
      <w:r w:rsidR="002432AF">
        <w:rPr>
          <w:lang w:eastAsia="sv-SE"/>
        </w:rPr>
        <w:softHyphen/>
      </w:r>
      <w:r w:rsidRPr="00FC2616" w:rsidR="00D6559C">
        <w:rPr>
          <w:lang w:eastAsia="sv-SE"/>
        </w:rPr>
        <w:t>följande pensionsrätterna bör baseras på bakomliggande inkomst och inte på utbetald ersättning</w:t>
      </w:r>
      <w:r w:rsidR="00456633">
        <w:rPr>
          <w:lang w:eastAsia="sv-SE"/>
        </w:rPr>
        <w:t xml:space="preserve"> </w:t>
      </w:r>
      <w:r w:rsidRPr="00FC2616" w:rsidR="00456633">
        <w:rPr>
          <w:lang w:eastAsia="sv-SE"/>
        </w:rPr>
        <w:t>vid sjukfrånvaro, arbetslöshet och föräldraledighet</w:t>
      </w:r>
      <w:r w:rsidRPr="00FC2616" w:rsidR="00D6559C">
        <w:rPr>
          <w:lang w:eastAsia="sv-SE"/>
        </w:rPr>
        <w:t xml:space="preserve">. </w:t>
      </w:r>
    </w:p>
    <w:p w:rsidRPr="00FC2616" w:rsidR="00D6559C" w:rsidP="006A4D4E" w:rsidRDefault="006A4D4E" w14:paraId="33274911" w14:textId="51E6EA7B">
      <w:pPr>
        <w:rPr>
          <w:lang w:eastAsia="sv-SE"/>
        </w:rPr>
      </w:pPr>
      <w:r w:rsidRPr="00FC2616">
        <w:rPr>
          <w:lang w:eastAsia="sv-SE"/>
        </w:rPr>
        <w:t>Förslaget</w:t>
      </w:r>
      <w:r w:rsidRPr="00FC2616" w:rsidR="00D6559C">
        <w:rPr>
          <w:lang w:eastAsia="sv-SE"/>
        </w:rPr>
        <w:t xml:space="preserve"> skulle minska det offentligfinansiella sparandet med omkring 600 miljoner kronor per år. Eftersom förslaget till en början innebär att inbetalningarna till pensions</w:t>
      </w:r>
      <w:r w:rsidR="002432AF">
        <w:rPr>
          <w:lang w:eastAsia="sv-SE"/>
        </w:rPr>
        <w:softHyphen/>
      </w:r>
      <w:r w:rsidRPr="00FC2616" w:rsidR="00D6559C">
        <w:rPr>
          <w:lang w:eastAsia="sv-SE"/>
        </w:rPr>
        <w:t>systemet ökar genom inbetalningar från staten blir effekterna på de offentliga finanserna relativt blygsamma under de första åren. På sikt innebär förslaget att utgifterna för ålderspensionssystemet kommer ikapp inkomsterna i takt med att de personer som får höjda pensionsrätter till följd av förslaget går i pension. Pensionen skulle i jämförelse med i</w:t>
      </w:r>
      <w:r w:rsidRPr="00FC2616" w:rsidR="006B6770">
        <w:rPr>
          <w:lang w:eastAsia="sv-SE"/>
        </w:rPr>
        <w:t xml:space="preserve"> </w:t>
      </w:r>
      <w:r w:rsidRPr="00FC2616" w:rsidR="00D6559C">
        <w:rPr>
          <w:lang w:eastAsia="sv-SE"/>
        </w:rPr>
        <w:t>dag öka med omkring 250 kronor per månad för en person med genomsnittlig inkomst, per år som sjukskriven, arbetslös eller föräldraledig.</w:t>
      </w:r>
      <w:r w:rsidRPr="00FC2616" w:rsidR="001506BC">
        <w:rPr>
          <w:rStyle w:val="Fotnotsreferens"/>
          <w:lang w:eastAsia="sv-SE"/>
        </w:rPr>
        <w:footnoteReference w:id="64"/>
      </w:r>
    </w:p>
    <w:p w:rsidRPr="00FC2616" w:rsidR="006A4D4E" w:rsidP="006A4D4E" w:rsidRDefault="006A4D4E" w14:paraId="18B63F49" w14:textId="086C2E8F">
      <w:pPr>
        <w:rPr>
          <w:lang w:eastAsia="sv-SE"/>
        </w:rPr>
      </w:pPr>
      <w:r w:rsidRPr="00FC2616">
        <w:rPr>
          <w:lang w:eastAsia="sv-SE"/>
        </w:rPr>
        <w:t>Vänsterpartiets politik för att stärka pensionerna beskrivs närmare i motionen Pensioner att leva på (2022/23:</w:t>
      </w:r>
      <w:r w:rsidR="0089139B">
        <w:rPr>
          <w:lang w:eastAsia="sv-SE"/>
        </w:rPr>
        <w:t>1283</w:t>
      </w:r>
      <w:r w:rsidRPr="00FC2616">
        <w:rPr>
          <w:lang w:eastAsia="sv-SE"/>
        </w:rPr>
        <w:t>).</w:t>
      </w:r>
    </w:p>
    <w:p w:rsidRPr="002432AF" w:rsidR="003F43EF" w:rsidP="002432AF" w:rsidRDefault="003F43EF" w14:paraId="17E8E552" w14:textId="08659FB3">
      <w:pPr>
        <w:pStyle w:val="Normalutanindragellerluft"/>
        <w:spacing w:before="240"/>
        <w:rPr>
          <w:b/>
          <w:bCs/>
          <w:lang w:eastAsia="sv-SE"/>
        </w:rPr>
      </w:pPr>
      <w:r w:rsidRPr="002432AF">
        <w:rPr>
          <w:b/>
          <w:bCs/>
          <w:lang w:eastAsia="sv-SE"/>
        </w:rPr>
        <w:t>Vänsterpartiets förslag:</w:t>
      </w:r>
    </w:p>
    <w:p w:rsidRPr="00FC2616" w:rsidR="003F43EF" w:rsidP="00E308BB" w:rsidRDefault="003F43EF" w14:paraId="3246AAAC" w14:textId="43D5886A">
      <w:pPr>
        <w:pStyle w:val="ListaPunkt"/>
        <w:ind w:left="340" w:hanging="340"/>
        <w:rPr>
          <w:lang w:eastAsia="sv-SE"/>
        </w:rPr>
      </w:pPr>
      <w:r w:rsidRPr="00FC2616">
        <w:rPr>
          <w:lang w:eastAsia="sv-SE"/>
        </w:rPr>
        <w:t xml:space="preserve">Den </w:t>
      </w:r>
      <w:r w:rsidRPr="007F5FD5">
        <w:t>som</w:t>
      </w:r>
      <w:r w:rsidRPr="00FC2616">
        <w:rPr>
          <w:lang w:eastAsia="sv-SE"/>
        </w:rPr>
        <w:t xml:space="preserve"> </w:t>
      </w:r>
      <w:r w:rsidR="007F5FD5">
        <w:rPr>
          <w:lang w:eastAsia="sv-SE"/>
        </w:rPr>
        <w:t xml:space="preserve">har </w:t>
      </w:r>
      <w:r w:rsidRPr="00FC2616">
        <w:rPr>
          <w:lang w:eastAsia="sv-SE"/>
        </w:rPr>
        <w:t>arbetat i 44</w:t>
      </w:r>
      <w:r w:rsidR="003951C0">
        <w:rPr>
          <w:lang w:eastAsia="sv-SE"/>
        </w:rPr>
        <w:t> </w:t>
      </w:r>
      <w:r w:rsidRPr="00FC2616">
        <w:rPr>
          <w:lang w:eastAsia="sv-SE"/>
        </w:rPr>
        <w:t xml:space="preserve">år ska kunna ta ut garantipension. </w:t>
      </w:r>
    </w:p>
    <w:p w:rsidRPr="00FC2616" w:rsidR="002A6F00" w:rsidP="00E308BB" w:rsidRDefault="003F43EF" w14:paraId="129BB0D3" w14:textId="6CD3CC26">
      <w:pPr>
        <w:pStyle w:val="ListaPunkt"/>
        <w:ind w:left="340" w:hanging="340"/>
        <w:rPr>
          <w:lang w:eastAsia="sv-SE"/>
        </w:rPr>
      </w:pPr>
      <w:r w:rsidRPr="00FC2616">
        <w:rPr>
          <w:lang w:eastAsia="sv-SE"/>
        </w:rPr>
        <w:lastRenderedPageBreak/>
        <w:t xml:space="preserve">Låt inbetalningarna </w:t>
      </w:r>
      <w:r w:rsidRPr="007F5FD5">
        <w:t>till</w:t>
      </w:r>
      <w:r w:rsidRPr="00FC2616">
        <w:rPr>
          <w:lang w:eastAsia="sv-SE"/>
        </w:rPr>
        <w:t xml:space="preserve"> pensionssystemet och de medföljande pensionsrätterna vid sjukfrånvaro, arbetslöshet och föräldraledighet baseras på bakomliggande inkomst och inte på utbetald ersättning.</w:t>
      </w:r>
    </w:p>
    <w:p w:rsidRPr="00FC2616" w:rsidR="00601B9E" w:rsidP="00601B9E" w:rsidRDefault="00601B9E" w14:paraId="0DDF33EC" w14:textId="78760DA1">
      <w:pPr>
        <w:pStyle w:val="Rubrik2numrerat"/>
        <w:rPr>
          <w:lang w:eastAsia="sv-SE"/>
        </w:rPr>
      </w:pPr>
      <w:bookmarkStart w:name="_Toc149814551" w:id="86"/>
      <w:r w:rsidRPr="00FC2616">
        <w:rPr>
          <w:lang w:eastAsia="sv-SE"/>
        </w:rPr>
        <w:t>Den ekonomiska familjepolitiken</w:t>
      </w:r>
      <w:bookmarkEnd w:id="86"/>
    </w:p>
    <w:p w:rsidRPr="00FC2616" w:rsidR="00601B9E" w:rsidP="00601B9E" w:rsidRDefault="00601B9E" w14:paraId="087034AE" w14:textId="30502354">
      <w:pPr>
        <w:pStyle w:val="Normalutanindragellerluft"/>
        <w:rPr>
          <w:lang w:eastAsia="sv-SE"/>
        </w:rPr>
      </w:pPr>
      <w:r w:rsidRPr="00FC2616">
        <w:rPr>
          <w:lang w:eastAsia="sv-SE"/>
        </w:rPr>
        <w:t>Målen för den ekonomiska familjepolitiken är att bidra till en god ekonomisk levnads</w:t>
      </w:r>
      <w:r w:rsidR="008F137C">
        <w:rPr>
          <w:lang w:eastAsia="sv-SE"/>
        </w:rPr>
        <w:softHyphen/>
      </w:r>
      <w:r w:rsidRPr="00FC2616">
        <w:rPr>
          <w:lang w:eastAsia="sv-SE"/>
        </w:rPr>
        <w:t>standard för alla barnfamiljer, att bidra till minskade skillnader i de ekonomiska villkoren mellan hushåll med och utan barn samt att bidra till ett jämställt föräldraskap. Mycket tyder på att politiken har blivit allt sämre på att uppfylla dessa mål sedan 1990</w:t>
      </w:r>
      <w:r w:rsidR="00FD1355">
        <w:rPr>
          <w:lang w:eastAsia="sv-SE"/>
        </w:rPr>
        <w:noBreakHyphen/>
      </w:r>
      <w:r w:rsidRPr="00FC2616">
        <w:rPr>
          <w:lang w:eastAsia="sv-SE"/>
        </w:rPr>
        <w:t>talet.</w:t>
      </w:r>
    </w:p>
    <w:p w:rsidRPr="00FC2616" w:rsidR="00230D6F" w:rsidP="00230D6F" w:rsidRDefault="00601B9E" w14:paraId="1D04F2B8" w14:textId="0276BCCA">
      <w:r w:rsidRPr="00FC2616">
        <w:t>Även om många barnfamiljer har fått det ekonomiskt bättre under 2000-talet ökade andelen barnfamiljer som lever med låg ekonomisk standard från omkring 8</w:t>
      </w:r>
      <w:r w:rsidR="009F1435">
        <w:t> </w:t>
      </w:r>
      <w:r w:rsidRPr="00FC2616">
        <w:t>procent i början av 2000-talet till 16</w:t>
      </w:r>
      <w:r w:rsidR="009F1435">
        <w:t> </w:t>
      </w:r>
      <w:r w:rsidRPr="00FC2616">
        <w:t>procent 2017. Förmågan hos förmånerna i den ekonomiska familjepolitiken att minska den ekonomiska utsattheten har minskat markant under 2000-talet. År 2000 minskade andelen barnhushåll med låg relativ ekonomisk standard med nära två tredjedelar, tack vare förmånerna – från 24</w:t>
      </w:r>
      <w:r w:rsidR="00137371">
        <w:t> </w:t>
      </w:r>
      <w:r w:rsidRPr="00FC2616">
        <w:t>procent om förmånerna inte hade funnits till 8</w:t>
      </w:r>
      <w:r w:rsidR="00137371">
        <w:t> </w:t>
      </w:r>
      <w:r w:rsidRPr="00FC2616">
        <w:t>procent med förmånerna. År 2020 minskade andelen bara med en tredjedel till följd av förmånerna – från 27 till 18</w:t>
      </w:r>
      <w:r w:rsidR="0093450A">
        <w:t> </w:t>
      </w:r>
      <w:r w:rsidRPr="00FC2616">
        <w:t>procent. Det är framför allt de behovsprövade bidragen som har mist sin förmåga att minska andelen ekonomiskt utsatta hushåll.</w:t>
      </w:r>
    </w:p>
    <w:p w:rsidRPr="00FC2616" w:rsidR="00230D6F" w:rsidP="00B50CBA" w:rsidRDefault="00230D6F" w14:paraId="64FCD40A" w14:textId="20C09FAB">
      <w:pPr>
        <w:pStyle w:val="Rubrik3numrerat"/>
        <w:rPr>
          <w:lang w:eastAsia="sv-SE"/>
        </w:rPr>
      </w:pPr>
      <w:bookmarkStart w:name="_Toc149814552" w:id="87"/>
      <w:r w:rsidRPr="00FC2616">
        <w:rPr>
          <w:lang w:eastAsia="sv-SE"/>
        </w:rPr>
        <w:t>Inför ett tillfälligt ensamståendetillägg i barnbidraget</w:t>
      </w:r>
      <w:bookmarkEnd w:id="87"/>
    </w:p>
    <w:p w:rsidRPr="00FC2616" w:rsidR="00601B9E" w:rsidP="00230D6F" w:rsidRDefault="00601B9E" w14:paraId="30BFEDE7" w14:textId="3073A1F7">
      <w:pPr>
        <w:pStyle w:val="Normalutanindragellerluft"/>
      </w:pPr>
      <w:r w:rsidRPr="00FC2616">
        <w:t>Ensamstående med barn tillhör de mest ekonomiskt utsatta grupperna, enligt Försäkringskassans analyser. Under 2021 kom i genomsnitt 8,4</w:t>
      </w:r>
      <w:r w:rsidR="00681D58">
        <w:t> </w:t>
      </w:r>
      <w:r w:rsidRPr="00FC2616">
        <w:t>procent av barn</w:t>
      </w:r>
      <w:r w:rsidR="002432AF">
        <w:softHyphen/>
      </w:r>
      <w:r w:rsidRPr="00FC2616">
        <w:t>hushållens inkomster från familjeersättningarna, alltså socialförsäkringen. Störst andel, 22</w:t>
      </w:r>
      <w:r w:rsidR="000016FE">
        <w:t> </w:t>
      </w:r>
      <w:r w:rsidRPr="00FC2616">
        <w:t>procent, får ensamstående kvinnor med flera barn, trots att de utgör 16</w:t>
      </w:r>
      <w:r w:rsidR="000016FE">
        <w:t> </w:t>
      </w:r>
      <w:r w:rsidRPr="00FC2616">
        <w:t>procent av barnhushållen. Ensamstående föräldrar med flera barn får omkring 17,5</w:t>
      </w:r>
      <w:r w:rsidR="000016FE">
        <w:t> </w:t>
      </w:r>
      <w:r w:rsidRPr="00FC2616">
        <w:t>procent av sin disponibla inkomst från familjeersättningarna. Minst andel får sammanboende med ett barn och sammanboende med två barn med 5 respektive 7</w:t>
      </w:r>
      <w:r w:rsidR="000016FE">
        <w:t> </w:t>
      </w:r>
      <w:r w:rsidRPr="00FC2616">
        <w:t>procent. De behovsprövade bidragen är framför allt viktiga för ensamstående flerbarnsföräldrar. I genomsnitt utgörs 8,7</w:t>
      </w:r>
      <w:r w:rsidR="000016FE">
        <w:t> </w:t>
      </w:r>
      <w:r w:rsidRPr="00FC2616">
        <w:t>procent av deras disponibla inkomst av de behovsprövade bidragen, vilket kan jämföras med mellan 0,6 och 1,7</w:t>
      </w:r>
      <w:r w:rsidR="000016FE">
        <w:t> </w:t>
      </w:r>
      <w:r w:rsidRPr="00FC2616">
        <w:t>procent för sammanboende barnhushåll.</w:t>
      </w:r>
    </w:p>
    <w:p w:rsidRPr="00FC2616" w:rsidR="00601B9E" w:rsidP="00601B9E" w:rsidRDefault="00601B9E" w14:paraId="3E43474E" w14:textId="5F194284">
      <w:pPr>
        <w:rPr>
          <w:lang w:eastAsia="sv-SE"/>
        </w:rPr>
      </w:pPr>
      <w:r w:rsidRPr="00FC2616">
        <w:rPr>
          <w:lang w:eastAsia="sv-SE"/>
        </w:rPr>
        <w:t>Vänsterpartiet vill minska behoven av de behovsprövade ersättningarna. Generella stöd möter i regel större acceptans och kräver inga ansökningsförfaranden eller inkomst</w:t>
      </w:r>
      <w:r w:rsidR="002432AF">
        <w:rPr>
          <w:lang w:eastAsia="sv-SE"/>
        </w:rPr>
        <w:softHyphen/>
      </w:r>
      <w:r w:rsidRPr="00FC2616">
        <w:rPr>
          <w:lang w:eastAsia="sv-SE"/>
        </w:rPr>
        <w:t>prövningar. Vänsterpartiet vill med anledning av den höga inflationen och den pressade situationen för många ensamhushåll införa ett tillfälligt ensamståendetillägg under 2023 i barnbidraget som innebär att ensamstående med barn får 500 kronor mer per månad och barn. Tillägget uppskattas kosta staten 2</w:t>
      </w:r>
      <w:r w:rsidRPr="00FC2616" w:rsidR="000C04BA">
        <w:rPr>
          <w:lang w:eastAsia="sv-SE"/>
        </w:rPr>
        <w:t>,1</w:t>
      </w:r>
      <w:r w:rsidRPr="00FC2616">
        <w:rPr>
          <w:lang w:eastAsia="sv-SE"/>
        </w:rPr>
        <w:t xml:space="preserve"> miljarder kronor 2023 och bör utvärderas för att avgöra om det ska förlängas.</w:t>
      </w:r>
      <w:r w:rsidRPr="00FC2616" w:rsidR="000409A3">
        <w:rPr>
          <w:rStyle w:val="Fotnotsreferens"/>
          <w:lang w:eastAsia="sv-SE"/>
        </w:rPr>
        <w:footnoteReference w:id="65"/>
      </w:r>
    </w:p>
    <w:p w:rsidRPr="002432AF" w:rsidR="00601B9E" w:rsidP="002432AF" w:rsidRDefault="00601B9E" w14:paraId="19817CEA" w14:textId="35FD3CC1">
      <w:pPr>
        <w:pStyle w:val="Normalutanindragellerluft"/>
        <w:spacing w:before="240"/>
        <w:rPr>
          <w:b/>
          <w:bCs/>
          <w:lang w:eastAsia="sv-SE"/>
        </w:rPr>
      </w:pPr>
      <w:r w:rsidRPr="002432AF">
        <w:rPr>
          <w:b/>
          <w:bCs/>
          <w:lang w:eastAsia="sv-SE"/>
        </w:rPr>
        <w:t>Vänsterpartiets förslag:</w:t>
      </w:r>
    </w:p>
    <w:p w:rsidRPr="00FC2616" w:rsidR="00601B9E" w:rsidP="00E308BB" w:rsidRDefault="00601B9E" w14:paraId="4F5A5637" w14:textId="5EE5DFDB">
      <w:pPr>
        <w:pStyle w:val="ListaPunkt"/>
        <w:ind w:left="340" w:hanging="340"/>
        <w:rPr>
          <w:lang w:eastAsia="sv-SE"/>
        </w:rPr>
      </w:pPr>
      <w:r w:rsidRPr="00FC2616">
        <w:rPr>
          <w:lang w:eastAsia="sv-SE"/>
        </w:rPr>
        <w:t xml:space="preserve">Inför ett tillfälligt ensamståendetillägg om 500 kronor i månaden per barn i ensamståendehushåll under 2023. </w:t>
      </w:r>
    </w:p>
    <w:p w:rsidRPr="00FC2616" w:rsidR="003C3E83" w:rsidP="00B50CBA" w:rsidRDefault="003C3E83" w14:paraId="33C9BC43" w14:textId="37CF12E2">
      <w:pPr>
        <w:pStyle w:val="Rubrik3numrerat"/>
        <w:rPr>
          <w:lang w:eastAsia="sv-SE"/>
        </w:rPr>
      </w:pPr>
      <w:bookmarkStart w:name="_Toc149814553" w:id="88"/>
      <w:r w:rsidRPr="00FC2616">
        <w:rPr>
          <w:lang w:eastAsia="sv-SE"/>
        </w:rPr>
        <w:lastRenderedPageBreak/>
        <w:t>Höj grundnivån i föräldraförsäkringen</w:t>
      </w:r>
      <w:bookmarkEnd w:id="88"/>
    </w:p>
    <w:p w:rsidRPr="00FC2616" w:rsidR="003C3E83" w:rsidP="003C3E83" w:rsidRDefault="003C3E83" w14:paraId="3EBB86A1" w14:textId="77777777">
      <w:pPr>
        <w:pStyle w:val="Normalutanindragellerluft"/>
        <w:rPr>
          <w:lang w:eastAsia="sv-SE"/>
        </w:rPr>
      </w:pPr>
      <w:r w:rsidRPr="00FC2616">
        <w:rPr>
          <w:lang w:eastAsia="sv-SE"/>
        </w:rPr>
        <w:t xml:space="preserve">Ingen förälder borde behöva välja mellan att betala elräkningen eller köpa vinterskor till barnen, och inget barn borde behöva växa upp i fattigdom i Sverige. Tyvärr ser det inte ut så i dag, barnfattigdomen är ett stort problem i dagens Sverige. </w:t>
      </w:r>
    </w:p>
    <w:p w:rsidRPr="00FC2616" w:rsidR="003C3E83" w:rsidP="003C3E83" w:rsidRDefault="003C3E83" w14:paraId="1E143235" w14:textId="45ECE03A">
      <w:pPr>
        <w:rPr>
          <w:lang w:eastAsia="sv-SE"/>
        </w:rPr>
      </w:pPr>
      <w:r w:rsidRPr="00FC2616">
        <w:rPr>
          <w:lang w:eastAsia="sv-SE"/>
        </w:rPr>
        <w:t>Föräldrar som inte har arbetat i sex månader närmast före förlossningen och därför saknar sjukpenninggrundande inkomst (SGI) får föräldrapenning på grundnivå om 250</w:t>
      </w:r>
      <w:r w:rsidR="00B02D6A">
        <w:rPr>
          <w:lang w:eastAsia="sv-SE"/>
        </w:rPr>
        <w:t> </w:t>
      </w:r>
      <w:r w:rsidRPr="00FC2616">
        <w:rPr>
          <w:lang w:eastAsia="sv-SE"/>
        </w:rPr>
        <w:t>kronor per dag. De flesta av dem som får föräldrapenning på grundnivå är troligtvis unga och arbetslösa eller studerande eller har invandrat nyligen och inte hunnit etablera sig på arbetsmarknaden.</w:t>
      </w:r>
    </w:p>
    <w:p w:rsidRPr="00FC2616" w:rsidR="003C3E83" w:rsidP="003C3E83" w:rsidRDefault="003C3E83" w14:paraId="636E977C" w14:textId="5AC6FF0B">
      <w:pPr>
        <w:rPr>
          <w:lang w:eastAsia="sv-SE"/>
        </w:rPr>
      </w:pPr>
      <w:r w:rsidRPr="00FC2616">
        <w:rPr>
          <w:lang w:eastAsia="sv-SE"/>
        </w:rPr>
        <w:t>Vänsterpartiet anser att grundnivån bör indexeras, i</w:t>
      </w:r>
      <w:r w:rsidRPr="00FC2616" w:rsidR="003F0542">
        <w:rPr>
          <w:lang w:eastAsia="sv-SE"/>
        </w:rPr>
        <w:t xml:space="preserve"> </w:t>
      </w:r>
      <w:r w:rsidRPr="00FC2616">
        <w:rPr>
          <w:lang w:eastAsia="sv-SE"/>
        </w:rPr>
        <w:t>stället för att riksdagen med jämna mellanrum ska höja den när den upplevs ha blivit för låg. Om grundnivån hade räknats upp med inkomstindex från den senaste höjningen 2016 hade den varit 299</w:t>
      </w:r>
      <w:r w:rsidR="00B02D6A">
        <w:rPr>
          <w:lang w:eastAsia="sv-SE"/>
        </w:rPr>
        <w:t> </w:t>
      </w:r>
      <w:r w:rsidRPr="00FC2616">
        <w:rPr>
          <w:lang w:eastAsia="sv-SE"/>
        </w:rPr>
        <w:t>kronor per dag 2023 (RUT 2020:762). För den som tar ut 30</w:t>
      </w:r>
      <w:r w:rsidR="00B02D6A">
        <w:rPr>
          <w:lang w:eastAsia="sv-SE"/>
        </w:rPr>
        <w:t> </w:t>
      </w:r>
      <w:r w:rsidRPr="00FC2616">
        <w:rPr>
          <w:lang w:eastAsia="sv-SE"/>
        </w:rPr>
        <w:t>dagar per månad på grundnivå skulle det innebära att föräldrapenningen höjs med nästan 1</w:t>
      </w:r>
      <w:r w:rsidR="00B02D6A">
        <w:rPr>
          <w:lang w:eastAsia="sv-SE"/>
        </w:rPr>
        <w:t> </w:t>
      </w:r>
      <w:r w:rsidRPr="00FC2616">
        <w:rPr>
          <w:lang w:eastAsia="sv-SE"/>
        </w:rPr>
        <w:t xml:space="preserve">500 kronor per månad. </w:t>
      </w:r>
      <w:r w:rsidRPr="00FC2616" w:rsidR="00A1461C">
        <w:rPr>
          <w:lang w:eastAsia="sv-SE"/>
        </w:rPr>
        <w:t>Förslaget beräknas försvaga de offentliga finanserna med omkring 400</w:t>
      </w:r>
      <w:r w:rsidR="00B02D6A">
        <w:rPr>
          <w:lang w:eastAsia="sv-SE"/>
        </w:rPr>
        <w:t> </w:t>
      </w:r>
      <w:r w:rsidRPr="00FC2616" w:rsidR="00A1461C">
        <w:rPr>
          <w:lang w:eastAsia="sv-SE"/>
        </w:rPr>
        <w:t xml:space="preserve">miljoner kronor per år. </w:t>
      </w:r>
      <w:r w:rsidRPr="00FC2616">
        <w:rPr>
          <w:lang w:eastAsia="sv-SE"/>
        </w:rPr>
        <w:t>Vänsterpartiet anser att grundnivån bör höjas till 299</w:t>
      </w:r>
      <w:r w:rsidR="00B02D6A">
        <w:rPr>
          <w:lang w:eastAsia="sv-SE"/>
        </w:rPr>
        <w:t> </w:t>
      </w:r>
      <w:r w:rsidRPr="00FC2616">
        <w:rPr>
          <w:lang w:eastAsia="sv-SE"/>
        </w:rPr>
        <w:t>kronor per dag.</w:t>
      </w:r>
      <w:r w:rsidRPr="00FC2616" w:rsidR="000409A3">
        <w:rPr>
          <w:rStyle w:val="Fotnotsreferens"/>
          <w:lang w:eastAsia="sv-SE"/>
        </w:rPr>
        <w:footnoteReference w:id="66"/>
      </w:r>
    </w:p>
    <w:p w:rsidRPr="002432AF" w:rsidR="003C3E83" w:rsidP="002432AF" w:rsidRDefault="003C3E83" w14:paraId="48C6C316" w14:textId="77777777">
      <w:pPr>
        <w:pStyle w:val="Normalutanindragellerluft"/>
        <w:spacing w:before="240"/>
        <w:rPr>
          <w:b/>
          <w:bCs/>
          <w:lang w:eastAsia="sv-SE"/>
        </w:rPr>
      </w:pPr>
      <w:r w:rsidRPr="002432AF">
        <w:rPr>
          <w:b/>
          <w:bCs/>
          <w:lang w:eastAsia="sv-SE"/>
        </w:rPr>
        <w:t>Vänsterpartiets förslag:</w:t>
      </w:r>
    </w:p>
    <w:p w:rsidRPr="00FC2616" w:rsidR="003C3E83" w:rsidP="00E308BB" w:rsidRDefault="003C3E83" w14:paraId="466C6E0D" w14:textId="595AF7E1">
      <w:pPr>
        <w:pStyle w:val="ListaPunkt"/>
        <w:ind w:left="340" w:hanging="340"/>
        <w:rPr>
          <w:lang w:eastAsia="sv-SE"/>
        </w:rPr>
      </w:pPr>
      <w:r w:rsidRPr="00FC2616">
        <w:rPr>
          <w:lang w:eastAsia="sv-SE"/>
        </w:rPr>
        <w:t>Höj grundnivån i föräldraförsäkringen till 299</w:t>
      </w:r>
      <w:r w:rsidR="00EF6D38">
        <w:rPr>
          <w:lang w:eastAsia="sv-SE"/>
        </w:rPr>
        <w:t> </w:t>
      </w:r>
      <w:r w:rsidRPr="00FC2616">
        <w:rPr>
          <w:lang w:eastAsia="sv-SE"/>
        </w:rPr>
        <w:t>kronor per dag.</w:t>
      </w:r>
    </w:p>
    <w:p w:rsidRPr="00FC2616" w:rsidR="00857104" w:rsidP="00B50CBA" w:rsidRDefault="00857104" w14:paraId="52CCFA9B" w14:textId="77777777">
      <w:pPr>
        <w:pStyle w:val="Rubrik3numrerat"/>
        <w:rPr>
          <w:lang w:eastAsia="sv-SE"/>
        </w:rPr>
      </w:pPr>
      <w:bookmarkStart w:name="_Toc149814554" w:id="89"/>
      <w:r w:rsidRPr="00FC2616">
        <w:rPr>
          <w:lang w:eastAsia="sv-SE"/>
        </w:rPr>
        <w:t>Höj försörjningsstödet</w:t>
      </w:r>
      <w:bookmarkEnd w:id="89"/>
      <w:r w:rsidRPr="00FC2616">
        <w:rPr>
          <w:lang w:eastAsia="sv-SE"/>
        </w:rPr>
        <w:t xml:space="preserve"> </w:t>
      </w:r>
    </w:p>
    <w:p w:rsidRPr="00FC2616" w:rsidR="00857104" w:rsidP="00857104" w:rsidRDefault="00857104" w14:paraId="1CB6F955" w14:textId="184D4C32">
      <w:pPr>
        <w:pStyle w:val="Normalutanindragellerluft"/>
        <w:rPr>
          <w:lang w:eastAsia="sv-SE"/>
        </w:rPr>
      </w:pPr>
      <w:r w:rsidRPr="00FC2616">
        <w:rPr>
          <w:lang w:eastAsia="sv-SE"/>
        </w:rPr>
        <w:t xml:space="preserve">Hushållen med </w:t>
      </w:r>
      <w:r w:rsidR="00FF297A">
        <w:rPr>
          <w:lang w:eastAsia="sv-SE"/>
        </w:rPr>
        <w:t xml:space="preserve">de </w:t>
      </w:r>
      <w:r w:rsidRPr="00FC2616">
        <w:rPr>
          <w:lang w:eastAsia="sv-SE"/>
        </w:rPr>
        <w:t>minst</w:t>
      </w:r>
      <w:r w:rsidR="00FF297A">
        <w:rPr>
          <w:lang w:eastAsia="sv-SE"/>
        </w:rPr>
        <w:t>a</w:t>
      </w:r>
      <w:r w:rsidRPr="00FC2616">
        <w:rPr>
          <w:lang w:eastAsia="sv-SE"/>
        </w:rPr>
        <w:t xml:space="preserve"> ekonomiska marginaler</w:t>
      </w:r>
      <w:r w:rsidR="00FF297A">
        <w:rPr>
          <w:lang w:eastAsia="sv-SE"/>
        </w:rPr>
        <w:t>na</w:t>
      </w:r>
      <w:r w:rsidRPr="00FC2616">
        <w:rPr>
          <w:lang w:eastAsia="sv-SE"/>
        </w:rPr>
        <w:t xml:space="preserve"> är extra utsatta till följd av den höga inflationen. För att förbättra situationen för dessa hushåll och hjälpa dem igenom dessa svåra tider föreslår Vänsterpartiet att försörjningsstödet höjs generellt med 1</w:t>
      </w:r>
      <w:r w:rsidR="008C3A0D">
        <w:rPr>
          <w:lang w:eastAsia="sv-SE"/>
        </w:rPr>
        <w:t> </w:t>
      </w:r>
      <w:r w:rsidRPr="00FC2616">
        <w:rPr>
          <w:lang w:eastAsia="sv-SE"/>
        </w:rPr>
        <w:t xml:space="preserve">000 kronor per månad och hushåll. </w:t>
      </w:r>
    </w:p>
    <w:p w:rsidRPr="00FC2616" w:rsidR="00857104" w:rsidP="00857104" w:rsidRDefault="00857104" w14:paraId="3287F05F" w14:textId="6719AE39">
      <w:pPr>
        <w:rPr>
          <w:lang w:eastAsia="sv-SE"/>
        </w:rPr>
      </w:pPr>
      <w:r w:rsidRPr="00FC2616">
        <w:rPr>
          <w:lang w:eastAsia="sv-SE"/>
        </w:rPr>
        <w:t>Vi vill också se en särskild satsning på barnfamiljer som innebär att försörjnings</w:t>
      </w:r>
      <w:r w:rsidR="002432AF">
        <w:rPr>
          <w:lang w:eastAsia="sv-SE"/>
        </w:rPr>
        <w:softHyphen/>
      </w:r>
      <w:r w:rsidRPr="00FC2616">
        <w:rPr>
          <w:lang w:eastAsia="sv-SE"/>
        </w:rPr>
        <w:t>stödet höjs med ytterligare 500 kronor per månad och barnhushåll, samt 200</w:t>
      </w:r>
      <w:r w:rsidR="00E556E5">
        <w:rPr>
          <w:lang w:eastAsia="sv-SE"/>
        </w:rPr>
        <w:t> </w:t>
      </w:r>
      <w:r w:rsidRPr="00FC2616">
        <w:rPr>
          <w:lang w:eastAsia="sv-SE"/>
        </w:rPr>
        <w:t>kronor per månad och barn. Förslagen försvagar de offentliga finanserna med 1</w:t>
      </w:r>
      <w:r w:rsidR="00E556E5">
        <w:rPr>
          <w:lang w:eastAsia="sv-SE"/>
        </w:rPr>
        <w:t> </w:t>
      </w:r>
      <w:r w:rsidRPr="00FC2616">
        <w:rPr>
          <w:lang w:eastAsia="sv-SE"/>
        </w:rPr>
        <w:t>891</w:t>
      </w:r>
      <w:r w:rsidR="00E556E5">
        <w:rPr>
          <w:lang w:eastAsia="sv-SE"/>
        </w:rPr>
        <w:t> </w:t>
      </w:r>
      <w:r w:rsidRPr="00FC2616">
        <w:rPr>
          <w:lang w:eastAsia="sv-SE"/>
        </w:rPr>
        <w:t>miljoner kronor 2023</w:t>
      </w:r>
      <w:r w:rsidR="00733FBF">
        <w:rPr>
          <w:lang w:eastAsia="sv-SE"/>
        </w:rPr>
        <w:t>.</w:t>
      </w:r>
      <w:r w:rsidRPr="00FC2616">
        <w:rPr>
          <w:lang w:eastAsia="sv-SE"/>
        </w:rPr>
        <w:t xml:space="preserve"> </w:t>
      </w:r>
    </w:p>
    <w:p w:rsidRPr="002432AF" w:rsidR="00857104" w:rsidP="002432AF" w:rsidRDefault="00857104" w14:paraId="241D32B9" w14:textId="77777777">
      <w:pPr>
        <w:pStyle w:val="Normalutanindragellerluft"/>
        <w:spacing w:before="240"/>
        <w:rPr>
          <w:b/>
          <w:bCs/>
          <w:lang w:eastAsia="sv-SE"/>
        </w:rPr>
      </w:pPr>
      <w:r w:rsidRPr="002432AF">
        <w:rPr>
          <w:b/>
          <w:bCs/>
          <w:lang w:eastAsia="sv-SE"/>
        </w:rPr>
        <w:t>Vänsterpartiets förslag:</w:t>
      </w:r>
    </w:p>
    <w:p w:rsidRPr="00FC2616" w:rsidR="00857104" w:rsidP="00E308BB" w:rsidRDefault="00857104" w14:paraId="0F2F9E41" w14:textId="73381C4D">
      <w:pPr>
        <w:pStyle w:val="ListaPunkt"/>
        <w:ind w:left="340" w:hanging="340"/>
        <w:rPr>
          <w:lang w:eastAsia="sv-SE"/>
        </w:rPr>
      </w:pPr>
      <w:r w:rsidRPr="00FC2616">
        <w:rPr>
          <w:lang w:eastAsia="sv-SE"/>
        </w:rPr>
        <w:t>Höj försörjningsstödet med 1</w:t>
      </w:r>
      <w:r w:rsidR="002D3202">
        <w:rPr>
          <w:lang w:eastAsia="sv-SE"/>
        </w:rPr>
        <w:t> </w:t>
      </w:r>
      <w:r w:rsidRPr="00FC2616">
        <w:rPr>
          <w:lang w:eastAsia="sv-SE"/>
        </w:rPr>
        <w:t xml:space="preserve">000 kronor per månad och hushåll. </w:t>
      </w:r>
    </w:p>
    <w:p w:rsidRPr="00FC2616" w:rsidR="00857104" w:rsidP="00E308BB" w:rsidRDefault="00857104" w14:paraId="344B84E7" w14:textId="725AAC9D">
      <w:pPr>
        <w:pStyle w:val="ListaPunkt"/>
        <w:ind w:left="340" w:hanging="340"/>
        <w:rPr>
          <w:lang w:eastAsia="sv-SE"/>
        </w:rPr>
      </w:pPr>
      <w:r w:rsidRPr="00FC2616">
        <w:rPr>
          <w:lang w:eastAsia="sv-SE"/>
        </w:rPr>
        <w:t>Höj försörjningsstödet med 500 kronor per månad och barnhushåll samt 200</w:t>
      </w:r>
      <w:r w:rsidR="002D3202">
        <w:rPr>
          <w:lang w:eastAsia="sv-SE"/>
        </w:rPr>
        <w:t> </w:t>
      </w:r>
      <w:r w:rsidRPr="00FC2616">
        <w:rPr>
          <w:lang w:eastAsia="sv-SE"/>
        </w:rPr>
        <w:t>kronor per månad och barn.</w:t>
      </w:r>
    </w:p>
    <w:p w:rsidRPr="00FC2616" w:rsidR="002A6F00" w:rsidP="007802B8" w:rsidRDefault="002A6F00" w14:paraId="0D8794C1" w14:textId="26D143D9">
      <w:pPr>
        <w:pStyle w:val="Rubrik2numrerat"/>
        <w:rPr>
          <w:rFonts w:eastAsia="Times New Roman"/>
          <w:lang w:eastAsia="sv-SE"/>
        </w:rPr>
      </w:pPr>
      <w:bookmarkStart w:name="_Toc149814555" w:id="90"/>
      <w:r w:rsidRPr="00FC2616">
        <w:rPr>
          <w:rFonts w:eastAsia="Times New Roman"/>
          <w:lang w:eastAsia="sv-SE"/>
        </w:rPr>
        <w:lastRenderedPageBreak/>
        <w:t>Reformtabell</w:t>
      </w:r>
      <w:bookmarkEnd w:id="90"/>
    </w:p>
    <w:p w:rsidRPr="00E308BB" w:rsidR="002A6F00" w:rsidP="00E308BB" w:rsidRDefault="002A6F00" w14:paraId="6C7632CB" w14:textId="596075FE">
      <w:pPr>
        <w:pStyle w:val="Tabellrubrik"/>
      </w:pPr>
      <w:r w:rsidRPr="00E308BB">
        <w:t xml:space="preserve">Tabell </w:t>
      </w:r>
      <w:r w:rsidRPr="00E308BB" w:rsidR="0008121C">
        <w:t>2</w:t>
      </w:r>
      <w:r w:rsidRPr="00E308BB">
        <w:t xml:space="preserve"> Reformtabell </w:t>
      </w:r>
      <w:r w:rsidRPr="00E308BB" w:rsidR="00EC4D2F">
        <w:t>Starka och trygga löntagare</w:t>
      </w:r>
      <w:r w:rsidRPr="00E308BB">
        <w:t xml:space="preserve"> (miljarder kronor)</w:t>
      </w:r>
    </w:p>
    <w:tbl>
      <w:tblPr>
        <w:tblW w:w="8505" w:type="dxa"/>
        <w:tblLayout w:type="fixed"/>
        <w:tblCellMar>
          <w:left w:w="28" w:type="dxa"/>
          <w:right w:w="28" w:type="dxa"/>
        </w:tblCellMar>
        <w:tblLook w:val="04A0" w:firstRow="1" w:lastRow="0" w:firstColumn="1" w:lastColumn="0" w:noHBand="0" w:noVBand="1"/>
      </w:tblPr>
      <w:tblGrid>
        <w:gridCol w:w="5103"/>
        <w:gridCol w:w="1134"/>
        <w:gridCol w:w="1134"/>
        <w:gridCol w:w="1134"/>
      </w:tblGrid>
      <w:tr w:rsidRPr="007E5CF2" w:rsidR="002A6F00" w:rsidTr="007E5CF2" w14:paraId="2762B4C9" w14:textId="77777777">
        <w:trPr>
          <w:cantSplit/>
          <w:tblHeader/>
        </w:trPr>
        <w:tc>
          <w:tcPr>
            <w:tcW w:w="5103" w:type="dxa"/>
            <w:tcBorders>
              <w:top w:val="single" w:color="auto" w:sz="4" w:space="0"/>
              <w:left w:val="nil"/>
              <w:bottom w:val="single" w:color="auto" w:sz="4" w:space="0"/>
              <w:right w:val="nil"/>
            </w:tcBorders>
            <w:shd w:val="clear" w:color="auto" w:fill="auto"/>
            <w:noWrap/>
            <w:hideMark/>
          </w:tcPr>
          <w:p w:rsidRPr="007E5CF2" w:rsidR="002A6F00" w:rsidP="007E5CF2" w:rsidRDefault="002A6F00" w14:paraId="1F9F51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0"/>
                <w:szCs w:val="20"/>
                <w:lang w:eastAsia="sv-SE"/>
              </w:rPr>
            </w:pPr>
            <w:r w:rsidRPr="007E5CF2">
              <w:rPr>
                <w:rFonts w:ascii="Times New Roman" w:hAnsi="Times New Roman" w:eastAsia="Times New Roman" w:cs="Times New Roman"/>
                <w:color w:val="000000"/>
                <w:kern w:val="0"/>
                <w:sz w:val="20"/>
                <w:szCs w:val="20"/>
                <w:lang w:eastAsia="sv-SE"/>
                <w14:numSpacing w14:val="default"/>
              </w:rPr>
              <w:t> </w:t>
            </w:r>
          </w:p>
        </w:tc>
        <w:tc>
          <w:tcPr>
            <w:tcW w:w="1134" w:type="dxa"/>
            <w:tcBorders>
              <w:top w:val="single" w:color="auto" w:sz="4" w:space="0"/>
              <w:left w:val="nil"/>
              <w:bottom w:val="single" w:color="auto" w:sz="4" w:space="0"/>
              <w:right w:val="nil"/>
            </w:tcBorders>
            <w:shd w:val="clear" w:color="auto" w:fill="auto"/>
            <w:noWrap/>
            <w:hideMark/>
          </w:tcPr>
          <w:p w:rsidRPr="007E5CF2" w:rsidR="002A6F00" w:rsidP="007E5CF2" w:rsidRDefault="002A6F00" w14:paraId="3E0DA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sz w:val="20"/>
                <w:szCs w:val="20"/>
                <w:lang w:eastAsia="sv-SE"/>
              </w:rPr>
            </w:pPr>
            <w:r w:rsidRPr="007E5CF2">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4" w:space="0"/>
              <w:left w:val="nil"/>
              <w:bottom w:val="single" w:color="auto" w:sz="4" w:space="0"/>
              <w:right w:val="nil"/>
            </w:tcBorders>
            <w:shd w:val="clear" w:color="auto" w:fill="auto"/>
            <w:noWrap/>
            <w:hideMark/>
          </w:tcPr>
          <w:p w:rsidRPr="007E5CF2" w:rsidR="002A6F00" w:rsidP="007E5CF2" w:rsidRDefault="002A6F00" w14:paraId="2C8A7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sz w:val="20"/>
                <w:szCs w:val="20"/>
                <w:lang w:eastAsia="sv-SE"/>
              </w:rPr>
            </w:pPr>
            <w:r w:rsidRPr="007E5CF2">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4" w:space="0"/>
              <w:left w:val="nil"/>
              <w:bottom w:val="single" w:color="auto" w:sz="4" w:space="0"/>
              <w:right w:val="nil"/>
            </w:tcBorders>
            <w:shd w:val="clear" w:color="auto" w:fill="auto"/>
            <w:noWrap/>
            <w:hideMark/>
          </w:tcPr>
          <w:p w:rsidRPr="007E5CF2" w:rsidR="002A6F00" w:rsidP="007E5CF2" w:rsidRDefault="002A6F00" w14:paraId="56A62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sz w:val="20"/>
                <w:szCs w:val="20"/>
                <w:lang w:eastAsia="sv-SE"/>
              </w:rPr>
            </w:pPr>
            <w:r w:rsidRPr="007E5CF2">
              <w:rPr>
                <w:rFonts w:ascii="Times New Roman" w:hAnsi="Times New Roman" w:eastAsia="Times New Roman" w:cs="Times New Roman"/>
                <w:b/>
                <w:bCs/>
                <w:color w:val="000000"/>
                <w:kern w:val="0"/>
                <w:sz w:val="20"/>
                <w:szCs w:val="20"/>
                <w:lang w:eastAsia="sv-SE"/>
                <w14:numSpacing w14:val="default"/>
              </w:rPr>
              <w:t>2025</w:t>
            </w:r>
          </w:p>
        </w:tc>
      </w:tr>
      <w:tr w:rsidRPr="007E5CF2" w:rsidR="002A6F00" w:rsidTr="007E5CF2" w14:paraId="7CB0A355" w14:textId="77777777">
        <w:trPr>
          <w:cantSplit/>
          <w:tblHeader/>
        </w:trPr>
        <w:tc>
          <w:tcPr>
            <w:tcW w:w="5103" w:type="dxa"/>
            <w:tcBorders>
              <w:top w:val="nil"/>
              <w:left w:val="nil"/>
              <w:bottom w:val="nil"/>
              <w:right w:val="nil"/>
            </w:tcBorders>
            <w:shd w:val="clear" w:color="auto" w:fill="auto"/>
            <w:noWrap/>
            <w:hideMark/>
          </w:tcPr>
          <w:p w:rsidRPr="007E5CF2" w:rsidR="002A6F00" w:rsidP="007E5CF2" w:rsidRDefault="002A6F00" w14:paraId="10BE4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themeColor="text1"/>
                <w:sz w:val="20"/>
                <w:szCs w:val="20"/>
                <w:lang w:eastAsia="sv-SE"/>
              </w:rPr>
            </w:pPr>
            <w:r w:rsidRPr="007E5CF2">
              <w:rPr>
                <w:rFonts w:ascii="Times New Roman" w:hAnsi="Times New Roman" w:eastAsia="Times New Roman" w:cs="Times New Roman"/>
                <w:b/>
                <w:bCs/>
                <w:color w:val="000000"/>
                <w:kern w:val="0"/>
                <w:sz w:val="20"/>
                <w:szCs w:val="20"/>
                <w:lang w:eastAsia="sv-SE"/>
                <w14:numSpacing w14:val="default"/>
              </w:rPr>
              <w:t xml:space="preserve">Starka och trygga löntagare </w:t>
            </w:r>
          </w:p>
        </w:tc>
        <w:tc>
          <w:tcPr>
            <w:tcW w:w="1134" w:type="dxa"/>
            <w:tcBorders>
              <w:top w:val="nil"/>
              <w:left w:val="nil"/>
              <w:bottom w:val="nil"/>
              <w:right w:val="nil"/>
            </w:tcBorders>
            <w:shd w:val="clear" w:color="auto" w:fill="auto"/>
            <w:noWrap/>
          </w:tcPr>
          <w:p w:rsidRPr="007E5CF2" w:rsidR="002A6F00" w:rsidP="007E5CF2" w:rsidRDefault="002A6F00" w14:paraId="6E6DF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134" w:type="dxa"/>
            <w:tcBorders>
              <w:top w:val="nil"/>
              <w:left w:val="nil"/>
              <w:bottom w:val="nil"/>
              <w:right w:val="nil"/>
            </w:tcBorders>
            <w:shd w:val="clear" w:color="auto" w:fill="auto"/>
            <w:noWrap/>
          </w:tcPr>
          <w:p w:rsidRPr="007E5CF2" w:rsidR="002A6F00" w:rsidP="007E5CF2" w:rsidRDefault="002A6F00" w14:paraId="0CCCC2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134" w:type="dxa"/>
            <w:tcBorders>
              <w:top w:val="nil"/>
              <w:left w:val="nil"/>
              <w:bottom w:val="nil"/>
              <w:right w:val="nil"/>
            </w:tcBorders>
            <w:shd w:val="clear" w:color="auto" w:fill="auto"/>
            <w:noWrap/>
          </w:tcPr>
          <w:p w:rsidRPr="007E5CF2" w:rsidR="002A6F00" w:rsidP="007E5CF2" w:rsidRDefault="002A6F00" w14:paraId="26459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r>
      <w:tr w:rsidRPr="007E5CF2" w:rsidR="002A6F00" w:rsidTr="007E5CF2" w14:paraId="60AFE192" w14:textId="77777777">
        <w:trPr>
          <w:cantSplit/>
          <w:tblHeader/>
        </w:trPr>
        <w:tc>
          <w:tcPr>
            <w:tcW w:w="5103" w:type="dxa"/>
            <w:tcBorders>
              <w:top w:val="nil"/>
              <w:left w:val="nil"/>
              <w:bottom w:val="nil"/>
              <w:right w:val="nil"/>
            </w:tcBorders>
            <w:shd w:val="clear" w:color="auto" w:fill="auto"/>
            <w:noWrap/>
            <w:hideMark/>
          </w:tcPr>
          <w:p w:rsidRPr="007E5CF2" w:rsidR="002A6F00" w:rsidP="007E5CF2" w:rsidRDefault="00CA2591" w14:paraId="1F76E8C5" w14:textId="406512B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0"/>
                <w:szCs w:val="20"/>
                <w:lang w:eastAsia="sv-SE"/>
              </w:rPr>
            </w:pPr>
            <w:r w:rsidRPr="007E5CF2">
              <w:rPr>
                <w:rFonts w:ascii="Times New Roman" w:hAnsi="Times New Roman" w:eastAsia="Times New Roman" w:cs="Times New Roman"/>
                <w:color w:val="000000"/>
                <w:kern w:val="0"/>
                <w:sz w:val="20"/>
                <w:szCs w:val="20"/>
                <w:lang w:eastAsia="sv-SE"/>
                <w14:numSpacing w14:val="default"/>
              </w:rPr>
              <w:t xml:space="preserve">Stärk </w:t>
            </w:r>
            <w:r w:rsidRPr="007E5CF2" w:rsidR="007B1270">
              <w:rPr>
                <w:rFonts w:ascii="Times New Roman" w:hAnsi="Times New Roman" w:eastAsia="Times New Roman" w:cs="Times New Roman"/>
                <w:color w:val="000000"/>
                <w:kern w:val="0"/>
                <w:sz w:val="20"/>
                <w:szCs w:val="20"/>
                <w:lang w:eastAsia="sv-SE"/>
                <w14:numSpacing w14:val="default"/>
              </w:rPr>
              <w:t>A</w:t>
            </w:r>
            <w:r w:rsidRPr="007E5CF2" w:rsidR="00B73EDB">
              <w:rPr>
                <w:rFonts w:ascii="Times New Roman" w:hAnsi="Times New Roman" w:eastAsia="Times New Roman" w:cs="Times New Roman"/>
                <w:color w:val="000000"/>
                <w:kern w:val="0"/>
                <w:sz w:val="20"/>
                <w:szCs w:val="20"/>
                <w:lang w:eastAsia="sv-SE"/>
                <w14:numSpacing w14:val="default"/>
              </w:rPr>
              <w:t>rbetsförmedlingen</w:t>
            </w:r>
          </w:p>
        </w:tc>
        <w:tc>
          <w:tcPr>
            <w:tcW w:w="1134" w:type="dxa"/>
            <w:tcBorders>
              <w:top w:val="nil"/>
              <w:left w:val="nil"/>
              <w:bottom w:val="nil"/>
              <w:right w:val="nil"/>
            </w:tcBorders>
            <w:shd w:val="clear" w:color="auto" w:fill="auto"/>
            <w:noWrap/>
            <w:hideMark/>
          </w:tcPr>
          <w:p w:rsidRPr="007E5CF2" w:rsidR="002A6F00" w:rsidP="007E5CF2" w:rsidRDefault="002A6F00" w14:paraId="2FCC8E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1,5</w:t>
            </w:r>
          </w:p>
        </w:tc>
        <w:tc>
          <w:tcPr>
            <w:tcW w:w="1134" w:type="dxa"/>
            <w:tcBorders>
              <w:top w:val="nil"/>
              <w:left w:val="nil"/>
              <w:bottom w:val="nil"/>
              <w:right w:val="nil"/>
            </w:tcBorders>
            <w:shd w:val="clear" w:color="auto" w:fill="auto"/>
            <w:noWrap/>
            <w:hideMark/>
          </w:tcPr>
          <w:p w:rsidRPr="007E5CF2" w:rsidR="002A6F00" w:rsidP="007E5CF2" w:rsidRDefault="002A6F00" w14:paraId="55903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2,5</w:t>
            </w:r>
          </w:p>
        </w:tc>
        <w:tc>
          <w:tcPr>
            <w:tcW w:w="1134" w:type="dxa"/>
            <w:tcBorders>
              <w:top w:val="nil"/>
              <w:left w:val="nil"/>
              <w:bottom w:val="nil"/>
              <w:right w:val="nil"/>
            </w:tcBorders>
            <w:shd w:val="clear" w:color="auto" w:fill="auto"/>
            <w:noWrap/>
            <w:hideMark/>
          </w:tcPr>
          <w:p w:rsidRPr="007E5CF2" w:rsidR="002A6F00" w:rsidP="007E5CF2" w:rsidRDefault="002A6F00" w14:paraId="197C1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3,0</w:t>
            </w:r>
          </w:p>
        </w:tc>
      </w:tr>
      <w:tr w:rsidRPr="007E5CF2" w:rsidR="00A1461C" w:rsidTr="007E5CF2" w14:paraId="28FC7FF7" w14:textId="77777777">
        <w:trPr>
          <w:cantSplit/>
          <w:tblHeader/>
        </w:trPr>
        <w:tc>
          <w:tcPr>
            <w:tcW w:w="5103" w:type="dxa"/>
            <w:tcBorders>
              <w:top w:val="nil"/>
              <w:left w:val="nil"/>
              <w:bottom w:val="nil"/>
              <w:right w:val="nil"/>
            </w:tcBorders>
            <w:shd w:val="clear" w:color="auto" w:fill="auto"/>
            <w:noWrap/>
          </w:tcPr>
          <w:p w:rsidRPr="007E5CF2" w:rsidR="00E308BB" w:rsidP="007E5CF2" w:rsidRDefault="00A1461C" w14:paraId="1F3ACE1C" w14:textId="6BAA11EA">
            <w:pPr>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E5CF2">
              <w:rPr>
                <w:rFonts w:ascii="Times New Roman" w:hAnsi="Times New Roman" w:eastAsia="Times New Roman" w:cs="Times New Roman"/>
                <w:color w:val="000000"/>
                <w:kern w:val="0"/>
                <w:sz w:val="20"/>
                <w:szCs w:val="20"/>
                <w:lang w:eastAsia="sv-SE"/>
                <w14:numSpacing w14:val="default"/>
              </w:rPr>
              <w:t>Höj och indexera lönetaken för subventionerade anställningar</w:t>
            </w:r>
          </w:p>
        </w:tc>
        <w:tc>
          <w:tcPr>
            <w:tcW w:w="1134" w:type="dxa"/>
            <w:tcBorders>
              <w:top w:val="nil"/>
              <w:left w:val="nil"/>
              <w:bottom w:val="nil"/>
              <w:right w:val="nil"/>
            </w:tcBorders>
            <w:shd w:val="clear" w:color="auto" w:fill="auto"/>
            <w:noWrap/>
            <w:vAlign w:val="bottom"/>
          </w:tcPr>
          <w:p w:rsidRPr="007E5CF2" w:rsidR="00A1461C" w:rsidP="007E5CF2" w:rsidRDefault="005651AB" w14:paraId="2E01B97A" w14:textId="0E0295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0,0</w:t>
            </w:r>
          </w:p>
        </w:tc>
        <w:tc>
          <w:tcPr>
            <w:tcW w:w="1134" w:type="dxa"/>
            <w:tcBorders>
              <w:top w:val="nil"/>
              <w:left w:val="nil"/>
              <w:bottom w:val="nil"/>
              <w:right w:val="nil"/>
            </w:tcBorders>
            <w:shd w:val="clear" w:color="auto" w:fill="auto"/>
            <w:noWrap/>
            <w:vAlign w:val="bottom"/>
          </w:tcPr>
          <w:p w:rsidRPr="007E5CF2" w:rsidR="00A1461C" w:rsidP="007E5CF2" w:rsidRDefault="00A1461C" w14:paraId="133544BB" w14:textId="1F1CA0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1,3</w:t>
            </w:r>
          </w:p>
        </w:tc>
        <w:tc>
          <w:tcPr>
            <w:tcW w:w="1134" w:type="dxa"/>
            <w:tcBorders>
              <w:top w:val="nil"/>
              <w:left w:val="nil"/>
              <w:bottom w:val="nil"/>
              <w:right w:val="nil"/>
            </w:tcBorders>
            <w:shd w:val="clear" w:color="auto" w:fill="auto"/>
            <w:noWrap/>
            <w:vAlign w:val="bottom"/>
          </w:tcPr>
          <w:p w:rsidRPr="007E5CF2" w:rsidR="00A1461C" w:rsidP="007E5CF2" w:rsidRDefault="00A1461C" w14:paraId="7D9A7161" w14:textId="71AC94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3,0</w:t>
            </w:r>
          </w:p>
        </w:tc>
      </w:tr>
      <w:tr w:rsidRPr="007E5CF2" w:rsidR="002A6F00" w:rsidTr="007E5CF2" w14:paraId="3E71A27B" w14:textId="77777777">
        <w:trPr>
          <w:cantSplit/>
          <w:tblHeader/>
        </w:trPr>
        <w:tc>
          <w:tcPr>
            <w:tcW w:w="5103" w:type="dxa"/>
            <w:tcBorders>
              <w:top w:val="nil"/>
              <w:left w:val="nil"/>
              <w:bottom w:val="nil"/>
              <w:right w:val="nil"/>
            </w:tcBorders>
            <w:shd w:val="clear" w:color="auto" w:fill="auto"/>
            <w:noWrap/>
            <w:hideMark/>
          </w:tcPr>
          <w:p w:rsidRPr="007E5CF2" w:rsidR="002A6F00" w:rsidP="007E5CF2" w:rsidRDefault="00CA2591" w14:paraId="566D96F9" w14:textId="05A33CB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0"/>
                <w:szCs w:val="20"/>
                <w:lang w:eastAsia="sv-SE"/>
              </w:rPr>
            </w:pPr>
            <w:r w:rsidRPr="007E5CF2">
              <w:rPr>
                <w:rFonts w:ascii="Times New Roman" w:hAnsi="Times New Roman" w:eastAsia="Times New Roman" w:cs="Times New Roman"/>
                <w:color w:val="000000"/>
                <w:kern w:val="0"/>
                <w:sz w:val="20"/>
                <w:szCs w:val="20"/>
                <w:lang w:eastAsia="sv-SE"/>
                <w14:numSpacing w14:val="default"/>
              </w:rPr>
              <w:t>Utöka a</w:t>
            </w:r>
            <w:r w:rsidRPr="007E5CF2" w:rsidR="00B73EDB">
              <w:rPr>
                <w:rFonts w:ascii="Times New Roman" w:hAnsi="Times New Roman" w:eastAsia="Times New Roman" w:cs="Times New Roman"/>
                <w:color w:val="000000"/>
                <w:kern w:val="0"/>
                <w:sz w:val="20"/>
                <w:szCs w:val="20"/>
                <w:lang w:eastAsia="sv-SE"/>
                <w14:numSpacing w14:val="default"/>
              </w:rPr>
              <w:t>rbetsmarknadsutbildning</w:t>
            </w:r>
            <w:r w:rsidRPr="007E5CF2">
              <w:rPr>
                <w:rFonts w:ascii="Times New Roman" w:hAnsi="Times New Roman" w:eastAsia="Times New Roman" w:cs="Times New Roman"/>
                <w:color w:val="000000"/>
                <w:kern w:val="0"/>
                <w:sz w:val="20"/>
                <w:szCs w:val="20"/>
                <w:lang w:eastAsia="sv-SE"/>
                <w14:numSpacing w14:val="default"/>
              </w:rPr>
              <w:t xml:space="preserve">arna </w:t>
            </w:r>
          </w:p>
        </w:tc>
        <w:tc>
          <w:tcPr>
            <w:tcW w:w="1134" w:type="dxa"/>
            <w:tcBorders>
              <w:top w:val="nil"/>
              <w:left w:val="nil"/>
              <w:bottom w:val="nil"/>
              <w:right w:val="nil"/>
            </w:tcBorders>
            <w:shd w:val="clear" w:color="auto" w:fill="auto"/>
            <w:noWrap/>
            <w:hideMark/>
          </w:tcPr>
          <w:p w:rsidRPr="007E5CF2" w:rsidR="002A6F00" w:rsidP="007E5CF2" w:rsidRDefault="00955342" w14:paraId="4545AEBD" w14:textId="377E08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2</w:t>
            </w:r>
            <w:r w:rsidRPr="007E5CF2" w:rsidR="002A6F00">
              <w:rPr>
                <w:rFonts w:ascii="Times New Roman" w:hAnsi="Times New Roman" w:eastAsia="Times New Roman" w:cs="Times New Roman"/>
                <w:kern w:val="0"/>
                <w:sz w:val="20"/>
                <w:szCs w:val="20"/>
                <w:lang w:eastAsia="sv-SE"/>
                <w14:numSpacing w14:val="default"/>
              </w:rPr>
              <w:t>,</w:t>
            </w:r>
            <w:r w:rsidRPr="007E5CF2">
              <w:rPr>
                <w:rFonts w:ascii="Times New Roman" w:hAnsi="Times New Roman" w:eastAsia="Times New Roman" w:cs="Times New Roman"/>
                <w:kern w:val="0"/>
                <w:sz w:val="20"/>
                <w:szCs w:val="20"/>
                <w:lang w:eastAsia="sv-SE"/>
                <w14:numSpacing w14:val="default"/>
              </w:rPr>
              <w:t>5</w:t>
            </w:r>
          </w:p>
        </w:tc>
        <w:tc>
          <w:tcPr>
            <w:tcW w:w="1134" w:type="dxa"/>
            <w:tcBorders>
              <w:top w:val="nil"/>
              <w:left w:val="nil"/>
              <w:bottom w:val="nil"/>
              <w:right w:val="nil"/>
            </w:tcBorders>
            <w:shd w:val="clear" w:color="auto" w:fill="auto"/>
            <w:noWrap/>
            <w:hideMark/>
          </w:tcPr>
          <w:p w:rsidRPr="007E5CF2" w:rsidR="002A6F00" w:rsidP="007E5CF2" w:rsidRDefault="002A6F00" w14:paraId="1D4D72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2,0</w:t>
            </w:r>
          </w:p>
        </w:tc>
        <w:tc>
          <w:tcPr>
            <w:tcW w:w="1134" w:type="dxa"/>
            <w:tcBorders>
              <w:top w:val="nil"/>
              <w:left w:val="nil"/>
              <w:bottom w:val="nil"/>
              <w:right w:val="nil"/>
            </w:tcBorders>
            <w:shd w:val="clear" w:color="auto" w:fill="auto"/>
            <w:noWrap/>
            <w:hideMark/>
          </w:tcPr>
          <w:p w:rsidRPr="007E5CF2" w:rsidR="002A6F00" w:rsidP="007E5CF2" w:rsidRDefault="002A6F00" w14:paraId="3F215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3,0</w:t>
            </w:r>
          </w:p>
        </w:tc>
      </w:tr>
      <w:tr w:rsidRPr="007E5CF2" w:rsidR="002A6F00" w:rsidTr="007E5CF2" w14:paraId="19C15F30" w14:textId="77777777">
        <w:trPr>
          <w:cantSplit/>
          <w:tblHeader/>
        </w:trPr>
        <w:tc>
          <w:tcPr>
            <w:tcW w:w="5103" w:type="dxa"/>
            <w:tcBorders>
              <w:top w:val="nil"/>
              <w:left w:val="nil"/>
              <w:bottom w:val="nil"/>
              <w:right w:val="nil"/>
            </w:tcBorders>
            <w:shd w:val="clear" w:color="auto" w:fill="auto"/>
            <w:noWrap/>
            <w:hideMark/>
          </w:tcPr>
          <w:p w:rsidRPr="007E5CF2" w:rsidR="002A6F00" w:rsidP="007E5CF2" w:rsidRDefault="00CA2591" w14:paraId="28730D65" w14:textId="030EF4F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0"/>
                <w:szCs w:val="20"/>
                <w:lang w:eastAsia="sv-SE"/>
              </w:rPr>
            </w:pPr>
            <w:r w:rsidRPr="007E5CF2">
              <w:rPr>
                <w:rFonts w:ascii="Times New Roman" w:hAnsi="Times New Roman" w:eastAsia="Times New Roman" w:cs="Times New Roman"/>
                <w:color w:val="000000"/>
                <w:kern w:val="0"/>
                <w:sz w:val="20"/>
                <w:szCs w:val="20"/>
                <w:lang w:eastAsia="sv-SE"/>
                <w14:numSpacing w14:val="default"/>
              </w:rPr>
              <w:t>Stärk a</w:t>
            </w:r>
            <w:r w:rsidRPr="007E5CF2" w:rsidR="00A1461C">
              <w:rPr>
                <w:rFonts w:ascii="Times New Roman" w:hAnsi="Times New Roman" w:eastAsia="Times New Roman" w:cs="Times New Roman"/>
                <w:color w:val="000000"/>
                <w:kern w:val="0"/>
                <w:sz w:val="20"/>
                <w:szCs w:val="20"/>
                <w:lang w:eastAsia="sv-SE"/>
                <w14:numSpacing w14:val="default"/>
              </w:rPr>
              <w:t>rbetslöshetsförsäkringen</w:t>
            </w:r>
          </w:p>
        </w:tc>
        <w:tc>
          <w:tcPr>
            <w:tcW w:w="1134" w:type="dxa"/>
            <w:tcBorders>
              <w:top w:val="nil"/>
              <w:left w:val="nil"/>
              <w:bottom w:val="nil"/>
              <w:right w:val="nil"/>
            </w:tcBorders>
            <w:shd w:val="clear" w:color="auto" w:fill="auto"/>
            <w:noWrap/>
            <w:hideMark/>
          </w:tcPr>
          <w:p w:rsidRPr="007E5CF2" w:rsidR="002A6F00" w:rsidP="007E5CF2" w:rsidRDefault="002A6F00" w14:paraId="60D5A4D2" w14:textId="0A71F0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sz w:val="20"/>
                <w:szCs w:val="20"/>
              </w:rPr>
              <w:t>3,</w:t>
            </w:r>
            <w:r w:rsidRPr="007E5CF2" w:rsidR="00A1461C">
              <w:rPr>
                <w:sz w:val="20"/>
                <w:szCs w:val="20"/>
              </w:rPr>
              <w:t>2</w:t>
            </w:r>
          </w:p>
        </w:tc>
        <w:tc>
          <w:tcPr>
            <w:tcW w:w="1134" w:type="dxa"/>
            <w:tcBorders>
              <w:top w:val="nil"/>
              <w:left w:val="nil"/>
              <w:bottom w:val="nil"/>
              <w:right w:val="nil"/>
            </w:tcBorders>
            <w:shd w:val="clear" w:color="auto" w:fill="auto"/>
            <w:noWrap/>
            <w:hideMark/>
          </w:tcPr>
          <w:p w:rsidRPr="007E5CF2" w:rsidR="002A6F00" w:rsidP="007E5CF2" w:rsidRDefault="00A1461C" w14:paraId="7F20F0EA" w14:textId="4C5AD9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sz w:val="20"/>
                <w:szCs w:val="20"/>
              </w:rPr>
              <w:t>4,4</w:t>
            </w:r>
          </w:p>
        </w:tc>
        <w:tc>
          <w:tcPr>
            <w:tcW w:w="1134" w:type="dxa"/>
            <w:tcBorders>
              <w:top w:val="nil"/>
              <w:left w:val="nil"/>
              <w:bottom w:val="nil"/>
              <w:right w:val="nil"/>
            </w:tcBorders>
            <w:shd w:val="clear" w:color="auto" w:fill="auto"/>
            <w:noWrap/>
            <w:hideMark/>
          </w:tcPr>
          <w:p w:rsidRPr="007E5CF2" w:rsidR="002A6F00" w:rsidP="007E5CF2" w:rsidRDefault="00A1461C" w14:paraId="2DC73F0A" w14:textId="72BC77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sz w:val="20"/>
                <w:szCs w:val="20"/>
              </w:rPr>
              <w:t>4,8</w:t>
            </w:r>
          </w:p>
        </w:tc>
      </w:tr>
      <w:tr w:rsidRPr="007E5CF2" w:rsidR="002A6F00" w:rsidTr="007E5CF2" w14:paraId="60C568D6" w14:textId="77777777">
        <w:trPr>
          <w:cantSplit/>
          <w:tblHeader/>
        </w:trPr>
        <w:tc>
          <w:tcPr>
            <w:tcW w:w="5103" w:type="dxa"/>
            <w:tcBorders>
              <w:top w:val="nil"/>
              <w:left w:val="nil"/>
              <w:bottom w:val="nil"/>
              <w:right w:val="nil"/>
            </w:tcBorders>
            <w:shd w:val="clear" w:color="auto" w:fill="auto"/>
            <w:noWrap/>
            <w:hideMark/>
          </w:tcPr>
          <w:p w:rsidRPr="007E5CF2" w:rsidR="002A6F00" w:rsidP="007E5CF2" w:rsidRDefault="002A6F00" w14:paraId="2A6D6F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0"/>
                <w:szCs w:val="20"/>
                <w:lang w:eastAsia="sv-SE"/>
              </w:rPr>
            </w:pPr>
            <w:bookmarkStart w:name="RANGE!D11" w:id="91"/>
            <w:bookmarkStart w:name="_Hlk111044198" w:id="92"/>
            <w:bookmarkStart w:name="_Hlk107567008" w:id="93"/>
            <w:r w:rsidRPr="007E5CF2">
              <w:rPr>
                <w:rFonts w:ascii="Times New Roman" w:hAnsi="Times New Roman" w:eastAsia="Calibri" w:cs="Times New Roman"/>
                <w:color w:val="000000"/>
                <w:kern w:val="0"/>
                <w:sz w:val="20"/>
                <w:szCs w:val="20"/>
                <w14:numSpacing w14:val="default"/>
              </w:rPr>
              <w:t>Höj taken i socialförsäkringen</w:t>
            </w:r>
            <w:bookmarkEnd w:id="91"/>
          </w:p>
        </w:tc>
        <w:tc>
          <w:tcPr>
            <w:tcW w:w="1134" w:type="dxa"/>
            <w:tcBorders>
              <w:top w:val="nil"/>
              <w:left w:val="nil"/>
              <w:bottom w:val="nil"/>
              <w:right w:val="nil"/>
            </w:tcBorders>
            <w:shd w:val="clear" w:color="auto" w:fill="auto"/>
            <w:noWrap/>
          </w:tcPr>
          <w:p w:rsidRPr="007E5CF2" w:rsidR="002A6F00" w:rsidP="007E5CF2" w:rsidRDefault="005651AB" w14:paraId="435D807D" w14:textId="492396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sz w:val="20"/>
                <w:szCs w:val="20"/>
                <w:lang w:eastAsia="sv-SE"/>
              </w:rPr>
              <w:t>0,0</w:t>
            </w:r>
          </w:p>
        </w:tc>
        <w:tc>
          <w:tcPr>
            <w:tcW w:w="1134" w:type="dxa"/>
            <w:tcBorders>
              <w:top w:val="nil"/>
              <w:left w:val="nil"/>
              <w:bottom w:val="nil"/>
              <w:right w:val="nil"/>
            </w:tcBorders>
            <w:shd w:val="clear" w:color="auto" w:fill="auto"/>
            <w:noWrap/>
          </w:tcPr>
          <w:p w:rsidRPr="007E5CF2" w:rsidR="002A6F00" w:rsidP="007E5CF2" w:rsidRDefault="002A6F00" w14:paraId="75171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1,2</w:t>
            </w:r>
          </w:p>
        </w:tc>
        <w:tc>
          <w:tcPr>
            <w:tcW w:w="1134" w:type="dxa"/>
            <w:tcBorders>
              <w:top w:val="nil"/>
              <w:left w:val="nil"/>
              <w:bottom w:val="nil"/>
              <w:right w:val="nil"/>
            </w:tcBorders>
            <w:shd w:val="clear" w:color="auto" w:fill="auto"/>
            <w:noWrap/>
          </w:tcPr>
          <w:p w:rsidRPr="007E5CF2" w:rsidR="002A6F00" w:rsidP="007E5CF2" w:rsidRDefault="002A6F00" w14:paraId="11C50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1,3</w:t>
            </w:r>
          </w:p>
        </w:tc>
      </w:tr>
      <w:tr w:rsidRPr="007E5CF2" w:rsidR="002A6F00" w:rsidTr="007E5CF2" w14:paraId="6AE44044" w14:textId="77777777">
        <w:trPr>
          <w:cantSplit/>
          <w:tblHeader/>
        </w:trPr>
        <w:tc>
          <w:tcPr>
            <w:tcW w:w="5103" w:type="dxa"/>
            <w:tcBorders>
              <w:top w:val="nil"/>
              <w:left w:val="nil"/>
              <w:bottom w:val="nil"/>
              <w:right w:val="nil"/>
            </w:tcBorders>
            <w:shd w:val="clear" w:color="auto" w:fill="auto"/>
            <w:noWrap/>
            <w:hideMark/>
          </w:tcPr>
          <w:p w:rsidRPr="007E5CF2" w:rsidR="002A6F00" w:rsidP="007E5CF2" w:rsidRDefault="002A6F00" w14:paraId="1053B1A3" w14:textId="0C83A58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0"/>
                <w:szCs w:val="20"/>
                <w:lang w:eastAsia="sv-SE"/>
              </w:rPr>
            </w:pPr>
            <w:bookmarkStart w:name="RANGE!D12" w:id="94"/>
            <w:r w:rsidRPr="007E5CF2">
              <w:rPr>
                <w:rFonts w:ascii="Times New Roman" w:hAnsi="Times New Roman" w:eastAsia="Times New Roman" w:cs="Times New Roman"/>
                <w:color w:val="000000"/>
                <w:kern w:val="0"/>
                <w:sz w:val="20"/>
                <w:szCs w:val="20"/>
                <w:lang w:eastAsia="sv-SE"/>
                <w14:numSpacing w14:val="default"/>
              </w:rPr>
              <w:t>Höj taket i sjukpenning</w:t>
            </w:r>
            <w:r w:rsidRPr="007E5CF2" w:rsidR="00B458B6">
              <w:rPr>
                <w:rFonts w:ascii="Times New Roman" w:hAnsi="Times New Roman" w:eastAsia="Times New Roman" w:cs="Times New Roman"/>
                <w:color w:val="000000"/>
                <w:kern w:val="0"/>
                <w:sz w:val="20"/>
                <w:szCs w:val="20"/>
                <w:lang w:eastAsia="sv-SE"/>
                <w14:numSpacing w14:val="default"/>
              </w:rPr>
              <w:t>en</w:t>
            </w:r>
            <w:r w:rsidRPr="007E5CF2">
              <w:rPr>
                <w:rFonts w:ascii="Times New Roman" w:hAnsi="Times New Roman" w:eastAsia="Times New Roman" w:cs="Times New Roman"/>
                <w:color w:val="000000"/>
                <w:kern w:val="0"/>
                <w:sz w:val="20"/>
                <w:szCs w:val="20"/>
                <w:lang w:eastAsia="sv-SE"/>
                <w14:numSpacing w14:val="default"/>
              </w:rPr>
              <w:t xml:space="preserve"> för arbetssökande</w:t>
            </w:r>
            <w:bookmarkEnd w:id="94"/>
          </w:p>
        </w:tc>
        <w:tc>
          <w:tcPr>
            <w:tcW w:w="1134" w:type="dxa"/>
            <w:tcBorders>
              <w:top w:val="nil"/>
              <w:left w:val="nil"/>
              <w:bottom w:val="nil"/>
              <w:right w:val="nil"/>
            </w:tcBorders>
            <w:shd w:val="clear" w:color="auto" w:fill="auto"/>
            <w:noWrap/>
          </w:tcPr>
          <w:p w:rsidRPr="007E5CF2" w:rsidR="002A6F00" w:rsidP="007E5CF2" w:rsidRDefault="002A6F00" w14:paraId="75D270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0"/>
                <w:szCs w:val="20"/>
                <w:lang w:eastAsia="sv-SE"/>
              </w:rPr>
            </w:pPr>
            <w:r w:rsidRPr="007E5CF2">
              <w:rPr>
                <w:rFonts w:ascii="Times New Roman" w:hAnsi="Times New Roman" w:eastAsia="Times New Roman" w:cs="Times New Roman"/>
                <w:kern w:val="0"/>
                <w:sz w:val="20"/>
                <w:szCs w:val="20"/>
                <w:lang w:eastAsia="sv-SE"/>
                <w14:numSpacing w14:val="default"/>
              </w:rPr>
              <w:t>0,1</w:t>
            </w:r>
          </w:p>
        </w:tc>
        <w:tc>
          <w:tcPr>
            <w:tcW w:w="1134" w:type="dxa"/>
            <w:tcBorders>
              <w:top w:val="nil"/>
              <w:left w:val="nil"/>
              <w:bottom w:val="nil"/>
              <w:right w:val="nil"/>
            </w:tcBorders>
            <w:shd w:val="clear" w:color="auto" w:fill="auto"/>
            <w:noWrap/>
          </w:tcPr>
          <w:p w:rsidRPr="007E5CF2" w:rsidR="002A6F00" w:rsidP="007E5CF2" w:rsidRDefault="002A6F00" w14:paraId="2525C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0,2</w:t>
            </w:r>
          </w:p>
        </w:tc>
        <w:tc>
          <w:tcPr>
            <w:tcW w:w="1134" w:type="dxa"/>
            <w:tcBorders>
              <w:top w:val="nil"/>
              <w:left w:val="nil"/>
              <w:bottom w:val="nil"/>
              <w:right w:val="nil"/>
            </w:tcBorders>
            <w:shd w:val="clear" w:color="auto" w:fill="auto"/>
            <w:noWrap/>
          </w:tcPr>
          <w:p w:rsidRPr="007E5CF2" w:rsidR="002A6F00" w:rsidP="007E5CF2" w:rsidRDefault="002A6F00" w14:paraId="362B00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0,3</w:t>
            </w:r>
          </w:p>
        </w:tc>
      </w:tr>
      <w:tr w:rsidRPr="007E5CF2" w:rsidR="002A6F00" w:rsidTr="007E5CF2" w14:paraId="3C24AA6F" w14:textId="77777777">
        <w:trPr>
          <w:cantSplit/>
          <w:tblHeader/>
        </w:trPr>
        <w:tc>
          <w:tcPr>
            <w:tcW w:w="5103" w:type="dxa"/>
            <w:tcBorders>
              <w:top w:val="nil"/>
              <w:left w:val="nil"/>
              <w:bottom w:val="nil"/>
              <w:right w:val="nil"/>
            </w:tcBorders>
            <w:shd w:val="clear" w:color="auto" w:fill="auto"/>
            <w:noWrap/>
            <w:hideMark/>
          </w:tcPr>
          <w:p w:rsidRPr="007E5CF2" w:rsidR="002A6F00" w:rsidP="007E5CF2" w:rsidRDefault="002A6F00" w14:paraId="51826DFC" w14:textId="51BF027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0"/>
                <w:szCs w:val="20"/>
                <w:lang w:eastAsia="sv-SE"/>
              </w:rPr>
            </w:pPr>
            <w:bookmarkStart w:name="RANGE!D13" w:id="95"/>
            <w:r w:rsidRPr="007E5CF2">
              <w:rPr>
                <w:rFonts w:ascii="Times New Roman" w:hAnsi="Times New Roman" w:eastAsia="Calibri" w:cs="Times New Roman"/>
                <w:color w:val="000000"/>
                <w:kern w:val="0"/>
                <w:sz w:val="20"/>
                <w:szCs w:val="20"/>
                <w14:numSpacing w14:val="default"/>
              </w:rPr>
              <w:t>Avskaffa sjukpenning</w:t>
            </w:r>
            <w:r w:rsidRPr="007E5CF2" w:rsidR="00B458B6">
              <w:rPr>
                <w:rFonts w:ascii="Times New Roman" w:hAnsi="Times New Roman" w:eastAsia="Calibri" w:cs="Times New Roman"/>
                <w:color w:val="000000"/>
                <w:kern w:val="0"/>
                <w:sz w:val="20"/>
                <w:szCs w:val="20"/>
                <w14:numSpacing w14:val="default"/>
              </w:rPr>
              <w:t>en</w:t>
            </w:r>
            <w:r w:rsidRPr="007E5CF2">
              <w:rPr>
                <w:rFonts w:ascii="Times New Roman" w:hAnsi="Times New Roman" w:eastAsia="Calibri" w:cs="Times New Roman"/>
                <w:color w:val="000000"/>
                <w:kern w:val="0"/>
                <w:sz w:val="20"/>
                <w:szCs w:val="20"/>
                <w14:numSpacing w14:val="default"/>
              </w:rPr>
              <w:t xml:space="preserve"> på fortsättningsnivå</w:t>
            </w:r>
            <w:bookmarkEnd w:id="95"/>
          </w:p>
        </w:tc>
        <w:tc>
          <w:tcPr>
            <w:tcW w:w="1134" w:type="dxa"/>
            <w:tcBorders>
              <w:top w:val="nil"/>
              <w:left w:val="nil"/>
              <w:bottom w:val="nil"/>
              <w:right w:val="nil"/>
            </w:tcBorders>
            <w:shd w:val="clear" w:color="auto" w:fill="auto"/>
            <w:noWrap/>
          </w:tcPr>
          <w:p w:rsidRPr="007E5CF2" w:rsidR="002A6F00" w:rsidP="007E5CF2" w:rsidRDefault="002A6F00" w14:paraId="13C22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0"/>
                <w:szCs w:val="20"/>
                <w:lang w:eastAsia="sv-SE"/>
              </w:rPr>
            </w:pPr>
            <w:r w:rsidRPr="007E5CF2">
              <w:rPr>
                <w:rFonts w:ascii="Times New Roman" w:hAnsi="Times New Roman" w:eastAsia="Times New Roman" w:cs="Times New Roman"/>
                <w:kern w:val="0"/>
                <w:sz w:val="20"/>
                <w:szCs w:val="20"/>
                <w:lang w:eastAsia="sv-SE"/>
                <w14:numSpacing w14:val="default"/>
              </w:rPr>
              <w:t>0,6</w:t>
            </w:r>
          </w:p>
        </w:tc>
        <w:tc>
          <w:tcPr>
            <w:tcW w:w="1134" w:type="dxa"/>
            <w:tcBorders>
              <w:top w:val="nil"/>
              <w:left w:val="nil"/>
              <w:bottom w:val="nil"/>
              <w:right w:val="nil"/>
            </w:tcBorders>
            <w:shd w:val="clear" w:color="auto" w:fill="auto"/>
            <w:noWrap/>
          </w:tcPr>
          <w:p w:rsidRPr="007E5CF2" w:rsidR="002A6F00" w:rsidP="007E5CF2" w:rsidRDefault="002A6F00" w14:paraId="1AF85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0,7</w:t>
            </w:r>
          </w:p>
        </w:tc>
        <w:tc>
          <w:tcPr>
            <w:tcW w:w="1134" w:type="dxa"/>
            <w:tcBorders>
              <w:top w:val="nil"/>
              <w:left w:val="nil"/>
              <w:bottom w:val="nil"/>
              <w:right w:val="nil"/>
            </w:tcBorders>
            <w:shd w:val="clear" w:color="auto" w:fill="auto"/>
            <w:noWrap/>
          </w:tcPr>
          <w:p w:rsidRPr="007E5CF2" w:rsidR="002A6F00" w:rsidP="007E5CF2" w:rsidRDefault="002A6F00" w14:paraId="44867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0,7</w:t>
            </w:r>
          </w:p>
        </w:tc>
      </w:tr>
      <w:tr w:rsidRPr="007E5CF2" w:rsidR="002A6F00" w:rsidTr="007E5CF2" w14:paraId="50E3664E" w14:textId="77777777">
        <w:trPr>
          <w:cantSplit/>
          <w:tblHeader/>
        </w:trPr>
        <w:tc>
          <w:tcPr>
            <w:tcW w:w="5103" w:type="dxa"/>
            <w:tcBorders>
              <w:top w:val="nil"/>
              <w:left w:val="nil"/>
              <w:bottom w:val="nil"/>
              <w:right w:val="nil"/>
            </w:tcBorders>
            <w:shd w:val="clear" w:color="auto" w:fill="auto"/>
            <w:noWrap/>
            <w:hideMark/>
          </w:tcPr>
          <w:p w:rsidRPr="007E5CF2" w:rsidR="002A6F00" w:rsidP="007E5CF2" w:rsidRDefault="002A6F00" w14:paraId="65AB4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0"/>
                <w:szCs w:val="20"/>
                <w:lang w:eastAsia="sv-SE"/>
              </w:rPr>
            </w:pPr>
            <w:bookmarkStart w:name="RANGE!D14" w:id="96"/>
            <w:r w:rsidRPr="007E5CF2">
              <w:rPr>
                <w:rFonts w:ascii="Times New Roman" w:hAnsi="Times New Roman" w:eastAsia="Calibri" w:cs="Times New Roman"/>
                <w:color w:val="000000"/>
                <w:kern w:val="0"/>
                <w:sz w:val="20"/>
                <w:szCs w:val="20"/>
                <w14:numSpacing w14:val="default"/>
              </w:rPr>
              <w:t>Höj ersättningsnivån i sjuk- och aktivitetsersättningen</w:t>
            </w:r>
            <w:bookmarkEnd w:id="96"/>
          </w:p>
        </w:tc>
        <w:tc>
          <w:tcPr>
            <w:tcW w:w="1134" w:type="dxa"/>
            <w:tcBorders>
              <w:top w:val="nil"/>
              <w:left w:val="nil"/>
              <w:bottom w:val="nil"/>
              <w:right w:val="nil"/>
            </w:tcBorders>
            <w:shd w:val="clear" w:color="auto" w:fill="auto"/>
            <w:noWrap/>
          </w:tcPr>
          <w:p w:rsidRPr="007E5CF2" w:rsidR="002A6F00" w:rsidP="007E5CF2" w:rsidRDefault="002A6F00" w14:paraId="771A9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2,2</w:t>
            </w:r>
          </w:p>
        </w:tc>
        <w:tc>
          <w:tcPr>
            <w:tcW w:w="1134" w:type="dxa"/>
            <w:tcBorders>
              <w:top w:val="nil"/>
              <w:left w:val="nil"/>
              <w:bottom w:val="nil"/>
              <w:right w:val="nil"/>
            </w:tcBorders>
            <w:shd w:val="clear" w:color="auto" w:fill="auto"/>
            <w:noWrap/>
          </w:tcPr>
          <w:p w:rsidRPr="007E5CF2" w:rsidR="002A6F00" w:rsidP="007E5CF2" w:rsidRDefault="002A6F00" w14:paraId="511EE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2,4</w:t>
            </w:r>
          </w:p>
        </w:tc>
        <w:tc>
          <w:tcPr>
            <w:tcW w:w="1134" w:type="dxa"/>
            <w:tcBorders>
              <w:top w:val="nil"/>
              <w:left w:val="nil"/>
              <w:bottom w:val="nil"/>
              <w:right w:val="nil"/>
            </w:tcBorders>
            <w:shd w:val="clear" w:color="auto" w:fill="auto"/>
            <w:noWrap/>
          </w:tcPr>
          <w:p w:rsidRPr="007E5CF2" w:rsidR="002A6F00" w:rsidP="007E5CF2" w:rsidRDefault="002A6F00" w14:paraId="2AA15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2,4</w:t>
            </w:r>
          </w:p>
        </w:tc>
      </w:tr>
      <w:bookmarkEnd w:id="92"/>
      <w:tr w:rsidRPr="007E5CF2" w:rsidR="002A6F00" w:rsidTr="007E5CF2" w14:paraId="7D27F0E7" w14:textId="77777777">
        <w:trPr>
          <w:cantSplit/>
          <w:tblHeader/>
        </w:trPr>
        <w:tc>
          <w:tcPr>
            <w:tcW w:w="5103" w:type="dxa"/>
            <w:tcBorders>
              <w:top w:val="nil"/>
              <w:left w:val="nil"/>
              <w:bottom w:val="nil"/>
              <w:right w:val="nil"/>
            </w:tcBorders>
            <w:shd w:val="clear" w:color="auto" w:fill="auto"/>
            <w:noWrap/>
          </w:tcPr>
          <w:p w:rsidRPr="007E5CF2" w:rsidR="002A6F00" w:rsidP="007E5CF2" w:rsidRDefault="002A6F00" w14:paraId="3ED8A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Calibri" w:cs="Times New Roman"/>
                <w:color w:val="000000" w:themeColor="text1"/>
                <w:sz w:val="20"/>
                <w:szCs w:val="20"/>
              </w:rPr>
            </w:pPr>
            <w:r w:rsidRPr="007E5CF2">
              <w:rPr>
                <w:rFonts w:ascii="Times New Roman" w:hAnsi="Times New Roman" w:eastAsia="Times New Roman" w:cs="Times New Roman"/>
                <w:color w:val="000000"/>
                <w:kern w:val="0"/>
                <w:sz w:val="20"/>
                <w:szCs w:val="20"/>
                <w:lang w:eastAsia="sv-SE"/>
                <w14:numSpacing w14:val="default"/>
              </w:rPr>
              <w:t>Slopa karensavdraget</w:t>
            </w:r>
          </w:p>
        </w:tc>
        <w:tc>
          <w:tcPr>
            <w:tcW w:w="1134" w:type="dxa"/>
            <w:tcBorders>
              <w:top w:val="nil"/>
              <w:left w:val="nil"/>
              <w:bottom w:val="nil"/>
              <w:right w:val="nil"/>
            </w:tcBorders>
            <w:shd w:val="clear" w:color="auto" w:fill="auto"/>
            <w:noWrap/>
          </w:tcPr>
          <w:p w:rsidRPr="007E5CF2" w:rsidR="002A6F00" w:rsidP="007E5CF2" w:rsidRDefault="00A1461C" w14:paraId="179D5926" w14:textId="3D722C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0,6</w:t>
            </w:r>
          </w:p>
        </w:tc>
        <w:tc>
          <w:tcPr>
            <w:tcW w:w="1134" w:type="dxa"/>
            <w:tcBorders>
              <w:top w:val="nil"/>
              <w:left w:val="nil"/>
              <w:bottom w:val="nil"/>
              <w:right w:val="nil"/>
            </w:tcBorders>
            <w:shd w:val="clear" w:color="auto" w:fill="auto"/>
            <w:noWrap/>
          </w:tcPr>
          <w:p w:rsidRPr="007E5CF2" w:rsidR="002A6F00" w:rsidP="007E5CF2" w:rsidRDefault="00A1461C" w14:paraId="0A71D2A3" w14:textId="20211F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0,6</w:t>
            </w:r>
          </w:p>
        </w:tc>
        <w:tc>
          <w:tcPr>
            <w:tcW w:w="1134" w:type="dxa"/>
            <w:tcBorders>
              <w:top w:val="nil"/>
              <w:left w:val="nil"/>
              <w:bottom w:val="nil"/>
              <w:right w:val="nil"/>
            </w:tcBorders>
            <w:shd w:val="clear" w:color="auto" w:fill="auto"/>
            <w:noWrap/>
          </w:tcPr>
          <w:p w:rsidRPr="007E5CF2" w:rsidR="002A6F00" w:rsidP="007E5CF2" w:rsidRDefault="00A1461C" w14:paraId="4BAA63CC" w14:textId="7847C6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0,6</w:t>
            </w:r>
          </w:p>
        </w:tc>
      </w:tr>
      <w:tr w:rsidRPr="007E5CF2" w:rsidR="002A6F00" w:rsidTr="007E5CF2" w14:paraId="483316D0" w14:textId="77777777">
        <w:trPr>
          <w:cantSplit/>
          <w:tblHeader/>
        </w:trPr>
        <w:tc>
          <w:tcPr>
            <w:tcW w:w="5103" w:type="dxa"/>
            <w:tcBorders>
              <w:top w:val="nil"/>
              <w:left w:val="nil"/>
              <w:bottom w:val="nil"/>
              <w:right w:val="nil"/>
            </w:tcBorders>
            <w:shd w:val="clear" w:color="auto" w:fill="auto"/>
            <w:noWrap/>
            <w:hideMark/>
          </w:tcPr>
          <w:p w:rsidRPr="007E5CF2" w:rsidR="002A6F00" w:rsidP="007E5CF2" w:rsidRDefault="002A6F00" w14:paraId="0051C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0"/>
                <w:szCs w:val="20"/>
                <w:lang w:eastAsia="sv-SE"/>
              </w:rPr>
            </w:pPr>
            <w:r w:rsidRPr="007E5CF2">
              <w:rPr>
                <w:rFonts w:ascii="Times New Roman" w:hAnsi="Times New Roman" w:eastAsia="Times New Roman" w:cs="Times New Roman"/>
                <w:color w:val="000000"/>
                <w:kern w:val="0"/>
                <w:sz w:val="20"/>
                <w:szCs w:val="20"/>
                <w:lang w:eastAsia="sv-SE"/>
                <w14:numSpacing w14:val="default"/>
              </w:rPr>
              <w:t>Höj inkomstpensionerna</w:t>
            </w:r>
          </w:p>
        </w:tc>
        <w:tc>
          <w:tcPr>
            <w:tcW w:w="1134" w:type="dxa"/>
            <w:tcBorders>
              <w:top w:val="nil"/>
              <w:left w:val="nil"/>
              <w:bottom w:val="nil"/>
              <w:right w:val="nil"/>
            </w:tcBorders>
            <w:shd w:val="clear" w:color="auto" w:fill="auto"/>
            <w:noWrap/>
          </w:tcPr>
          <w:p w:rsidRPr="007E5CF2" w:rsidR="002A6F00" w:rsidP="007E5CF2" w:rsidRDefault="007E5CF2" w14:paraId="5C353A41" w14:textId="2C7260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w:t>
            </w:r>
            <w:r w:rsidRPr="007E5CF2" w:rsidR="002A6F00">
              <w:rPr>
                <w:rFonts w:ascii="Times New Roman" w:hAnsi="Times New Roman" w:eastAsia="Times New Roman" w:cs="Times New Roman"/>
                <w:kern w:val="0"/>
                <w:sz w:val="20"/>
                <w:szCs w:val="20"/>
                <w:lang w:eastAsia="sv-SE"/>
                <w14:numSpacing w14:val="default"/>
              </w:rPr>
              <w:t>3,0</w:t>
            </w:r>
          </w:p>
        </w:tc>
        <w:tc>
          <w:tcPr>
            <w:tcW w:w="1134" w:type="dxa"/>
            <w:tcBorders>
              <w:top w:val="nil"/>
              <w:left w:val="nil"/>
              <w:bottom w:val="nil"/>
              <w:right w:val="nil"/>
            </w:tcBorders>
            <w:shd w:val="clear" w:color="auto" w:fill="auto"/>
            <w:noWrap/>
          </w:tcPr>
          <w:p w:rsidRPr="007E5CF2" w:rsidR="002A6F00" w:rsidP="007E5CF2" w:rsidRDefault="002A6F00" w14:paraId="0108AB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8,5</w:t>
            </w:r>
          </w:p>
        </w:tc>
        <w:tc>
          <w:tcPr>
            <w:tcW w:w="1134" w:type="dxa"/>
            <w:tcBorders>
              <w:top w:val="nil"/>
              <w:left w:val="nil"/>
              <w:bottom w:val="nil"/>
              <w:right w:val="nil"/>
            </w:tcBorders>
            <w:shd w:val="clear" w:color="auto" w:fill="auto"/>
            <w:noWrap/>
          </w:tcPr>
          <w:p w:rsidRPr="007E5CF2" w:rsidR="002A6F00" w:rsidP="007E5CF2" w:rsidRDefault="002A6F00" w14:paraId="44A743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17,1</w:t>
            </w:r>
          </w:p>
        </w:tc>
      </w:tr>
      <w:tr w:rsidRPr="007E5CF2" w:rsidR="002A6F00" w:rsidTr="007E5CF2" w14:paraId="2ACC5460" w14:textId="77777777">
        <w:trPr>
          <w:cantSplit/>
          <w:tblHeader/>
        </w:trPr>
        <w:tc>
          <w:tcPr>
            <w:tcW w:w="5103" w:type="dxa"/>
            <w:tcBorders>
              <w:top w:val="nil"/>
              <w:left w:val="nil"/>
              <w:bottom w:val="nil"/>
              <w:right w:val="nil"/>
            </w:tcBorders>
            <w:shd w:val="clear" w:color="auto" w:fill="auto"/>
            <w:noWrap/>
            <w:hideMark/>
          </w:tcPr>
          <w:p w:rsidRPr="007E5CF2" w:rsidR="002A6F00" w:rsidP="007E5CF2" w:rsidRDefault="002A6F00" w14:paraId="6AFEF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0"/>
                <w:szCs w:val="20"/>
                <w:lang w:eastAsia="sv-SE"/>
              </w:rPr>
            </w:pPr>
            <w:r w:rsidRPr="007E5CF2">
              <w:rPr>
                <w:rFonts w:ascii="Times New Roman" w:hAnsi="Times New Roman" w:eastAsia="Times New Roman" w:cs="Times New Roman"/>
                <w:color w:val="000000"/>
                <w:kern w:val="0"/>
                <w:sz w:val="20"/>
                <w:szCs w:val="20"/>
                <w:lang w:eastAsia="sv-SE"/>
                <w14:numSpacing w14:val="default"/>
              </w:rPr>
              <w:t>Beräkna pensionsavgift och pensionsrätt utifrån bakomliggande inkomst</w:t>
            </w:r>
          </w:p>
        </w:tc>
        <w:tc>
          <w:tcPr>
            <w:tcW w:w="1134" w:type="dxa"/>
            <w:tcBorders>
              <w:top w:val="nil"/>
              <w:left w:val="nil"/>
              <w:bottom w:val="nil"/>
              <w:right w:val="nil"/>
            </w:tcBorders>
            <w:shd w:val="clear" w:color="auto" w:fill="auto"/>
            <w:noWrap/>
            <w:vAlign w:val="bottom"/>
          </w:tcPr>
          <w:p w:rsidRPr="007E5CF2" w:rsidR="002A6F00" w:rsidP="007E5CF2" w:rsidRDefault="002A6F00" w14:paraId="5329E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0,6</w:t>
            </w:r>
          </w:p>
        </w:tc>
        <w:tc>
          <w:tcPr>
            <w:tcW w:w="1134" w:type="dxa"/>
            <w:tcBorders>
              <w:top w:val="nil"/>
              <w:left w:val="nil"/>
              <w:bottom w:val="nil"/>
              <w:right w:val="nil"/>
            </w:tcBorders>
            <w:shd w:val="clear" w:color="auto" w:fill="auto"/>
            <w:noWrap/>
            <w:vAlign w:val="bottom"/>
          </w:tcPr>
          <w:p w:rsidRPr="007E5CF2" w:rsidR="002A6F00" w:rsidP="007E5CF2" w:rsidRDefault="002A6F00" w14:paraId="091C3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0,6</w:t>
            </w:r>
          </w:p>
        </w:tc>
        <w:tc>
          <w:tcPr>
            <w:tcW w:w="1134" w:type="dxa"/>
            <w:tcBorders>
              <w:top w:val="nil"/>
              <w:left w:val="nil"/>
              <w:bottom w:val="nil"/>
              <w:right w:val="nil"/>
            </w:tcBorders>
            <w:shd w:val="clear" w:color="auto" w:fill="auto"/>
            <w:noWrap/>
            <w:vAlign w:val="bottom"/>
          </w:tcPr>
          <w:p w:rsidRPr="007E5CF2" w:rsidR="002A6F00" w:rsidP="007E5CF2" w:rsidRDefault="002A6F00" w14:paraId="1A4EB1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7E5CF2">
              <w:rPr>
                <w:rFonts w:ascii="Times New Roman" w:hAnsi="Times New Roman" w:eastAsia="Times New Roman" w:cs="Times New Roman"/>
                <w:kern w:val="0"/>
                <w:sz w:val="20"/>
                <w:szCs w:val="20"/>
                <w:lang w:eastAsia="sv-SE"/>
                <w14:numSpacing w14:val="default"/>
              </w:rPr>
              <w:t>0,6</w:t>
            </w:r>
          </w:p>
        </w:tc>
      </w:tr>
      <w:tr w:rsidRPr="007E5CF2" w:rsidR="00A1461C" w:rsidTr="007E5CF2" w14:paraId="57FB3AC7" w14:textId="77777777">
        <w:trPr>
          <w:cantSplit/>
          <w:tblHeader/>
        </w:trPr>
        <w:tc>
          <w:tcPr>
            <w:tcW w:w="5103" w:type="dxa"/>
            <w:tcBorders>
              <w:top w:val="nil"/>
              <w:left w:val="nil"/>
              <w:bottom w:val="nil"/>
              <w:right w:val="nil"/>
            </w:tcBorders>
            <w:shd w:val="clear" w:color="auto" w:fill="auto"/>
            <w:noWrap/>
          </w:tcPr>
          <w:p w:rsidRPr="007E5CF2" w:rsidR="00A1461C" w:rsidP="007E5CF2" w:rsidRDefault="00A1461C" w14:paraId="4A6D4D98" w14:textId="645815F2">
            <w:pPr>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E5CF2">
              <w:rPr>
                <w:rFonts w:ascii="Times New Roman" w:hAnsi="Times New Roman" w:eastAsia="Times New Roman" w:cs="Times New Roman"/>
                <w:color w:val="000000"/>
                <w:kern w:val="0"/>
                <w:sz w:val="20"/>
                <w:szCs w:val="20"/>
                <w:lang w:eastAsia="sv-SE"/>
                <w14:numSpacing w14:val="default"/>
              </w:rPr>
              <w:t>Inför ett tillfälligt ensamståendetillägg i barnbidraget</w:t>
            </w:r>
          </w:p>
        </w:tc>
        <w:tc>
          <w:tcPr>
            <w:tcW w:w="1134" w:type="dxa"/>
            <w:tcBorders>
              <w:top w:val="nil"/>
              <w:left w:val="nil"/>
              <w:bottom w:val="nil"/>
              <w:right w:val="nil"/>
            </w:tcBorders>
            <w:shd w:val="clear" w:color="auto" w:fill="auto"/>
            <w:noWrap/>
          </w:tcPr>
          <w:p w:rsidRPr="007E5CF2" w:rsidR="00A1461C" w:rsidP="007E5CF2" w:rsidRDefault="00A1461C" w14:paraId="5E46A1C6" w14:textId="790E00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2,</w:t>
            </w:r>
            <w:r w:rsidRPr="007E5CF2" w:rsidR="000C04BA">
              <w:rPr>
                <w:rFonts w:ascii="Times New Roman" w:hAnsi="Times New Roman" w:eastAsia="Times New Roman" w:cs="Times New Roman"/>
                <w:kern w:val="0"/>
                <w:sz w:val="20"/>
                <w:szCs w:val="20"/>
                <w:lang w:eastAsia="sv-SE"/>
                <w14:numSpacing w14:val="default"/>
              </w:rPr>
              <w:t>1</w:t>
            </w:r>
          </w:p>
        </w:tc>
        <w:tc>
          <w:tcPr>
            <w:tcW w:w="1134" w:type="dxa"/>
            <w:tcBorders>
              <w:top w:val="nil"/>
              <w:left w:val="nil"/>
              <w:bottom w:val="nil"/>
              <w:right w:val="nil"/>
            </w:tcBorders>
            <w:shd w:val="clear" w:color="auto" w:fill="auto"/>
            <w:noWrap/>
          </w:tcPr>
          <w:p w:rsidRPr="007E5CF2" w:rsidR="00A1461C" w:rsidP="007E5CF2" w:rsidRDefault="005651AB" w14:paraId="56B915CD" w14:textId="7B3D9E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0,0</w:t>
            </w:r>
          </w:p>
        </w:tc>
        <w:tc>
          <w:tcPr>
            <w:tcW w:w="1134" w:type="dxa"/>
            <w:tcBorders>
              <w:top w:val="nil"/>
              <w:left w:val="nil"/>
              <w:bottom w:val="nil"/>
              <w:right w:val="nil"/>
            </w:tcBorders>
            <w:shd w:val="clear" w:color="auto" w:fill="auto"/>
            <w:noWrap/>
          </w:tcPr>
          <w:p w:rsidRPr="007E5CF2" w:rsidR="00A1461C" w:rsidP="007E5CF2" w:rsidRDefault="005651AB" w14:paraId="15863064" w14:textId="65090F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0,0</w:t>
            </w:r>
          </w:p>
        </w:tc>
      </w:tr>
      <w:tr w:rsidRPr="007E5CF2" w:rsidR="00A1461C" w:rsidTr="007E5CF2" w14:paraId="06B2D477" w14:textId="77777777">
        <w:trPr>
          <w:cantSplit/>
          <w:tblHeader/>
        </w:trPr>
        <w:tc>
          <w:tcPr>
            <w:tcW w:w="5103" w:type="dxa"/>
            <w:tcBorders>
              <w:top w:val="nil"/>
              <w:left w:val="nil"/>
              <w:bottom w:val="nil"/>
              <w:right w:val="nil"/>
            </w:tcBorders>
            <w:shd w:val="clear" w:color="auto" w:fill="auto"/>
            <w:noWrap/>
          </w:tcPr>
          <w:p w:rsidRPr="007E5CF2" w:rsidR="00A1461C" w:rsidP="007E5CF2" w:rsidRDefault="00A1461C" w14:paraId="7805C508" w14:textId="5A194702">
            <w:pPr>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E5CF2">
              <w:rPr>
                <w:rFonts w:ascii="Times New Roman" w:hAnsi="Times New Roman" w:eastAsia="Times New Roman" w:cs="Times New Roman"/>
                <w:color w:val="000000"/>
                <w:kern w:val="0"/>
                <w:sz w:val="20"/>
                <w:szCs w:val="20"/>
                <w:lang w:eastAsia="sv-SE"/>
                <w14:numSpacing w14:val="default"/>
              </w:rPr>
              <w:t>Höj grundnivån i föräldraförsäkringen</w:t>
            </w:r>
          </w:p>
        </w:tc>
        <w:tc>
          <w:tcPr>
            <w:tcW w:w="1134" w:type="dxa"/>
            <w:tcBorders>
              <w:top w:val="nil"/>
              <w:left w:val="nil"/>
              <w:bottom w:val="nil"/>
              <w:right w:val="nil"/>
            </w:tcBorders>
            <w:shd w:val="clear" w:color="auto" w:fill="auto"/>
            <w:noWrap/>
          </w:tcPr>
          <w:p w:rsidRPr="007E5CF2" w:rsidR="00A1461C" w:rsidP="007E5CF2" w:rsidRDefault="00A1461C" w14:paraId="1064BAF9" w14:textId="41A4DD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0,4</w:t>
            </w:r>
          </w:p>
        </w:tc>
        <w:tc>
          <w:tcPr>
            <w:tcW w:w="1134" w:type="dxa"/>
            <w:tcBorders>
              <w:top w:val="nil"/>
              <w:left w:val="nil"/>
              <w:bottom w:val="nil"/>
              <w:right w:val="nil"/>
            </w:tcBorders>
            <w:shd w:val="clear" w:color="auto" w:fill="auto"/>
            <w:noWrap/>
          </w:tcPr>
          <w:p w:rsidRPr="007E5CF2" w:rsidR="00A1461C" w:rsidP="007E5CF2" w:rsidRDefault="00A1461C" w14:paraId="0365933D" w14:textId="3A4BC9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0,4</w:t>
            </w:r>
          </w:p>
        </w:tc>
        <w:tc>
          <w:tcPr>
            <w:tcW w:w="1134" w:type="dxa"/>
            <w:tcBorders>
              <w:top w:val="nil"/>
              <w:left w:val="nil"/>
              <w:bottom w:val="nil"/>
              <w:right w:val="nil"/>
            </w:tcBorders>
            <w:shd w:val="clear" w:color="auto" w:fill="auto"/>
            <w:noWrap/>
          </w:tcPr>
          <w:p w:rsidRPr="007E5CF2" w:rsidR="00A1461C" w:rsidP="007E5CF2" w:rsidRDefault="00A1461C" w14:paraId="6ACE4826" w14:textId="322735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0,4</w:t>
            </w:r>
          </w:p>
        </w:tc>
      </w:tr>
      <w:tr w:rsidRPr="007E5CF2" w:rsidR="00857104" w:rsidTr="007E5CF2" w14:paraId="74B63DB0" w14:textId="77777777">
        <w:trPr>
          <w:cantSplit/>
          <w:tblHeader/>
        </w:trPr>
        <w:tc>
          <w:tcPr>
            <w:tcW w:w="5103" w:type="dxa"/>
            <w:tcBorders>
              <w:top w:val="nil"/>
              <w:left w:val="nil"/>
              <w:bottom w:val="nil"/>
              <w:right w:val="nil"/>
            </w:tcBorders>
            <w:shd w:val="clear" w:color="auto" w:fill="auto"/>
            <w:noWrap/>
          </w:tcPr>
          <w:p w:rsidRPr="007E5CF2" w:rsidR="00857104" w:rsidP="007E5CF2" w:rsidRDefault="00857104" w14:paraId="1D1D5F8B" w14:textId="2B3C77A5">
            <w:pPr>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E5CF2">
              <w:rPr>
                <w:rFonts w:ascii="Times New Roman" w:hAnsi="Times New Roman" w:eastAsia="Times New Roman" w:cs="Times New Roman"/>
                <w:color w:val="000000"/>
                <w:kern w:val="0"/>
                <w:sz w:val="20"/>
                <w:szCs w:val="20"/>
                <w:lang w:eastAsia="sv-SE"/>
                <w14:numSpacing w14:val="default"/>
              </w:rPr>
              <w:t>Höj försörjningsstöd</w:t>
            </w:r>
          </w:p>
        </w:tc>
        <w:tc>
          <w:tcPr>
            <w:tcW w:w="1134" w:type="dxa"/>
            <w:tcBorders>
              <w:top w:val="nil"/>
              <w:left w:val="nil"/>
              <w:bottom w:val="nil"/>
              <w:right w:val="nil"/>
            </w:tcBorders>
            <w:shd w:val="clear" w:color="auto" w:fill="auto"/>
            <w:noWrap/>
          </w:tcPr>
          <w:p w:rsidRPr="007E5CF2" w:rsidR="00857104" w:rsidP="007E5CF2" w:rsidRDefault="00857104" w14:paraId="0AE70641" w14:textId="61086D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1,9</w:t>
            </w:r>
          </w:p>
        </w:tc>
        <w:tc>
          <w:tcPr>
            <w:tcW w:w="1134" w:type="dxa"/>
            <w:tcBorders>
              <w:top w:val="nil"/>
              <w:left w:val="nil"/>
              <w:bottom w:val="nil"/>
              <w:right w:val="nil"/>
            </w:tcBorders>
            <w:shd w:val="clear" w:color="auto" w:fill="auto"/>
            <w:noWrap/>
          </w:tcPr>
          <w:p w:rsidRPr="007E5CF2" w:rsidR="00857104" w:rsidP="007E5CF2" w:rsidRDefault="00857104" w14:paraId="5BE7AC46" w14:textId="385B89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2,0</w:t>
            </w:r>
          </w:p>
        </w:tc>
        <w:tc>
          <w:tcPr>
            <w:tcW w:w="1134" w:type="dxa"/>
            <w:tcBorders>
              <w:top w:val="nil"/>
              <w:left w:val="nil"/>
              <w:bottom w:val="nil"/>
              <w:right w:val="nil"/>
            </w:tcBorders>
            <w:shd w:val="clear" w:color="auto" w:fill="auto"/>
            <w:noWrap/>
          </w:tcPr>
          <w:p w:rsidRPr="007E5CF2" w:rsidR="00857104" w:rsidP="007E5CF2" w:rsidRDefault="00857104" w14:paraId="61C8F044" w14:textId="2BF37E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E5CF2">
              <w:rPr>
                <w:rFonts w:ascii="Times New Roman" w:hAnsi="Times New Roman" w:eastAsia="Times New Roman" w:cs="Times New Roman"/>
                <w:kern w:val="0"/>
                <w:sz w:val="20"/>
                <w:szCs w:val="20"/>
                <w:lang w:eastAsia="sv-SE"/>
                <w14:numSpacing w14:val="default"/>
              </w:rPr>
              <w:t>2,0</w:t>
            </w:r>
          </w:p>
        </w:tc>
      </w:tr>
      <w:bookmarkEnd w:id="93"/>
      <w:tr w:rsidRPr="007E5CF2" w:rsidR="002A6F00" w:rsidTr="007E5CF2" w14:paraId="14545FCD" w14:textId="77777777">
        <w:trPr>
          <w:cantSplit/>
          <w:tblHeader/>
        </w:trPr>
        <w:tc>
          <w:tcPr>
            <w:tcW w:w="5103" w:type="dxa"/>
            <w:tcBorders>
              <w:top w:val="nil"/>
              <w:left w:val="nil"/>
              <w:bottom w:val="single" w:color="auto" w:sz="4" w:space="0"/>
              <w:right w:val="nil"/>
            </w:tcBorders>
            <w:shd w:val="clear" w:color="auto" w:fill="auto"/>
            <w:noWrap/>
          </w:tcPr>
          <w:p w:rsidRPr="007E5CF2" w:rsidR="002A6F00" w:rsidP="007E5CF2" w:rsidRDefault="002A6F00" w14:paraId="476711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themeColor="text1"/>
                <w:sz w:val="20"/>
                <w:szCs w:val="20"/>
                <w:lang w:eastAsia="sv-SE"/>
              </w:rPr>
            </w:pPr>
            <w:r w:rsidRPr="007E5CF2">
              <w:rPr>
                <w:rFonts w:ascii="Times New Roman" w:hAnsi="Times New Roman" w:eastAsia="Times New Roman" w:cs="Times New Roman"/>
                <w:b/>
                <w:bCs/>
                <w:color w:val="000000"/>
                <w:kern w:val="0"/>
                <w:sz w:val="20"/>
                <w:szCs w:val="20"/>
                <w:lang w:eastAsia="sv-SE"/>
                <w14:numSpacing w14:val="default"/>
              </w:rPr>
              <w:t>Totalt</w:t>
            </w:r>
          </w:p>
        </w:tc>
        <w:tc>
          <w:tcPr>
            <w:tcW w:w="1134" w:type="dxa"/>
            <w:tcBorders>
              <w:top w:val="nil"/>
              <w:left w:val="nil"/>
              <w:bottom w:val="single" w:color="auto" w:sz="4" w:space="0"/>
              <w:right w:val="nil"/>
            </w:tcBorders>
            <w:shd w:val="clear" w:color="auto" w:fill="auto"/>
            <w:noWrap/>
          </w:tcPr>
          <w:p w:rsidRPr="007E5CF2" w:rsidR="002A6F00" w:rsidP="007E5CF2" w:rsidRDefault="00EB5CB4" w14:paraId="5827C29B" w14:textId="7C8DD5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7E5CF2">
              <w:rPr>
                <w:b/>
                <w:bCs/>
                <w:sz w:val="20"/>
                <w:szCs w:val="20"/>
              </w:rPr>
              <w:t>1</w:t>
            </w:r>
            <w:r w:rsidRPr="007E5CF2" w:rsidR="00857104">
              <w:rPr>
                <w:b/>
                <w:bCs/>
                <w:sz w:val="20"/>
                <w:szCs w:val="20"/>
              </w:rPr>
              <w:t>2</w:t>
            </w:r>
            <w:r w:rsidRPr="007E5CF2">
              <w:rPr>
                <w:b/>
                <w:bCs/>
                <w:sz w:val="20"/>
                <w:szCs w:val="20"/>
              </w:rPr>
              <w:t>,</w:t>
            </w:r>
            <w:r w:rsidRPr="007E5CF2" w:rsidR="00857104">
              <w:rPr>
                <w:b/>
                <w:bCs/>
                <w:sz w:val="20"/>
                <w:szCs w:val="20"/>
              </w:rPr>
              <w:t>7</w:t>
            </w:r>
          </w:p>
        </w:tc>
        <w:tc>
          <w:tcPr>
            <w:tcW w:w="1134" w:type="dxa"/>
            <w:tcBorders>
              <w:top w:val="nil"/>
              <w:left w:val="nil"/>
              <w:bottom w:val="single" w:color="auto" w:sz="4" w:space="0"/>
              <w:right w:val="nil"/>
            </w:tcBorders>
            <w:shd w:val="clear" w:color="auto" w:fill="auto"/>
            <w:noWrap/>
          </w:tcPr>
          <w:p w:rsidRPr="007E5CF2" w:rsidR="002A6F00" w:rsidP="007E5CF2" w:rsidRDefault="00CA2591" w14:paraId="0861AAC6" w14:textId="4AE20F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7E5CF2">
              <w:rPr>
                <w:b/>
                <w:bCs/>
                <w:sz w:val="20"/>
                <w:szCs w:val="20"/>
              </w:rPr>
              <w:t>2</w:t>
            </w:r>
            <w:r w:rsidRPr="007E5CF2" w:rsidR="00857104">
              <w:rPr>
                <w:b/>
                <w:bCs/>
                <w:sz w:val="20"/>
                <w:szCs w:val="20"/>
              </w:rPr>
              <w:t>6</w:t>
            </w:r>
            <w:r w:rsidRPr="007E5CF2">
              <w:rPr>
                <w:b/>
                <w:bCs/>
                <w:sz w:val="20"/>
                <w:szCs w:val="20"/>
              </w:rPr>
              <w:t>,8</w:t>
            </w:r>
          </w:p>
        </w:tc>
        <w:tc>
          <w:tcPr>
            <w:tcW w:w="1134" w:type="dxa"/>
            <w:tcBorders>
              <w:top w:val="nil"/>
              <w:left w:val="nil"/>
              <w:bottom w:val="single" w:color="auto" w:sz="4" w:space="0"/>
              <w:right w:val="nil"/>
            </w:tcBorders>
            <w:shd w:val="clear" w:color="auto" w:fill="auto"/>
            <w:noWrap/>
          </w:tcPr>
          <w:p w:rsidRPr="007E5CF2" w:rsidR="002A6F00" w:rsidP="007E5CF2" w:rsidRDefault="00CA2591" w14:paraId="25E12813" w14:textId="352260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7E5CF2">
              <w:rPr>
                <w:b/>
                <w:bCs/>
                <w:sz w:val="20"/>
                <w:szCs w:val="20"/>
              </w:rPr>
              <w:t>3</w:t>
            </w:r>
            <w:r w:rsidRPr="007E5CF2" w:rsidR="00857104">
              <w:rPr>
                <w:b/>
                <w:bCs/>
                <w:sz w:val="20"/>
                <w:szCs w:val="20"/>
              </w:rPr>
              <w:t>9</w:t>
            </w:r>
            <w:r w:rsidRPr="007E5CF2">
              <w:rPr>
                <w:b/>
                <w:bCs/>
                <w:sz w:val="20"/>
                <w:szCs w:val="20"/>
              </w:rPr>
              <w:t>,2</w:t>
            </w:r>
          </w:p>
        </w:tc>
      </w:tr>
    </w:tbl>
    <w:p w:rsidRPr="00FC2616" w:rsidR="00D6559C" w:rsidP="00411F52" w:rsidRDefault="00D6559C" w14:paraId="7F0F36EA" w14:textId="30E3C8A3">
      <w:pPr>
        <w:pStyle w:val="Rubrik1numrerat"/>
      </w:pPr>
      <w:bookmarkStart w:name="_Toc149814556" w:id="97"/>
      <w:r w:rsidRPr="00FC2616">
        <w:t>Generell välfärd för ett helt samhälle</w:t>
      </w:r>
      <w:bookmarkEnd w:id="97"/>
    </w:p>
    <w:p w:rsidRPr="00FC2616" w:rsidR="00322E70" w:rsidP="00C62776" w:rsidRDefault="00322E70" w14:paraId="258B72A5" w14:textId="5F3DAC9A">
      <w:pPr>
        <w:pStyle w:val="Normalutanindragellerluft"/>
        <w:rPr>
          <w:rFonts w:eastAsia="Calibri"/>
        </w:rPr>
      </w:pPr>
      <w:bookmarkStart w:name="_Hlk107244173" w:id="98"/>
      <w:r w:rsidRPr="00FC2616">
        <w:rPr>
          <w:rFonts w:eastAsia="Calibri"/>
        </w:rPr>
        <w:t>Sverige erbjuder en vård och omsorg i absolut världsklass. Men sedan 1990-talets mitt har välfärden givits återkommande sparbeting, i synnerhet i glesbygdskommuner med ett minskande skatteunderlag. Det har inneburit att ojämlikheten i hälsa och livslängd har ökat i Sverige under 30</w:t>
      </w:r>
      <w:r w:rsidR="00C84708">
        <w:rPr>
          <w:rFonts w:eastAsia="Calibri"/>
        </w:rPr>
        <w:t> </w:t>
      </w:r>
      <w:r w:rsidRPr="00FC2616">
        <w:rPr>
          <w:rFonts w:eastAsia="Calibri"/>
        </w:rPr>
        <w:t>års tid.</w:t>
      </w:r>
      <w:r w:rsidRPr="00FC2616">
        <w:rPr>
          <w:rStyle w:val="Fotnotsreferens"/>
          <w:rFonts w:eastAsia="Calibri"/>
        </w:rPr>
        <w:footnoteReference w:id="67"/>
      </w:r>
      <w:r w:rsidRPr="00FC2616">
        <w:rPr>
          <w:rFonts w:eastAsia="Calibri"/>
        </w:rPr>
        <w:t xml:space="preserve"> Resurserna behöver öka kraftigt om våra ambi</w:t>
      </w:r>
      <w:r w:rsidR="002432AF">
        <w:rPr>
          <w:rFonts w:eastAsia="Calibri"/>
        </w:rPr>
        <w:softHyphen/>
      </w:r>
      <w:r w:rsidRPr="00FC2616">
        <w:rPr>
          <w:rFonts w:eastAsia="Calibri"/>
        </w:rPr>
        <w:t xml:space="preserve">tioner för det offentliga åtagandet ska kunna förverkligas. </w:t>
      </w:r>
    </w:p>
    <w:p w:rsidRPr="00FC2616" w:rsidR="00326A8F" w:rsidP="00326A8F" w:rsidRDefault="00326A8F" w14:paraId="1D35D7CE" w14:textId="77777777">
      <w:pPr>
        <w:pStyle w:val="Rubrik2numrerat"/>
      </w:pPr>
      <w:bookmarkStart w:name="_Toc111116281" w:id="99"/>
      <w:bookmarkStart w:name="_Toc111475360" w:id="100"/>
      <w:bookmarkStart w:name="_Toc149814557" w:id="101"/>
      <w:r w:rsidRPr="00FC2616">
        <w:t>Resurser som följer befolkningstillväxten</w:t>
      </w:r>
      <w:bookmarkEnd w:id="101"/>
    </w:p>
    <w:p w:rsidRPr="00FC2616" w:rsidR="00326A8F" w:rsidP="00326A8F" w:rsidRDefault="00326A8F" w14:paraId="35A4BEB2" w14:textId="77777777">
      <w:pPr>
        <w:pStyle w:val="Normalutanindragellerluft"/>
        <w:rPr>
          <w:rFonts w:eastAsia="Calibri"/>
        </w:rPr>
      </w:pPr>
      <w:r w:rsidRPr="00FC2616">
        <w:rPr>
          <w:rFonts w:eastAsia="Calibri"/>
        </w:rPr>
        <w:t xml:space="preserve">Den demografiska utvecklingen, där andelen äldre ökar, innebär samtidigt att kommuner och regioner står inför stora resursbehov de närmaste åren. </w:t>
      </w:r>
    </w:p>
    <w:p w:rsidRPr="00FC2616" w:rsidR="00326A8F" w:rsidP="007C6470" w:rsidRDefault="00326A8F" w14:paraId="0C3489BC" w14:textId="2AADB715">
      <w:pPr>
        <w:rPr>
          <w:rFonts w:eastAsia="Calibri"/>
        </w:rPr>
      </w:pPr>
      <w:r w:rsidRPr="00FC2616">
        <w:t>Enligt SCB finns det i</w:t>
      </w:r>
      <w:r w:rsidRPr="00FC2616" w:rsidR="003F0542">
        <w:t xml:space="preserve"> </w:t>
      </w:r>
      <w:r w:rsidRPr="00FC2616">
        <w:t>dag (2022) 559 600 personer som är 80</w:t>
      </w:r>
      <w:r w:rsidR="007E45D3">
        <w:t> </w:t>
      </w:r>
      <w:r w:rsidRPr="00FC2616">
        <w:t>år och äldre. Gruppen har ökat i antal och förväntas att fortsätta att öka snabbt de kommande åren. År 2030 beräknas de</w:t>
      </w:r>
      <w:r w:rsidR="00C01A21">
        <w:t>t</w:t>
      </w:r>
      <w:r w:rsidRPr="00FC2616">
        <w:t xml:space="preserve"> </w:t>
      </w:r>
      <w:r w:rsidR="00C01A21">
        <w:t>finnas</w:t>
      </w:r>
      <w:r w:rsidRPr="00FC2616">
        <w:t xml:space="preserve"> 810 500 i dessa åldrar, vilket innebär drygt 250 000 fler än i</w:t>
      </w:r>
      <w:r w:rsidRPr="00FC2616" w:rsidR="003F0542">
        <w:t xml:space="preserve"> </w:t>
      </w:r>
      <w:r w:rsidRPr="00FC2616">
        <w:t>dag.</w:t>
      </w:r>
      <w:r w:rsidRPr="00FC2616">
        <w:rPr>
          <w:rStyle w:val="Fotnotsreferens"/>
        </w:rPr>
        <w:footnoteReference w:id="68"/>
      </w:r>
      <w:r w:rsidRPr="00FC2616">
        <w:t xml:space="preserve"> </w:t>
      </w:r>
      <w:r w:rsidRPr="00FC2616">
        <w:rPr>
          <w:rFonts w:eastAsia="Calibri"/>
        </w:rPr>
        <w:t>SKR har tidigare beräknat att antalet anställda i välfärden då behöver öka med ca 13 000 personer per år för att möta den demografiska utmaningen.</w:t>
      </w:r>
      <w:r w:rsidRPr="00FC2616">
        <w:rPr>
          <w:rStyle w:val="Fotnotsreferens"/>
          <w:rFonts w:eastAsia="Calibri"/>
        </w:rPr>
        <w:footnoteReference w:id="69"/>
      </w:r>
      <w:r w:rsidRPr="00FC2616">
        <w:rPr>
          <w:rFonts w:eastAsia="Calibri"/>
        </w:rPr>
        <w:t xml:space="preserve"> </w:t>
      </w:r>
      <w:r w:rsidRPr="00FC2616">
        <w:t xml:space="preserve">Det baseras på ett ökat rekryteringsbehov med en ökad andel äldre men också </w:t>
      </w:r>
      <w:r w:rsidR="00406843">
        <w:t xml:space="preserve">på </w:t>
      </w:r>
      <w:r w:rsidRPr="00FC2616">
        <w:t xml:space="preserve">att personal behöver ersättas vid pensionsavgångar. </w:t>
      </w:r>
      <w:r w:rsidRPr="00FC2616">
        <w:rPr>
          <w:rFonts w:eastAsia="Calibri"/>
        </w:rPr>
        <w:t xml:space="preserve">Det innebär en ökning med 52 000 heltidsanställda fram till 2026. I Konjunkturläget i mars 2022 bedömde Konjunkturinstitutet detta resursgap </w:t>
      </w:r>
      <w:r w:rsidRPr="00FC2616">
        <w:rPr>
          <w:rFonts w:eastAsia="Calibri"/>
        </w:rPr>
        <w:lastRenderedPageBreak/>
        <w:t xml:space="preserve">(tillsammans med en viss kvalitetshöjning) till 37 miljarder kronor. I samma rapport i juni 2022 hade detta resursgap växt till hela 59 miljarder kronor, </w:t>
      </w:r>
      <w:r w:rsidRPr="00FC2616" w:rsidR="00B730C5">
        <w:rPr>
          <w:rFonts w:eastAsia="Calibri"/>
        </w:rPr>
        <w:t>bl.a.</w:t>
      </w:r>
      <w:r w:rsidRPr="00FC2616">
        <w:rPr>
          <w:rFonts w:eastAsia="Calibri"/>
        </w:rPr>
        <w:t xml:space="preserve"> som ett resultat av den höga inflationen.</w:t>
      </w:r>
      <w:r w:rsidRPr="00FC2616">
        <w:rPr>
          <w:rStyle w:val="Fotnotsreferens"/>
          <w:rFonts w:eastAsia="Calibri"/>
        </w:rPr>
        <w:footnoteReference w:id="70"/>
      </w:r>
      <w:r w:rsidRPr="00FC2616">
        <w:rPr>
          <w:rFonts w:eastAsia="Calibri"/>
        </w:rPr>
        <w:t xml:space="preserve"> </w:t>
      </w:r>
    </w:p>
    <w:p w:rsidRPr="00FC2616" w:rsidR="00326A8F" w:rsidP="00326A8F" w:rsidRDefault="00326A8F" w14:paraId="5694A752" w14:textId="7309F071">
      <w:pPr>
        <w:rPr>
          <w:rFonts w:eastAsia="Calibri"/>
        </w:rPr>
      </w:pPr>
      <w:r w:rsidRPr="00FC2616">
        <w:rPr>
          <w:rFonts w:eastAsia="Calibri"/>
        </w:rPr>
        <w:t xml:space="preserve">Om resurserna inte tillåts </w:t>
      </w:r>
      <w:r w:rsidR="00D772F2">
        <w:rPr>
          <w:rFonts w:eastAsia="Calibri"/>
        </w:rPr>
        <w:t xml:space="preserve">att </w:t>
      </w:r>
      <w:r w:rsidRPr="00FC2616">
        <w:rPr>
          <w:rFonts w:eastAsia="Calibri"/>
        </w:rPr>
        <w:t>öka i takt med demografin så innebär det en kontinuer</w:t>
      </w:r>
      <w:r w:rsidR="002432AF">
        <w:rPr>
          <w:rFonts w:eastAsia="Calibri"/>
        </w:rPr>
        <w:softHyphen/>
      </w:r>
      <w:r w:rsidRPr="00FC2616">
        <w:rPr>
          <w:rFonts w:eastAsia="Calibri"/>
        </w:rPr>
        <w:t xml:space="preserve">lig nedskärning </w:t>
      </w:r>
      <w:r w:rsidR="00F11CFA">
        <w:rPr>
          <w:rFonts w:eastAsia="Calibri"/>
        </w:rPr>
        <w:t>av</w:t>
      </w:r>
      <w:r w:rsidRPr="00FC2616">
        <w:rPr>
          <w:rFonts w:eastAsia="Calibri"/>
        </w:rPr>
        <w:t xml:space="preserve"> verksamheternas kvalitet. För Vänsterpartiet är resurser till välfärden en helt avgörande fråga och vi menar att det krävs en modell för att inte personal</w:t>
      </w:r>
      <w:r w:rsidR="002432AF">
        <w:rPr>
          <w:rFonts w:eastAsia="Calibri"/>
        </w:rPr>
        <w:softHyphen/>
      </w:r>
      <w:r w:rsidRPr="00FC2616">
        <w:rPr>
          <w:rFonts w:eastAsia="Calibri"/>
        </w:rPr>
        <w:t>tätheten automatiskt ska minska och kvaliteten urholkas när befolkningen växer.</w:t>
      </w:r>
    </w:p>
    <w:p w:rsidRPr="002432AF" w:rsidR="00326A8F" w:rsidP="002432AF" w:rsidRDefault="00326A8F" w14:paraId="1FE3CD35" w14:textId="77777777">
      <w:pPr>
        <w:pStyle w:val="Normalutanindragellerluft"/>
        <w:spacing w:before="240"/>
        <w:rPr>
          <w:rFonts w:eastAsia="Calibri"/>
          <w:b/>
          <w:bCs/>
        </w:rPr>
      </w:pPr>
      <w:r w:rsidRPr="002432AF">
        <w:rPr>
          <w:rFonts w:eastAsia="Calibri"/>
          <w:b/>
          <w:bCs/>
        </w:rPr>
        <w:t>Vänsterpartiets förslag:</w:t>
      </w:r>
    </w:p>
    <w:p w:rsidRPr="00FC2616" w:rsidR="00326A8F" w:rsidP="007C6470" w:rsidRDefault="00326A8F" w14:paraId="01442A9F" w14:textId="35E98A39">
      <w:pPr>
        <w:pStyle w:val="ListaPunkt"/>
        <w:ind w:left="340" w:hanging="340"/>
        <w:rPr>
          <w:rFonts w:eastAsia="Calibri"/>
        </w:rPr>
      </w:pPr>
      <w:r w:rsidRPr="00FC2616">
        <w:rPr>
          <w:rFonts w:eastAsia="Calibri"/>
        </w:rPr>
        <w:t>Öka resurserna för att möjliggöra bibehållen personaltäthet i välfärden. Totalt föreslår vi 14</w:t>
      </w:r>
      <w:r w:rsidR="00F20C44">
        <w:rPr>
          <w:rFonts w:eastAsia="Calibri"/>
        </w:rPr>
        <w:t> </w:t>
      </w:r>
      <w:r w:rsidRPr="00FC2616">
        <w:rPr>
          <w:rFonts w:eastAsia="Calibri"/>
        </w:rPr>
        <w:t>miljarder</w:t>
      </w:r>
      <w:r w:rsidRPr="00FC2616" w:rsidR="00B730C5">
        <w:rPr>
          <w:rFonts w:eastAsia="Calibri"/>
        </w:rPr>
        <w:t xml:space="preserve"> kronor</w:t>
      </w:r>
      <w:r w:rsidRPr="00FC2616">
        <w:rPr>
          <w:rFonts w:eastAsia="Calibri"/>
        </w:rPr>
        <w:t xml:space="preserve"> mer än regeringen 2023 och </w:t>
      </w:r>
      <w:r w:rsidRPr="00FC2616" w:rsidR="0005439E">
        <w:rPr>
          <w:rFonts w:eastAsia="Calibri"/>
        </w:rPr>
        <w:t xml:space="preserve">att resurserna </w:t>
      </w:r>
      <w:r w:rsidR="00D03B68">
        <w:rPr>
          <w:rFonts w:eastAsia="Calibri"/>
        </w:rPr>
        <w:t xml:space="preserve">ska </w:t>
      </w:r>
      <w:r w:rsidRPr="00FC2616" w:rsidR="0005439E">
        <w:rPr>
          <w:rFonts w:eastAsia="Calibri"/>
        </w:rPr>
        <w:t>fortsätt</w:t>
      </w:r>
      <w:r w:rsidR="00D03B68">
        <w:rPr>
          <w:rFonts w:eastAsia="Calibri"/>
        </w:rPr>
        <w:t>a</w:t>
      </w:r>
      <w:r w:rsidRPr="00FC2616" w:rsidR="0005439E">
        <w:rPr>
          <w:rFonts w:eastAsia="Calibri"/>
        </w:rPr>
        <w:t xml:space="preserve"> </w:t>
      </w:r>
      <w:r w:rsidR="00F20C44">
        <w:rPr>
          <w:rFonts w:eastAsia="Calibri"/>
        </w:rPr>
        <w:t xml:space="preserve">att </w:t>
      </w:r>
      <w:r w:rsidRPr="00FC2616" w:rsidR="0005439E">
        <w:rPr>
          <w:rFonts w:eastAsia="Calibri"/>
        </w:rPr>
        <w:t>växa i takt med de ökade kostnaderna under hela mandatperioden</w:t>
      </w:r>
      <w:r w:rsidRPr="00FC2616">
        <w:rPr>
          <w:rFonts w:eastAsia="Calibri"/>
        </w:rPr>
        <w:t>.</w:t>
      </w:r>
    </w:p>
    <w:p w:rsidRPr="00FC2616" w:rsidR="00326A8F" w:rsidP="00437422" w:rsidRDefault="00326A8F" w14:paraId="428C58C2" w14:textId="79411C3F">
      <w:pPr>
        <w:pStyle w:val="ListaPunkt"/>
        <w:ind w:left="340" w:hanging="340"/>
      </w:pPr>
      <w:r w:rsidRPr="00FC2616">
        <w:rPr>
          <w:rFonts w:eastAsia="Calibri"/>
        </w:rPr>
        <w:t xml:space="preserve">Inför en ny resursfördelningsmodell: </w:t>
      </w:r>
      <w:r w:rsidR="008B5BCD">
        <w:rPr>
          <w:rFonts w:eastAsia="Calibri"/>
        </w:rPr>
        <w:t>U</w:t>
      </w:r>
      <w:r w:rsidRPr="00FC2616">
        <w:rPr>
          <w:rFonts w:eastAsia="Calibri"/>
        </w:rPr>
        <w:t>tred en indexering av statsbidragen så att de kan följa såväl demografin som prisutvecklingen.</w:t>
      </w:r>
    </w:p>
    <w:p w:rsidRPr="00FC2616" w:rsidR="00322E70" w:rsidP="00E02833" w:rsidRDefault="00322E70" w14:paraId="36B23596" w14:textId="239FBFC3">
      <w:pPr>
        <w:pStyle w:val="Rubrik2numrerat"/>
      </w:pPr>
      <w:bookmarkStart w:name="_Toc149814558" w:id="102"/>
      <w:r w:rsidRPr="00FC2616">
        <w:t>Ökad personaltäthet och bättre villkor i offentlig sektor</w:t>
      </w:r>
      <w:bookmarkEnd w:id="99"/>
      <w:bookmarkEnd w:id="100"/>
      <w:bookmarkEnd w:id="102"/>
    </w:p>
    <w:p w:rsidRPr="00FC2616" w:rsidR="00322E70" w:rsidP="006B13F1" w:rsidRDefault="00322E70" w14:paraId="3F82BCF2" w14:textId="47F4380E">
      <w:pPr>
        <w:pStyle w:val="Normalutanindragellerluft"/>
      </w:pPr>
      <w:r w:rsidRPr="00FC2616">
        <w:t>Personalen är den viktigaste resursen i vården och omsorgen. Samhället behöver förnya sitt åtagande att säkerställa en god arbetsmiljö för de som arbetar i vården och de som söker sig dit. Vänsterpartiet arbetar för att vård- och omsorgsyrkena ska värdesättas som de samhällsnödvändiga tjänster de är. Långsiktiga satsningar på personalens löner, arbetsvillkor och kompetensutveckling är en förutsättning för att vi ska ha en hälso- och sjukvård som motsvarar de behov som finns och kraven i hälso- och sjukvårdslagen.</w:t>
      </w:r>
    </w:p>
    <w:p w:rsidRPr="00FC2616" w:rsidR="00322E70" w:rsidP="00547C78" w:rsidRDefault="00322E70" w14:paraId="6B0076F5" w14:textId="65E51C45">
      <w:r w:rsidRPr="00FC2616">
        <w:t>En förutsättning för att många inom vård och omsorg ska ha lust och ork ett helt yrkesliv är att de ges en möjlighet att arbeta mer noggrant, i sällskap av fler kollegor. I rapporten ”Skatteväxling för välfärden” har Kommunal frågat experter inom vård, skola och omsorg hur många fler anställda som krävs för att bemanning</w:t>
      </w:r>
      <w:r w:rsidR="0057668F">
        <w:t>en</w:t>
      </w:r>
      <w:r w:rsidRPr="00FC2616">
        <w:t xml:space="preserve"> och arbetsmiljön ska bli acceptabel</w:t>
      </w:r>
      <w:r w:rsidRPr="00FC2616">
        <w:rPr>
          <w:rFonts w:eastAsia="Calibri"/>
        </w:rPr>
        <w:t>.</w:t>
      </w:r>
      <w:r w:rsidRPr="00FC2616">
        <w:rPr>
          <w:rStyle w:val="Fotnotsreferens"/>
          <w:rFonts w:eastAsia="Calibri"/>
        </w:rPr>
        <w:footnoteReference w:id="71"/>
      </w:r>
      <w:r w:rsidRPr="00FC2616">
        <w:rPr>
          <w:rFonts w:eastAsia="Calibri"/>
        </w:rPr>
        <w:t xml:space="preserve"> </w:t>
      </w:r>
      <w:r w:rsidRPr="00FC2616">
        <w:t>Den samlade bilden av Kommunals utredning var att det fattas minst 50 000 heltidsanställda för att uppnå en tillfredsställande bemanning. Detta skulle enligt Kommunal kosta ca</w:t>
      </w:r>
      <w:r w:rsidR="006A41C0">
        <w:t> </w:t>
      </w:r>
      <w:r w:rsidRPr="00FC2616">
        <w:t>30</w:t>
      </w:r>
      <w:r w:rsidR="006A41C0">
        <w:t> </w:t>
      </w:r>
      <w:r w:rsidRPr="00FC2616">
        <w:t>miljarder kronor.</w:t>
      </w:r>
    </w:p>
    <w:p w:rsidRPr="00FC2616" w:rsidR="00322E70" w:rsidP="00322E70" w:rsidRDefault="00322E70" w14:paraId="0BE08B78" w14:textId="064BAC85">
      <w:r w:rsidRPr="00FC2616">
        <w:t>Många yrken, särskilt arbetaryrken, inom vård och omsorg har låga löner. Ungefär 80</w:t>
      </w:r>
      <w:r w:rsidR="006A41C0">
        <w:t> </w:t>
      </w:r>
      <w:r w:rsidRPr="00FC2616">
        <w:t>procent av de anställda inom vård och omsorg är kvinnor. Enligt LO är arbetar</w:t>
      </w:r>
      <w:r w:rsidR="00BD72EF">
        <w:softHyphen/>
      </w:r>
      <w:r w:rsidRPr="00FC2616">
        <w:t>kvinnors löner 88</w:t>
      </w:r>
      <w:r w:rsidR="006A41C0">
        <w:t> </w:t>
      </w:r>
      <w:r w:rsidRPr="00FC2616">
        <w:t>procent av männens.</w:t>
      </w:r>
      <w:r w:rsidRPr="00FC2616">
        <w:rPr>
          <w:rStyle w:val="Fotnotsreferens"/>
        </w:rPr>
        <w:footnoteReference w:id="72"/>
      </w:r>
      <w:r w:rsidRPr="00FC2616">
        <w:t xml:space="preserve"> Förklaringen till löneskillnaden ligger i kombinationen av en könssegregerad arbetsmarknad och löneskillnaderna mellan olika yrken och sektorer. Det vill säga att medellönen oftast är lägre inom de yrken som domineras av kvinnor jämfört med mansdominerade yrken.</w:t>
      </w:r>
    </w:p>
    <w:p w:rsidRPr="00FC2616" w:rsidR="00322E70" w:rsidP="00322E70" w:rsidRDefault="00322E70" w14:paraId="405334D0" w14:textId="77777777">
      <w:r w:rsidRPr="00FC2616">
        <w:t xml:space="preserve">En satsning på villkoren inom vård och omsorg blir därför en mycket tydlig satsning på kvinnors löner, särskilt arbetarkvinnor. </w:t>
      </w:r>
    </w:p>
    <w:p w:rsidRPr="00BD72EF" w:rsidR="00322E70" w:rsidP="00BD72EF" w:rsidRDefault="00322E70" w14:paraId="3E563D2B" w14:textId="77777777">
      <w:pPr>
        <w:pStyle w:val="Normalutanindragellerluft"/>
        <w:keepNext/>
        <w:spacing w:before="240"/>
        <w:rPr>
          <w:rFonts w:eastAsia="Calibri"/>
          <w:b/>
          <w:bCs/>
        </w:rPr>
      </w:pPr>
      <w:r w:rsidRPr="00BD72EF">
        <w:rPr>
          <w:rFonts w:eastAsia="Calibri"/>
          <w:b/>
          <w:bCs/>
        </w:rPr>
        <w:lastRenderedPageBreak/>
        <w:t>Vänsterpartiets förslag:</w:t>
      </w:r>
    </w:p>
    <w:p w:rsidRPr="00FC2616" w:rsidR="00322E70" w:rsidP="00437422" w:rsidRDefault="00322E70" w14:paraId="0D756434" w14:textId="65BFED39">
      <w:pPr>
        <w:pStyle w:val="ListaPunkt"/>
        <w:ind w:left="340" w:hanging="340"/>
        <w:rPr>
          <w:rFonts w:eastAsia="Calibri"/>
        </w:rPr>
      </w:pPr>
      <w:bookmarkStart w:name="_Hlk111035331" w:id="103"/>
      <w:r w:rsidRPr="00FC2616">
        <w:t>Ökade statsbidrag till kommunerna för att öka personaltätheten</w:t>
      </w:r>
      <w:r w:rsidRPr="00FC2616">
        <w:rPr>
          <w:rFonts w:eastAsia="Calibri"/>
        </w:rPr>
        <w:t xml:space="preserve">. </w:t>
      </w:r>
      <w:r w:rsidRPr="00FC2616" w:rsidR="00AF2DBA">
        <w:rPr>
          <w:rFonts w:eastAsia="Calibri"/>
        </w:rPr>
        <w:t>Vi tillför 10</w:t>
      </w:r>
      <w:r w:rsidR="00092F08">
        <w:rPr>
          <w:rFonts w:eastAsia="Calibri"/>
        </w:rPr>
        <w:t> </w:t>
      </w:r>
      <w:r w:rsidRPr="00FC2616" w:rsidR="00AF2DBA">
        <w:rPr>
          <w:rFonts w:eastAsia="Calibri"/>
        </w:rPr>
        <w:t xml:space="preserve">miljarder </w:t>
      </w:r>
      <w:r w:rsidRPr="00FC2616" w:rsidR="00B730C5">
        <w:rPr>
          <w:rFonts w:eastAsia="Calibri"/>
        </w:rPr>
        <w:t xml:space="preserve">kronor </w:t>
      </w:r>
      <w:r w:rsidRPr="00FC2616" w:rsidR="00AF2DBA">
        <w:rPr>
          <w:rFonts w:eastAsia="Calibri"/>
        </w:rPr>
        <w:t xml:space="preserve">för detta 2023 och ökar detta successivt för att nå en nivåökning med </w:t>
      </w:r>
      <w:r w:rsidRPr="00FC2616">
        <w:rPr>
          <w:rFonts w:eastAsia="Calibri"/>
        </w:rPr>
        <w:t>30</w:t>
      </w:r>
      <w:r w:rsidR="00092F08">
        <w:rPr>
          <w:rFonts w:eastAsia="Calibri"/>
        </w:rPr>
        <w:t> </w:t>
      </w:r>
      <w:r w:rsidRPr="00FC2616">
        <w:rPr>
          <w:rFonts w:eastAsia="Calibri"/>
        </w:rPr>
        <w:t>miljarder</w:t>
      </w:r>
      <w:r w:rsidRPr="00FC2616" w:rsidR="00B730C5">
        <w:rPr>
          <w:rFonts w:eastAsia="Calibri"/>
        </w:rPr>
        <w:t xml:space="preserve"> kronor</w:t>
      </w:r>
      <w:r w:rsidRPr="00FC2616">
        <w:rPr>
          <w:rFonts w:eastAsia="Calibri"/>
        </w:rPr>
        <w:t xml:space="preserve"> 2026.</w:t>
      </w:r>
      <w:bookmarkEnd w:id="103"/>
      <w:r w:rsidRPr="00FC2616">
        <w:rPr>
          <w:rStyle w:val="Fotnotsreferens"/>
          <w:rFonts w:eastAsia="Calibri"/>
        </w:rPr>
        <w:footnoteReference w:id="73"/>
      </w:r>
    </w:p>
    <w:p w:rsidRPr="00FC2616" w:rsidR="00322E70" w:rsidP="0092368C" w:rsidRDefault="00CA63C0" w14:paraId="7A3EC73D" w14:textId="77EB5829">
      <w:pPr>
        <w:pStyle w:val="Rubrik2numrerat"/>
      </w:pPr>
      <w:bookmarkStart w:name="_Toc111116284" w:id="104"/>
      <w:bookmarkStart w:name="_Toc111475363" w:id="105"/>
      <w:bookmarkStart w:name="_Toc112409789" w:id="106"/>
      <w:bookmarkStart w:name="_Hlk107230475" w:id="107"/>
      <w:bookmarkStart w:name="_Toc149814559" w:id="108"/>
      <w:r w:rsidRPr="00FC2616">
        <w:t>Kompetensförsörjning inom vård och omsorg</w:t>
      </w:r>
      <w:bookmarkEnd w:id="104"/>
      <w:bookmarkEnd w:id="105"/>
      <w:bookmarkEnd w:id="106"/>
      <w:bookmarkEnd w:id="108"/>
    </w:p>
    <w:p w:rsidRPr="00FC2616" w:rsidR="00322E70" w:rsidP="003B053A" w:rsidRDefault="00322E70" w14:paraId="6101503B" w14:textId="5A5F642F">
      <w:pPr>
        <w:pStyle w:val="Normalutanindragellerluft"/>
      </w:pPr>
      <w:r w:rsidRPr="00FC2616">
        <w:t xml:space="preserve">Det finns behov av att anställa mer personal </w:t>
      </w:r>
      <w:r w:rsidRPr="00FC2616" w:rsidR="00476084">
        <w:t xml:space="preserve">såväl </w:t>
      </w:r>
      <w:r w:rsidRPr="00FC2616" w:rsidR="00BE32BE">
        <w:t xml:space="preserve">som </w:t>
      </w:r>
      <w:r w:rsidRPr="00FC2616" w:rsidR="000F7965">
        <w:t xml:space="preserve">att </w:t>
      </w:r>
      <w:r w:rsidRPr="00FC2616">
        <w:t xml:space="preserve">ge ökade möjligheter till kompetensutveckling och karriärvägar. Vänsterpartiet </w:t>
      </w:r>
      <w:r w:rsidRPr="00FC2616" w:rsidR="000F7965">
        <w:t xml:space="preserve">har välkomnat </w:t>
      </w:r>
      <w:r w:rsidRPr="00FC2616">
        <w:t>möjligheten att få utbilda sig på arbetstid i form av det s</w:t>
      </w:r>
      <w:r w:rsidRPr="00FC2616" w:rsidR="00B730C5">
        <w:t>.k.</w:t>
      </w:r>
      <w:r w:rsidRPr="00FC2616">
        <w:t xml:space="preserve"> Äldreomsorgslyftet men vill framhålla att det endast är ett steg på vägen. För att äldreomsorgen på allvar ska lyftas och attrahera arbetskraft som har för avsikt att stanna inom yrket behöver mer göras.</w:t>
      </w:r>
    </w:p>
    <w:p w:rsidRPr="00BD72EF" w:rsidR="00322E70" w:rsidP="00BD72EF" w:rsidRDefault="00322E70" w14:paraId="0083BBFF" w14:textId="77777777">
      <w:pPr>
        <w:pStyle w:val="Normalutanindragellerluft"/>
        <w:spacing w:before="240"/>
        <w:rPr>
          <w:b/>
          <w:bCs/>
        </w:rPr>
      </w:pPr>
      <w:r w:rsidRPr="00BD72EF">
        <w:rPr>
          <w:b/>
          <w:bCs/>
        </w:rPr>
        <w:t xml:space="preserve">Vänsterpartiets förslag: </w:t>
      </w:r>
      <w:bookmarkStart w:name="_Hlk111035476" w:id="109"/>
    </w:p>
    <w:p w:rsidRPr="00FC2616" w:rsidR="00322E70" w:rsidP="007152A0" w:rsidRDefault="00322E70" w14:paraId="38F13D66" w14:textId="10B23A5D">
      <w:pPr>
        <w:pStyle w:val="ListaPunkt"/>
        <w:ind w:left="340" w:hanging="340"/>
      </w:pPr>
      <w:r w:rsidRPr="00FC2616">
        <w:t>Avsätt utökade budgetmedel för förlängning av utbildning för undersköterskor i enlighet med modellen Äldreomsorgslyftet från 2024.</w:t>
      </w:r>
      <w:bookmarkEnd w:id="109"/>
    </w:p>
    <w:p w:rsidRPr="00FC2616" w:rsidR="00322E70" w:rsidP="003B053A" w:rsidRDefault="00322E70" w14:paraId="19CD4394" w14:textId="77777777">
      <w:pPr>
        <w:pStyle w:val="Rubrik2numrerat"/>
      </w:pPr>
      <w:bookmarkStart w:name="_Toc111116285" w:id="110"/>
      <w:bookmarkStart w:name="_Toc111475364" w:id="111"/>
      <w:bookmarkStart w:name="_Hlk106752488" w:id="112"/>
      <w:bookmarkStart w:name="_Toc149814560" w:id="113"/>
      <w:r w:rsidRPr="00FC2616">
        <w:t>Möjlighet till betald specialistutbildning för sjuksköterskor i hela landet</w:t>
      </w:r>
      <w:bookmarkEnd w:id="110"/>
      <w:bookmarkEnd w:id="111"/>
      <w:bookmarkEnd w:id="113"/>
    </w:p>
    <w:p w:rsidRPr="00FC2616" w:rsidR="00322E70" w:rsidP="007152A0" w:rsidRDefault="00322E70" w14:paraId="72A65037" w14:textId="13910196">
      <w:pPr>
        <w:pStyle w:val="Normalutanindragellerluft"/>
      </w:pPr>
      <w:r w:rsidRPr="00FC2616">
        <w:t>Bristen på specialistsjuksköterskor är i</w:t>
      </w:r>
      <w:r w:rsidRPr="00FC2616" w:rsidR="00B730C5">
        <w:t xml:space="preserve"> </w:t>
      </w:r>
      <w:r w:rsidRPr="00FC2616">
        <w:t>dag ett stort problem nationellt. En högre utbildningsnivå hos den personal som står närmast patienterna innebär avsevärt högre överlevnad och färre komplikationer.</w:t>
      </w:r>
    </w:p>
    <w:p w:rsidRPr="00FC2616" w:rsidR="00322E70" w:rsidP="00322E70" w:rsidRDefault="00322E70" w14:paraId="1622D8B8" w14:textId="2A6A91B0">
      <w:pPr>
        <w:tabs>
          <w:tab w:val="clear" w:pos="284"/>
        </w:tabs>
      </w:pPr>
      <w:r w:rsidRPr="00FC2616">
        <w:t xml:space="preserve">Tillgången till betald specialistutbildning för sjuksköterskor varierar kraftigt. I dag erbjuds det av långt ifrån alla arbetsgivare. En del arbetsgivare kräver även att medarbetare måste jobba kvar ett visst antal år efter sina betalda utbildningar, vilket riskerar </w:t>
      </w:r>
      <w:r w:rsidR="00964C9F">
        <w:t xml:space="preserve">att </w:t>
      </w:r>
      <w:r w:rsidRPr="00FC2616">
        <w:t>skapa ett trögrörligt system.</w:t>
      </w:r>
      <w:r w:rsidRPr="00FC2616">
        <w:rPr>
          <w:rStyle w:val="Fotnotsreferens"/>
        </w:rPr>
        <w:footnoteReference w:id="74"/>
      </w:r>
      <w:r w:rsidRPr="00FC2616">
        <w:t xml:space="preserve"> För att skapa långsiktighet och övergripande geografisk planerbarhet, tillsammans med möjlighet till personlig frihet, bör utform</w:t>
      </w:r>
      <w:r w:rsidR="00BD72EF">
        <w:softHyphen/>
      </w:r>
      <w:r w:rsidRPr="00FC2616">
        <w:t>ningen av betald specialistutbildning för sjuksköterskor styras nationellt. Inga krav ska heller åligga den enskild</w:t>
      </w:r>
      <w:r w:rsidR="00964C9F">
        <w:t>a</w:t>
      </w:r>
      <w:r w:rsidRPr="00FC2616">
        <w:t xml:space="preserve"> medarbetaren </w:t>
      </w:r>
      <w:r w:rsidR="008D52CF">
        <w:t xml:space="preserve">i fråga </w:t>
      </w:r>
      <w:r w:rsidR="00964C9F">
        <w:t xml:space="preserve">om </w:t>
      </w:r>
      <w:r w:rsidRPr="00FC2616">
        <w:t>att jobba kvar en viss tid efter genomgången utbildning.</w:t>
      </w:r>
    </w:p>
    <w:p w:rsidRPr="00FC2616" w:rsidR="00322E70" w:rsidP="00322E70" w:rsidRDefault="00322E70" w14:paraId="3706150C" w14:textId="5563E99F">
      <w:pPr>
        <w:tabs>
          <w:tab w:val="clear" w:pos="284"/>
        </w:tabs>
      </w:pPr>
      <w:r w:rsidRPr="00FC2616">
        <w:t xml:space="preserve">Budgetmedel har tidigare anslagits </w:t>
      </w:r>
      <w:r w:rsidR="004D7FB4">
        <w:t>för</w:t>
      </w:r>
      <w:r w:rsidRPr="00FC2616">
        <w:t xml:space="preserve"> att förstärka möjligheten till att fler erbjuds specialistutbildning, efter Vänsterpartiets medverkan. Regeringen och SKR har ett antal år slutit överenskommelser inom hälso- och sjukvården om extra medel till området. I överenskommelserna ingår </w:t>
      </w:r>
      <w:r w:rsidRPr="00FC2616" w:rsidR="00B730C5">
        <w:t>bl.a.</w:t>
      </w:r>
      <w:r w:rsidRPr="00FC2616">
        <w:t xml:space="preserve"> öronmärkta medel för att ge möjlighet till vidare</w:t>
      </w:r>
      <w:r w:rsidR="00BD72EF">
        <w:softHyphen/>
      </w:r>
      <w:r w:rsidRPr="00FC2616">
        <w:t>utbildning av sjuksköterskor till specialistsjuksköterskor eller barnmorskor. Åren 2020–2022 avsattes 500 miljoner kronor per år för vidareutbildning av sjuksköterskor till specialistsjuksköterskor eller barnmorskor.</w:t>
      </w:r>
    </w:p>
    <w:p w:rsidRPr="00FC2616" w:rsidR="00322E70" w:rsidP="00322E70" w:rsidRDefault="00322E70" w14:paraId="767516AA" w14:textId="2BC34A70">
      <w:pPr>
        <w:tabs>
          <w:tab w:val="clear" w:pos="284"/>
        </w:tabs>
      </w:pPr>
      <w:r w:rsidRPr="00FC2616">
        <w:t xml:space="preserve">Vänsterpartiet </w:t>
      </w:r>
      <w:r w:rsidRPr="00FC2616" w:rsidR="00D3558E">
        <w:t>anslår kraftigt höjda generella statsbidrag till kommuner och regioner under mandatperioden. Det skapar utrymme för att utöka</w:t>
      </w:r>
      <w:r w:rsidRPr="00FC2616">
        <w:t xml:space="preserve"> de öronmärkta medlen i överenskommelser med SKR</w:t>
      </w:r>
      <w:r w:rsidRPr="00FC2616" w:rsidR="00D3558E">
        <w:t xml:space="preserve"> med 1,1 miljarder kronor och på så vis</w:t>
      </w:r>
      <w:r w:rsidRPr="00FC2616">
        <w:t xml:space="preserve"> nå målet om att erbjuda sjuksköterskor betald specialistutbildning, inklusive barnmorskor, i hela landet.</w:t>
      </w:r>
      <w:r w:rsidRPr="00FC2616" w:rsidR="00D3558E">
        <w:t xml:space="preserve"> </w:t>
      </w:r>
    </w:p>
    <w:p w:rsidRPr="00FC2616" w:rsidR="00322E70" w:rsidP="00196EBD" w:rsidRDefault="00322E70" w14:paraId="4B9C22CA" w14:textId="77777777">
      <w:pPr>
        <w:pStyle w:val="Rubrik2numrerat"/>
      </w:pPr>
      <w:bookmarkStart w:name="_Toc111116286" w:id="114"/>
      <w:bookmarkStart w:name="_Toc111475365" w:id="115"/>
      <w:bookmarkStart w:name="_Toc112409790" w:id="116"/>
      <w:bookmarkStart w:name="_Toc149814561" w:id="117"/>
      <w:bookmarkEnd w:id="112"/>
      <w:r w:rsidRPr="00FC2616">
        <w:lastRenderedPageBreak/>
        <w:t>Glesbygdstillägg inom sjukvården</w:t>
      </w:r>
      <w:bookmarkEnd w:id="114"/>
      <w:bookmarkEnd w:id="115"/>
      <w:bookmarkEnd w:id="116"/>
      <w:bookmarkEnd w:id="117"/>
    </w:p>
    <w:p w:rsidRPr="00FC2616" w:rsidR="00322E70" w:rsidP="00196EBD" w:rsidRDefault="00322E70" w14:paraId="60D0D3F7" w14:textId="75066D0C">
      <w:pPr>
        <w:pStyle w:val="Normalutanindragellerluft"/>
      </w:pPr>
      <w:r w:rsidRPr="00FC2616">
        <w:t>I glest befolkade regioner är det dyrare att bedriva sjukvård. Det är svårare och dyrare att i glesbygd bygga upp enheter för att kunna erbjuda invånarna rimliga restider. Som en följd av det har människor i glesbygdskommuner långt sämre hälsa än genomsnittet, medan boende i rika kommuner runt storstäderna har bättre hälsa.</w:t>
      </w:r>
      <w:r w:rsidRPr="00FC2616">
        <w:rPr>
          <w:rStyle w:val="Fotnotsreferens"/>
        </w:rPr>
        <w:footnoteReference w:id="75"/>
      </w:r>
      <w:r w:rsidRPr="00FC2616">
        <w:t xml:space="preserve"> Detta är en konse</w:t>
      </w:r>
      <w:r w:rsidR="00BD72EF">
        <w:softHyphen/>
      </w:r>
      <w:r w:rsidRPr="00FC2616">
        <w:t xml:space="preserve">kvens av marknadslogikens intrång inom sjukvården: Tillgången och användningen är som störst där </w:t>
      </w:r>
      <w:r w:rsidR="004E3280">
        <w:t xml:space="preserve">de </w:t>
      </w:r>
      <w:r w:rsidRPr="00FC2616">
        <w:t>flest</w:t>
      </w:r>
      <w:r w:rsidR="004E3280">
        <w:t>a</w:t>
      </w:r>
      <w:r w:rsidRPr="00FC2616">
        <w:t xml:space="preserve"> och friskast</w:t>
      </w:r>
      <w:r w:rsidR="004E3280">
        <w:t>e</w:t>
      </w:r>
      <w:r w:rsidRPr="00FC2616">
        <w:t xml:space="preserve"> människor</w:t>
      </w:r>
      <w:r w:rsidR="004E3280">
        <w:t>na</w:t>
      </w:r>
      <w:r w:rsidRPr="00FC2616">
        <w:t xml:space="preserve"> finns. För att säkra tillgången till vård även i glest befolkade områden krävs att vi solidariskt via skattesystemet tillför nödvändiga resurser.</w:t>
      </w:r>
    </w:p>
    <w:p w:rsidRPr="00FC2616" w:rsidR="00322E70" w:rsidP="00322E70" w:rsidRDefault="00322E70" w14:paraId="466089D0" w14:textId="129261F8">
      <w:r w:rsidRPr="00FC2616">
        <w:t xml:space="preserve">Som kompensation för geografiska förhållanden har begreppet glesbygdsmedicin vuxit fram. Det innefattar en rad kunskapsområden och </w:t>
      </w:r>
      <w:r w:rsidR="00D1372E">
        <w:t xml:space="preserve">en </w:t>
      </w:r>
      <w:r w:rsidRPr="00FC2616">
        <w:t>metodutveckling som syftar till att kompensera för avståndsproblematik och upprätthålla den bredare kompetens som är nödvändig då befolkningsunderlaget är litet och avstånden stora. Vård i glesbygd omfattar alla slags sjukdomar, olycksfall, symptom och tecken på ohälsa i en befolk</w:t>
      </w:r>
      <w:r w:rsidR="00BD72EF">
        <w:softHyphen/>
      </w:r>
      <w:r w:rsidRPr="00FC2616">
        <w:t>ning. Att jobba i glesbygd kräver bred medicinsk kunskap med tillämpning i öppenvård, slutenvård och hemsjukvård. Därutöver fordras ingående kunskap om de sociala, psykologiska, ekonomiska, existentiella och samhällsstrukturella villkor som gäller för människor i glesbygd. Det betyder ett utvecklat och fördjupat närvårdskoncept.</w:t>
      </w:r>
    </w:p>
    <w:p w:rsidRPr="00FC2616" w:rsidR="00322E70" w:rsidP="0019629A" w:rsidRDefault="00322E70" w14:paraId="20D5D0A6" w14:textId="14C51D45">
      <w:r w:rsidRPr="00FC2616">
        <w:t xml:space="preserve">Det är således uppenbart att det krävs riktade resursökningar för att utveckla en jämlik vård i hela landet. </w:t>
      </w:r>
      <w:r w:rsidRPr="00FC2616" w:rsidR="00313439">
        <w:t xml:space="preserve">Vi vill använda oss av det kommunala utjämningssystemet för att stärka sjukvården i regioner som har en liten befolkning </w:t>
      </w:r>
      <w:r w:rsidR="00265321">
        <w:t>och</w:t>
      </w:r>
      <w:r w:rsidRPr="00FC2616" w:rsidR="00313439">
        <w:t xml:space="preserve"> stora geografiska avstånd. </w:t>
      </w:r>
      <w:r w:rsidRPr="00FC2616">
        <w:t xml:space="preserve">Resurserna utbetalas då direkt och finansieras helt av staten – utan att någon annan region får </w:t>
      </w:r>
      <w:r w:rsidR="00043657">
        <w:t xml:space="preserve">ett </w:t>
      </w:r>
      <w:r w:rsidRPr="00FC2616">
        <w:t>minskat anslag. Vården kommer alltid att vara mer kostnads</w:t>
      </w:r>
      <w:r w:rsidR="00BD72EF">
        <w:softHyphen/>
      </w:r>
      <w:r w:rsidRPr="00FC2616">
        <w:t xml:space="preserve">krävande i glesbygden, </w:t>
      </w:r>
      <w:r w:rsidR="00543F66">
        <w:t xml:space="preserve">och </w:t>
      </w:r>
      <w:r w:rsidRPr="00FC2616">
        <w:t>därför måste våra gemensamma resurser fördelas efter de förutsättningarna.</w:t>
      </w:r>
    </w:p>
    <w:p w:rsidRPr="00716A01" w:rsidR="00322E70" w:rsidP="00716A01" w:rsidRDefault="00322E70" w14:paraId="45B23730" w14:textId="249C4895">
      <w:pPr>
        <w:pStyle w:val="Normalutanindragellerluft"/>
        <w:spacing w:before="240"/>
        <w:rPr>
          <w:b/>
          <w:bCs/>
        </w:rPr>
      </w:pPr>
      <w:r w:rsidRPr="00716A01">
        <w:rPr>
          <w:b/>
          <w:bCs/>
        </w:rPr>
        <w:t>Vänsterpartiets förslag:</w:t>
      </w:r>
    </w:p>
    <w:p w:rsidRPr="00FC2616" w:rsidR="00322E70" w:rsidP="007152A0" w:rsidRDefault="00C54675" w14:paraId="3E926E96" w14:textId="21565011">
      <w:pPr>
        <w:pStyle w:val="ListaPunkt"/>
        <w:ind w:left="340" w:hanging="340"/>
      </w:pPr>
      <w:bookmarkStart w:name="_Hlk111035549" w:id="118"/>
      <w:r w:rsidRPr="00FC2616">
        <w:t>Vi anslår 1</w:t>
      </w:r>
      <w:r w:rsidR="008F71E3">
        <w:t> </w:t>
      </w:r>
      <w:r w:rsidRPr="00FC2616">
        <w:t xml:space="preserve">miljard kronor i form av </w:t>
      </w:r>
      <w:r w:rsidR="00041C75">
        <w:t xml:space="preserve">ett </w:t>
      </w:r>
      <w:r w:rsidRPr="00FC2616">
        <w:t>generellt statsbidrag</w:t>
      </w:r>
      <w:r w:rsidRPr="00FC2616" w:rsidR="002E676C">
        <w:t xml:space="preserve"> </w:t>
      </w:r>
      <w:r w:rsidRPr="00FC2616">
        <w:t>för</w:t>
      </w:r>
      <w:r w:rsidRPr="00FC2616" w:rsidR="00322E70">
        <w:t xml:space="preserve"> ett glesbygdstillägg inom sjukvården. </w:t>
      </w:r>
      <w:bookmarkEnd w:id="118"/>
      <w:r w:rsidRPr="00FC2616" w:rsidR="009E6573">
        <w:t xml:space="preserve">Detta ersätter regeringens riktade satsning på vård i landsbygden och utökar resurserna till området. </w:t>
      </w:r>
    </w:p>
    <w:p w:rsidRPr="00FC2616" w:rsidR="00322E70" w:rsidP="0019629A" w:rsidRDefault="00322E70" w14:paraId="12A95307" w14:textId="77777777">
      <w:pPr>
        <w:pStyle w:val="Rubrik2numrerat"/>
      </w:pPr>
      <w:bookmarkStart w:name="_Toc111116287" w:id="119"/>
      <w:bookmarkStart w:name="_Toc111475366" w:id="120"/>
      <w:bookmarkStart w:name="_Toc112409791" w:id="121"/>
      <w:bookmarkStart w:name="_Toc149814562" w:id="122"/>
      <w:r w:rsidRPr="00FC2616">
        <w:t>Ökad tillgång till psykologisk behandling</w:t>
      </w:r>
      <w:bookmarkEnd w:id="119"/>
      <w:bookmarkEnd w:id="120"/>
      <w:bookmarkEnd w:id="121"/>
      <w:bookmarkEnd w:id="122"/>
    </w:p>
    <w:p w:rsidRPr="00FC2616" w:rsidR="00322E70" w:rsidP="0019629A" w:rsidRDefault="00322E70" w14:paraId="0EF3A5EF" w14:textId="4BBDC0AC">
      <w:pPr>
        <w:pStyle w:val="Normalutanindragellerluft"/>
      </w:pPr>
      <w:r w:rsidRPr="00FC2616">
        <w:t xml:space="preserve">En fungerande stöttning och vård </w:t>
      </w:r>
      <w:r w:rsidRPr="00FC2616" w:rsidR="0019629A">
        <w:t xml:space="preserve">av psykiska besvär </w:t>
      </w:r>
      <w:r w:rsidRPr="00FC2616">
        <w:t>kan avsevärt minska lidandet och ibland helt lindra en person från psykisk ohälsa. Ändå är psykiatrin ett av sjukvårdens mest eftersatta områden. Fokus ligger ofta på korta behandlingar och tillgången på vård är ojämn mellan regionerna. Ofta får även behövande betala själva vid besök hos privata psykoterapeuter. Vänsterpartiets utgångspunkt är att förebyggande och tidiga insatser behöver kombineras med en adekvat vård som är tillgänglig och jämlik över hela landet.</w:t>
      </w:r>
    </w:p>
    <w:p w:rsidRPr="00FC2616" w:rsidR="00322E70" w:rsidP="0019629A" w:rsidRDefault="00322E70" w14:paraId="6773C7E5" w14:textId="473842D9">
      <w:pPr>
        <w:tabs>
          <w:tab w:val="clear" w:pos="284"/>
        </w:tabs>
      </w:pPr>
      <w:r w:rsidRPr="00FC2616">
        <w:t>Därför måste möjligheter</w:t>
      </w:r>
      <w:r w:rsidR="00E57DD5">
        <w:t>na</w:t>
      </w:r>
      <w:r w:rsidRPr="00FC2616">
        <w:t xml:space="preserve"> till psykologisk behandling kraftigt öka. I Sverige har region Skåne möjliggjort användningen av längre behandlingar om 25 sessioner på regionens bekostnad. Vänsterpartiet menar att detta borde vara ett erbjudande i samtliga regioner. Förslaget innebär att individuellt anpassad psykologisk behandling erbjuds inom primärvården genom remiss, för att på sikt bli en del av regionernas reguljära verksamhet. I grunden handlar detta arbete om att likställa den psykiska och den </w:t>
      </w:r>
      <w:r w:rsidRPr="00FC2616">
        <w:lastRenderedPageBreak/>
        <w:t>somatiska vården och befästa invånarnas rätt till båda. I ett välfärdssamhälle ska inte psykisk stöttning och vård vara en klassfråga.</w:t>
      </w:r>
    </w:p>
    <w:p w:rsidRPr="00E11E9F" w:rsidR="00322E70" w:rsidP="00E11E9F" w:rsidRDefault="00322E70" w14:paraId="5FC882D7" w14:textId="77777777">
      <w:pPr>
        <w:pStyle w:val="Normalutanindragellerluft"/>
        <w:spacing w:before="240"/>
        <w:rPr>
          <w:b/>
          <w:bCs/>
        </w:rPr>
      </w:pPr>
      <w:r w:rsidRPr="00E11E9F">
        <w:rPr>
          <w:b/>
          <w:bCs/>
        </w:rPr>
        <w:t>Vänsterpartiets förslag:</w:t>
      </w:r>
    </w:p>
    <w:p w:rsidRPr="00FC2616" w:rsidR="00322E70" w:rsidP="007152A0" w:rsidRDefault="00322E70" w14:paraId="6A5DDC75" w14:textId="21195015">
      <w:pPr>
        <w:pStyle w:val="ListaPunkt"/>
        <w:ind w:left="340" w:hanging="340"/>
      </w:pPr>
      <w:bookmarkStart w:name="_Hlk111035561" w:id="123"/>
      <w:r w:rsidRPr="00FC2616">
        <w:t>Möjliggör en längre, individuellt anpassad psykologisk behandling inom primärvården genom remiss. Budgetmedel: 1,3</w:t>
      </w:r>
      <w:r w:rsidR="00ED4DB9">
        <w:t> </w:t>
      </w:r>
      <w:r w:rsidRPr="00FC2616">
        <w:t>miljarder kronor.</w:t>
      </w:r>
      <w:r w:rsidRPr="00FC2616">
        <w:rPr>
          <w:rStyle w:val="Fotnotsreferens"/>
        </w:rPr>
        <w:footnoteReference w:id="76"/>
      </w:r>
      <w:bookmarkEnd w:id="123"/>
    </w:p>
    <w:p w:rsidRPr="00FC2616" w:rsidR="00322E70" w:rsidP="0019629A" w:rsidRDefault="00322E70" w14:paraId="2DDF5C6E" w14:textId="77777777">
      <w:pPr>
        <w:pStyle w:val="Rubrik2numrerat"/>
      </w:pPr>
      <w:bookmarkStart w:name="_Toc111116288" w:id="124"/>
      <w:bookmarkStart w:name="_Toc111475367" w:id="125"/>
      <w:bookmarkStart w:name="_Toc112409792" w:id="126"/>
      <w:bookmarkStart w:name="_Toc149814563" w:id="127"/>
      <w:r w:rsidRPr="00FC2616">
        <w:t>Tandvård</w:t>
      </w:r>
      <w:bookmarkEnd w:id="124"/>
      <w:bookmarkEnd w:id="125"/>
      <w:bookmarkEnd w:id="126"/>
      <w:bookmarkEnd w:id="127"/>
    </w:p>
    <w:p w:rsidRPr="00FC2616" w:rsidR="00322E70" w:rsidP="0019629A" w:rsidRDefault="00322E70" w14:paraId="5E5DCB69" w14:textId="6504F5FE">
      <w:pPr>
        <w:pStyle w:val="Normalutanindragellerluft"/>
      </w:pPr>
      <w:r w:rsidRPr="00FC2616">
        <w:t>Tänderna är en del av kroppen och bör ingå i sjukvården. Alla ska ha råd att ha bra tänder, inte bara de som kan betala dyra behandlingar.</w:t>
      </w:r>
    </w:p>
    <w:p w:rsidRPr="00FC2616" w:rsidR="00322E70" w:rsidP="00A01F6F" w:rsidRDefault="00322E70" w14:paraId="0149B5CA" w14:textId="51126A24">
      <w:pPr>
        <w:tabs>
          <w:tab w:val="clear" w:pos="284"/>
        </w:tabs>
      </w:pPr>
      <w:r w:rsidRPr="00FC2616">
        <w:t xml:space="preserve">Sedan tandvårdsmarknaden avreglerades har priserna stigit kraftigt. De höga kostnaderna för undersökning och behandling gör att de som tjänar minst besöker tandläkaren mer sällan eller tvingas </w:t>
      </w:r>
      <w:r w:rsidR="00ED4DB9">
        <w:t xml:space="preserve">att </w:t>
      </w:r>
      <w:r w:rsidRPr="00FC2616">
        <w:t>avstå från tandläkarbesök. De med väldigt låga inkomster har ingen nytta av dagens högkostnadsskydd eftersom det bara gäller kostnader över 3 000 kronor och endast halva kostnaden ersätts. Det har bidragit till att tandhälsa har blivit en klassmarkör.</w:t>
      </w:r>
    </w:p>
    <w:p w:rsidRPr="00FC2616" w:rsidR="00322E70" w:rsidP="00322E70" w:rsidRDefault="00322E70" w14:paraId="03CFA8C7" w14:textId="77777777">
      <w:pPr>
        <w:tabs>
          <w:tab w:val="clear" w:pos="284"/>
        </w:tabs>
      </w:pPr>
      <w:r w:rsidRPr="00FC2616">
        <w:t>Undersökningar visar att sviktande munhälsa påverkar individens förutsättningar på exempelvis arbetsmarknaden.</w:t>
      </w:r>
      <w:r w:rsidRPr="00FC2616">
        <w:rPr>
          <w:rStyle w:val="Fotnotsreferens"/>
        </w:rPr>
        <w:footnoteReference w:id="77"/>
      </w:r>
      <w:r w:rsidRPr="00FC2616">
        <w:t xml:space="preserve"> Det är även dokumenterat att olika slags arbeten leder till ojämlikheter, såsom att industriarbetare som jobbar natt har en sämre munhälsa.</w:t>
      </w:r>
      <w:r w:rsidRPr="00FC2616">
        <w:rPr>
          <w:rStyle w:val="Fotnotsreferens"/>
        </w:rPr>
        <w:footnoteReference w:id="78"/>
      </w:r>
      <w:r w:rsidRPr="00FC2616">
        <w:t xml:space="preserve"> </w:t>
      </w:r>
    </w:p>
    <w:p w:rsidRPr="00FC2616" w:rsidR="00322E70" w:rsidP="00A01F6F" w:rsidRDefault="00322E70" w14:paraId="7092A308" w14:textId="37FBCB3D">
      <w:pPr>
        <w:tabs>
          <w:tab w:val="clear" w:pos="284"/>
        </w:tabs>
      </w:pPr>
      <w:r w:rsidRPr="00FC2616">
        <w:t xml:space="preserve">Vänsterpartiets reformplaner för tandvården i Sverige syftar till ökad jämlikhet, förbättrad tillgänglighet och en bättre generell tandhälsa i befolkningen. En god tandhälsa förebygger allvarlig infektionssjukdom med risk för </w:t>
      </w:r>
      <w:r w:rsidRPr="00FC2616" w:rsidR="001C6DBC">
        <w:t>bl.a.</w:t>
      </w:r>
      <w:r w:rsidRPr="00FC2616">
        <w:t xml:space="preserve"> hjärt-kärlsjukdomar samt allvarliga tandsjukdomar och behandlar vanligt förekommande tandbesvär i syfte att lindra smärta eller öka funktionalitet.</w:t>
      </w:r>
    </w:p>
    <w:p w:rsidRPr="00FC2616" w:rsidR="00322E70" w:rsidP="00A01F6F" w:rsidRDefault="00322E70" w14:paraId="4B47BCE2" w14:textId="3FD6BE0D">
      <w:pPr>
        <w:tabs>
          <w:tab w:val="clear" w:pos="284"/>
        </w:tabs>
      </w:pPr>
      <w:r w:rsidRPr="00FC2616">
        <w:t>Många unga vuxna slutar att besöka tandvården i förebyggande syfte när de inte längre har tillgång till avgiftsfri tandvård. Tack vare Vänsterpartiet höjdes åldersgränsen för fri tandvård till 23</w:t>
      </w:r>
      <w:r w:rsidR="008E1504">
        <w:t> </w:t>
      </w:r>
      <w:r w:rsidRPr="00FC2616">
        <w:t>år från 2019. För personer mellan 23 och 29</w:t>
      </w:r>
      <w:r w:rsidR="008E1504">
        <w:t> </w:t>
      </w:r>
      <w:r w:rsidRPr="00FC2616">
        <w:t>år och för de som har fyllt 65</w:t>
      </w:r>
      <w:r w:rsidR="008E1504">
        <w:t> </w:t>
      </w:r>
      <w:r w:rsidRPr="00FC2616">
        <w:t>år fördubblades tandvårdsbidraget till 600</w:t>
      </w:r>
      <w:r w:rsidR="008E1504">
        <w:t> </w:t>
      </w:r>
      <w:r w:rsidRPr="00FC2616">
        <w:t>kronor. För vuxna mellan 30 och 65</w:t>
      </w:r>
      <w:r w:rsidR="008E1504">
        <w:t> </w:t>
      </w:r>
      <w:r w:rsidRPr="00FC2616">
        <w:t>år höjdes det till 300</w:t>
      </w:r>
      <w:r w:rsidR="008E1504">
        <w:t> </w:t>
      </w:r>
      <w:r w:rsidRPr="00FC2616">
        <w:t>kronor. Men vi behöver göra mycket mer.</w:t>
      </w:r>
    </w:p>
    <w:p w:rsidRPr="00FC2616" w:rsidR="00322E70" w:rsidP="00A01F6F" w:rsidRDefault="00322E70" w14:paraId="21D4EBA7" w14:textId="5D87F9DF">
      <w:pPr>
        <w:tabs>
          <w:tab w:val="clear" w:pos="284"/>
        </w:tabs>
      </w:pPr>
      <w:r w:rsidRPr="00FC2616">
        <w:t>Införandet av ett verkligt högkostnadsskydd inom tandvården skulle ge en betydande fördelningspolitisk effekt. Denna reform efterliknar kostnadsfördelningen inom hälso- och sjukvården. Förslaget innebär att 100 procent av patientens kostnader skulle subven</w:t>
      </w:r>
      <w:r w:rsidR="00E11E9F">
        <w:softHyphen/>
      </w:r>
      <w:r w:rsidRPr="00FC2616">
        <w:t>tioneras över 1 200 kronor per 12-månadersperiod.</w:t>
      </w:r>
      <w:r w:rsidRPr="00FC2616">
        <w:rPr>
          <w:rStyle w:val="Fotnotsreferens"/>
        </w:rPr>
        <w:footnoteReference w:id="79"/>
      </w:r>
      <w:r w:rsidRPr="00FC2616">
        <w:t xml:space="preserve"> Patienternas andel av tandvårds</w:t>
      </w:r>
      <w:r w:rsidR="00E11E9F">
        <w:softHyphen/>
      </w:r>
      <w:r w:rsidRPr="00FC2616">
        <w:t>kostnaderna i det statliga tandvårdsstödet skulle då sjunka från 63</w:t>
      </w:r>
      <w:r w:rsidR="008E1504">
        <w:t> </w:t>
      </w:r>
      <w:r w:rsidRPr="00FC2616">
        <w:t>procent till 33</w:t>
      </w:r>
      <w:r w:rsidR="008E1504">
        <w:t> </w:t>
      </w:r>
      <w:r w:rsidRPr="00FC2616">
        <w:t>procent med denna reform.</w:t>
      </w:r>
    </w:p>
    <w:p w:rsidRPr="00FC2616" w:rsidR="00322E70" w:rsidP="00322E70" w:rsidRDefault="00322E70" w14:paraId="00612D3B" w14:textId="63CD8EC2">
      <w:pPr>
        <w:tabs>
          <w:tab w:val="clear" w:pos="284"/>
        </w:tabs>
      </w:pPr>
      <w:r w:rsidRPr="00FC2616">
        <w:t>Den beräknade kostnaden för reformen utifrån 2023 års prisnivå är 6,5</w:t>
      </w:r>
      <w:r w:rsidR="002F6415">
        <w:t> </w:t>
      </w:r>
      <w:r w:rsidRPr="00FC2616">
        <w:t>miljarder kronor.</w:t>
      </w:r>
      <w:r w:rsidRPr="00FC2616">
        <w:rPr>
          <w:rStyle w:val="Fotnotsreferens"/>
        </w:rPr>
        <w:footnoteReference w:id="80"/>
      </w:r>
      <w:r w:rsidRPr="00FC2616">
        <w:t xml:space="preserve"> För att möjliggöra för tandvården att ställa om och genomföra satsningen i praktiken ska de</w:t>
      </w:r>
      <w:r w:rsidRPr="00FC2616" w:rsidR="00C96458">
        <w:t xml:space="preserve">n införas </w:t>
      </w:r>
      <w:r w:rsidR="002F6415">
        <w:t xml:space="preserve">den </w:t>
      </w:r>
      <w:r w:rsidRPr="00FC2616" w:rsidR="00C96458">
        <w:t xml:space="preserve">första juli 2023 och </w:t>
      </w:r>
      <w:r w:rsidRPr="00FC2616">
        <w:t>trappas upp över en treårsperiod. Det innebär:</w:t>
      </w:r>
    </w:p>
    <w:p w:rsidRPr="00FC2616" w:rsidR="00322E70" w:rsidP="007152A0" w:rsidRDefault="00322E70" w14:paraId="3EF376A0" w14:textId="034F68A1">
      <w:pPr>
        <w:pStyle w:val="ListaPunkt"/>
        <w:ind w:left="340" w:hanging="340"/>
      </w:pPr>
      <w:r w:rsidRPr="00FC2616">
        <w:lastRenderedPageBreak/>
        <w:t xml:space="preserve">2023 – högkostnadsskydd över 2 000 kronor – </w:t>
      </w:r>
      <w:r w:rsidRPr="00FC2616" w:rsidR="00C96458">
        <w:t>2</w:t>
      </w:r>
      <w:r w:rsidRPr="00FC2616">
        <w:t>,</w:t>
      </w:r>
      <w:r w:rsidRPr="00FC2616" w:rsidR="00C96458">
        <w:t>35</w:t>
      </w:r>
      <w:r w:rsidRPr="00FC2616">
        <w:t xml:space="preserve"> miljarder kronor</w:t>
      </w:r>
      <w:r w:rsidRPr="00FC2616">
        <w:rPr>
          <w:rStyle w:val="Fotnotsreferens"/>
        </w:rPr>
        <w:footnoteReference w:id="81"/>
      </w:r>
    </w:p>
    <w:p w:rsidRPr="00FC2616" w:rsidR="00322E70" w:rsidP="007152A0" w:rsidRDefault="00322E70" w14:paraId="1D1AA60E" w14:textId="77777777">
      <w:pPr>
        <w:pStyle w:val="ListaPunkt"/>
        <w:ind w:left="340" w:hanging="340"/>
      </w:pPr>
      <w:r w:rsidRPr="00FC2616">
        <w:t>2024 – högkostnadsskydd över 1 600 kronor – 5,6 miljarder kronor</w:t>
      </w:r>
    </w:p>
    <w:p w:rsidRPr="00FC2616" w:rsidR="00322E70" w:rsidP="007152A0" w:rsidRDefault="00322E70" w14:paraId="226116F8" w14:textId="5FEAA1A2">
      <w:pPr>
        <w:pStyle w:val="ListaPunkt"/>
        <w:ind w:left="340" w:hanging="340"/>
      </w:pPr>
      <w:r w:rsidRPr="00FC2616">
        <w:t>2025 – högkostnadsskydd över 1 200 kronor – 6,5 miljarder kronor</w:t>
      </w:r>
      <w:r w:rsidR="002F6415">
        <w:t>.</w:t>
      </w:r>
    </w:p>
    <w:p w:rsidRPr="00FC2616" w:rsidR="00322E70" w:rsidP="00A01F6F" w:rsidRDefault="00322E70" w14:paraId="78EADD2E" w14:textId="1C87BBE6">
      <w:pPr>
        <w:tabs>
          <w:tab w:val="clear" w:pos="284"/>
        </w:tabs>
        <w:ind w:firstLine="0"/>
      </w:pPr>
      <w:r w:rsidRPr="00FC2616">
        <w:t>Vinsterna med reformen är många. Ett enhetligt system som är lättförståeligt och väl etablerat bland befolkningen, likt det som gäller inom hälso- och sjukvården, ger sannolikt</w:t>
      </w:r>
      <w:r w:rsidR="00CC769B">
        <w:t xml:space="preserve"> en</w:t>
      </w:r>
      <w:r w:rsidRPr="00FC2616">
        <w:t xml:space="preserve"> hög acceptans. Tandhälsa skulle genom denna reform bli en del av den universella svenska välfärdsmodellen och skulle tveklöst innebära en progressiv landvinning. Fördelningseffekten är god eftersom patientandelen av avgiften för tandvård minskar och den skattefinansierade delen ökar.</w:t>
      </w:r>
    </w:p>
    <w:p w:rsidRPr="00E11E9F" w:rsidR="00322E70" w:rsidP="00E11E9F" w:rsidRDefault="00322E70" w14:paraId="1F22A3A1" w14:textId="77777777">
      <w:pPr>
        <w:pStyle w:val="Normalutanindragellerluft"/>
        <w:spacing w:before="240"/>
        <w:rPr>
          <w:b/>
          <w:bCs/>
        </w:rPr>
      </w:pPr>
      <w:r w:rsidRPr="00E11E9F">
        <w:rPr>
          <w:b/>
          <w:bCs/>
        </w:rPr>
        <w:t>Vänsterpartiets förslag:</w:t>
      </w:r>
    </w:p>
    <w:p w:rsidRPr="00FC2616" w:rsidR="00322E70" w:rsidP="007152A0" w:rsidRDefault="00322E70" w14:paraId="0A659CAB" w14:textId="5E04DE14">
      <w:pPr>
        <w:pStyle w:val="ListaPunkt"/>
        <w:ind w:left="340" w:hanging="340"/>
      </w:pPr>
      <w:bookmarkStart w:name="_Hlk111035577" w:id="128"/>
      <w:r w:rsidRPr="00FC2616">
        <w:t>Tandvård bör ingå i sjukvården. Vi vill därför likställa tandvård med övrig hälso- och sjukvård med en beräknad kostnad på 6,5</w:t>
      </w:r>
      <w:r w:rsidR="0039637F">
        <w:t> </w:t>
      </w:r>
      <w:r w:rsidRPr="00FC2616">
        <w:t>miljarder kronor jämfört med dagens system som trappas upp över en treårsperiod.</w:t>
      </w:r>
      <w:bookmarkEnd w:id="98"/>
      <w:bookmarkEnd w:id="107"/>
      <w:bookmarkEnd w:id="128"/>
      <w:r w:rsidRPr="00FC2616" w:rsidR="003E58E2">
        <w:t xml:space="preserve"> Reformen införs </w:t>
      </w:r>
      <w:r w:rsidRPr="00FC2616" w:rsidR="00486C68">
        <w:t xml:space="preserve">från </w:t>
      </w:r>
      <w:r w:rsidR="001F73D7">
        <w:t xml:space="preserve">den </w:t>
      </w:r>
      <w:r w:rsidRPr="00FC2616" w:rsidR="00486C68">
        <w:t xml:space="preserve">första juli 2023 och trappas upp </w:t>
      </w:r>
      <w:r w:rsidRPr="00FC2616" w:rsidR="003E58E2">
        <w:t>stegvi</w:t>
      </w:r>
      <w:r w:rsidRPr="00FC2616" w:rsidR="00486C68">
        <w:t>s. V</w:t>
      </w:r>
      <w:r w:rsidRPr="00FC2616" w:rsidR="003E58E2">
        <w:t>i avsätter 2,35</w:t>
      </w:r>
      <w:r w:rsidR="001F73D7">
        <w:t> </w:t>
      </w:r>
      <w:r w:rsidRPr="00FC2616" w:rsidR="003E58E2">
        <w:t>miljarder</w:t>
      </w:r>
      <w:r w:rsidRPr="00FC2616" w:rsidR="008D3F4F">
        <w:t xml:space="preserve"> kronor</w:t>
      </w:r>
      <w:r w:rsidRPr="00FC2616" w:rsidR="003E58E2">
        <w:t xml:space="preserve"> för ändamålet 2023.</w:t>
      </w:r>
    </w:p>
    <w:p w:rsidRPr="00FC2616" w:rsidR="00807613" w:rsidP="00807613" w:rsidRDefault="00807613" w14:paraId="24B63476" w14:textId="77777777">
      <w:pPr>
        <w:pStyle w:val="Rubrik2numrerat"/>
        <w:rPr>
          <w:lang w:eastAsia="sv-SE"/>
        </w:rPr>
      </w:pPr>
      <w:bookmarkStart w:name="_Toc149814564" w:id="129"/>
      <w:r w:rsidRPr="00FC2616">
        <w:rPr>
          <w:lang w:eastAsia="sv-SE"/>
        </w:rPr>
        <w:t>Förbättrad arbetsmiljö i statlig sektor</w:t>
      </w:r>
      <w:bookmarkEnd w:id="129"/>
    </w:p>
    <w:p w:rsidRPr="00FC2616" w:rsidR="00807613" w:rsidP="00807613" w:rsidRDefault="00807613" w14:paraId="7D07674F" w14:textId="655231F1">
      <w:pPr>
        <w:pStyle w:val="Normalutanindragellerluft"/>
        <w:rPr>
          <w:lang w:eastAsia="sv-SE"/>
        </w:rPr>
      </w:pPr>
      <w:r w:rsidRPr="00FC2616">
        <w:rPr>
          <w:lang w:eastAsia="sv-SE"/>
        </w:rPr>
        <w:t>Sedan början av 1990-talet har arbetslivet blivit alltmer slimmat, med ett högre arbetstempo i kombination med att vissa grupper fått försämrade möjligheter att påverka sin arbetssituation. Det är en av de bärande förklaringarna bakom de ökade sjuktalen och den växande ohälsan i arbetslivet, enligt bl</w:t>
      </w:r>
      <w:r w:rsidRPr="00FC2616" w:rsidR="008D3F4F">
        <w:rPr>
          <w:lang w:eastAsia="sv-SE"/>
        </w:rPr>
        <w:t>.a.</w:t>
      </w:r>
      <w:r w:rsidRPr="00FC2616">
        <w:rPr>
          <w:lang w:eastAsia="sv-SE"/>
        </w:rPr>
        <w:t xml:space="preserve"> Töres Theorell, professor vid Karolinska institutet. Han nämner särskilt kvinnor </w:t>
      </w:r>
      <w:r w:rsidR="00EB436B">
        <w:rPr>
          <w:lang w:eastAsia="sv-SE"/>
        </w:rPr>
        <w:t xml:space="preserve">som är </w:t>
      </w:r>
      <w:r w:rsidRPr="00FC2616">
        <w:rPr>
          <w:lang w:eastAsia="sv-SE"/>
        </w:rPr>
        <w:t>anställda i offentlig sektor.</w:t>
      </w:r>
      <w:r w:rsidRPr="00FC2616">
        <w:rPr>
          <w:rStyle w:val="Fotnotsreferens"/>
          <w:lang w:eastAsia="sv-SE"/>
        </w:rPr>
        <w:footnoteReference w:id="82"/>
      </w:r>
    </w:p>
    <w:p w:rsidRPr="00FC2616" w:rsidR="00807613" w:rsidP="00807613" w:rsidRDefault="00807613" w14:paraId="201336BD" w14:textId="53FB7E0A">
      <w:pPr>
        <w:rPr>
          <w:lang w:eastAsia="sv-SE"/>
        </w:rPr>
      </w:pPr>
      <w:r w:rsidRPr="00FC2616">
        <w:rPr>
          <w:lang w:eastAsia="sv-SE"/>
        </w:rPr>
        <w:t xml:space="preserve">I samband med </w:t>
      </w:r>
      <w:r w:rsidRPr="00FC2616" w:rsidR="008D3F4F">
        <w:rPr>
          <w:lang w:eastAsia="sv-SE"/>
        </w:rPr>
        <w:t>19</w:t>
      </w:r>
      <w:r w:rsidRPr="00FC2616">
        <w:rPr>
          <w:lang w:eastAsia="sv-SE"/>
        </w:rPr>
        <w:t>90-talskrisen infördes en ny modell för att beräkna årliga kostnadsökningar i stadsbudgeten. Pris- och löneomräkningsmodellen, som den kallas, innebär att statens kostnad för priser och löner räknas upp automatiskt och följer utvecklingen i andra sektorer. Modellen innehåller ett s</w:t>
      </w:r>
      <w:r w:rsidRPr="00FC2616" w:rsidR="008D3F4F">
        <w:rPr>
          <w:lang w:eastAsia="sv-SE"/>
        </w:rPr>
        <w:t>.</w:t>
      </w:r>
      <w:r w:rsidRPr="00FC2616">
        <w:rPr>
          <w:lang w:eastAsia="sv-SE"/>
        </w:rPr>
        <w:t>k</w:t>
      </w:r>
      <w:r w:rsidRPr="00FC2616" w:rsidR="008D3F4F">
        <w:rPr>
          <w:lang w:eastAsia="sv-SE"/>
        </w:rPr>
        <w:t>.</w:t>
      </w:r>
      <w:r w:rsidRPr="00FC2616">
        <w:rPr>
          <w:lang w:eastAsia="sv-SE"/>
        </w:rPr>
        <w:t xml:space="preserve"> produktivitetsavdrag – en årlig generell besparing i statsförvaltningen. Avdraget syftar till att öka förändrings</w:t>
      </w:r>
      <w:r w:rsidR="00E11E9F">
        <w:rPr>
          <w:lang w:eastAsia="sv-SE"/>
        </w:rPr>
        <w:softHyphen/>
      </w:r>
      <w:r w:rsidRPr="00FC2616">
        <w:rPr>
          <w:lang w:eastAsia="sv-SE"/>
        </w:rPr>
        <w:t>takten i staten och därmed produktiviteten. Tanken är att staten ska följa näringslivets produktivitetsökning, göra samma effektiviseringar och styras med samma prioriter</w:t>
      </w:r>
      <w:r w:rsidR="00E11E9F">
        <w:rPr>
          <w:lang w:eastAsia="sv-SE"/>
        </w:rPr>
        <w:softHyphen/>
      </w:r>
      <w:r w:rsidRPr="00FC2616">
        <w:rPr>
          <w:lang w:eastAsia="sv-SE"/>
        </w:rPr>
        <w:t xml:space="preserve">ingar som ett privat vinstdrivande företag. Produktivitetsavdraget är därmed ytterligare en del av den nyliberala ekonomiska politik som fick stort genomslag under </w:t>
      </w:r>
      <w:r w:rsidRPr="00FC2616" w:rsidR="008D3F4F">
        <w:rPr>
          <w:lang w:eastAsia="sv-SE"/>
        </w:rPr>
        <w:t>19</w:t>
      </w:r>
      <w:r w:rsidRPr="00FC2616">
        <w:rPr>
          <w:lang w:eastAsia="sv-SE"/>
        </w:rPr>
        <w:t xml:space="preserve">90-talet, där offentlig verksamhet alltmer kom att styras utifrån näringslivets principer, med bristande offentlig service som följd. I takt med insikten att staten inte är ett företag och att offentlig verksamhet styrs av en annan logik än näringslivet, har </w:t>
      </w:r>
      <w:r w:rsidRPr="00FC2616" w:rsidR="008D3F4F">
        <w:rPr>
          <w:lang w:eastAsia="sv-SE"/>
        </w:rPr>
        <w:t>19</w:t>
      </w:r>
      <w:r w:rsidRPr="00FC2616">
        <w:rPr>
          <w:lang w:eastAsia="sv-SE"/>
        </w:rPr>
        <w:t>90-talspolitiken kommit att ifrågasättas alltmer.</w:t>
      </w:r>
    </w:p>
    <w:p w:rsidRPr="00FC2616" w:rsidR="00807613" w:rsidP="00807613" w:rsidRDefault="00807613" w14:paraId="1C27C003" w14:textId="721F2324">
      <w:pPr>
        <w:rPr>
          <w:lang w:eastAsia="sv-SE"/>
        </w:rPr>
      </w:pPr>
      <w:r w:rsidRPr="00FC2616">
        <w:rPr>
          <w:lang w:eastAsia="sv-SE"/>
        </w:rPr>
        <w:t>Vänsterpartiet anser att dagens modell för pris- och löneomräkning har stora brister, särskilt vad gäller löneomräkningen. Olika verksamheter har mycket olika förutsätt</w:t>
      </w:r>
      <w:r w:rsidR="00E11E9F">
        <w:rPr>
          <w:lang w:eastAsia="sv-SE"/>
        </w:rPr>
        <w:softHyphen/>
      </w:r>
      <w:r w:rsidRPr="00FC2616">
        <w:rPr>
          <w:lang w:eastAsia="sv-SE"/>
        </w:rPr>
        <w:t>ningar för att klara av en årlig effektivisering, varför det uppstår ett ständigt och svårhanterat sparbeting. Detta skapar press på arbetsförhållandena och riskerar att undergräva kvalitet</w:t>
      </w:r>
      <w:r w:rsidR="002352C3">
        <w:rPr>
          <w:lang w:eastAsia="sv-SE"/>
        </w:rPr>
        <w:t>en</w:t>
      </w:r>
      <w:r w:rsidRPr="00FC2616">
        <w:rPr>
          <w:lang w:eastAsia="sv-SE"/>
        </w:rPr>
        <w:t xml:space="preserve"> och professionalitet</w:t>
      </w:r>
      <w:r w:rsidR="002352C3">
        <w:rPr>
          <w:lang w:eastAsia="sv-SE"/>
        </w:rPr>
        <w:t>en</w:t>
      </w:r>
      <w:r w:rsidRPr="00FC2616">
        <w:rPr>
          <w:lang w:eastAsia="sv-SE"/>
        </w:rPr>
        <w:t xml:space="preserve"> i de statliga verksamheterna. </w:t>
      </w:r>
    </w:p>
    <w:p w:rsidRPr="00FC2616" w:rsidR="00807613" w:rsidP="00807613" w:rsidRDefault="00807613" w14:paraId="3BFDF447" w14:textId="486DE642">
      <w:pPr>
        <w:rPr>
          <w:lang w:eastAsia="sv-SE"/>
        </w:rPr>
      </w:pPr>
      <w:r w:rsidRPr="00FC2616">
        <w:rPr>
          <w:lang w:eastAsia="sv-SE"/>
        </w:rPr>
        <w:t xml:space="preserve">Fackförbundet ST, som organiserar tjänstemän inom statlig verksamhet, har analyserat effekterna av produktivitetsavdraget sedan det infördes 1994. Enligt deras beräkningar har det lett till en urholkning av lönekostnadsanslagen med motsvarande </w:t>
      </w:r>
      <w:r w:rsidRPr="00FC2616">
        <w:rPr>
          <w:lang w:eastAsia="sv-SE"/>
        </w:rPr>
        <w:lastRenderedPageBreak/>
        <w:t>44</w:t>
      </w:r>
      <w:r w:rsidR="00D307AF">
        <w:rPr>
          <w:lang w:eastAsia="sv-SE"/>
        </w:rPr>
        <w:t> </w:t>
      </w:r>
      <w:r w:rsidRPr="00FC2616">
        <w:rPr>
          <w:lang w:eastAsia="sv-SE"/>
        </w:rPr>
        <w:t>procent eller ca</w:t>
      </w:r>
      <w:r w:rsidR="00D307AF">
        <w:rPr>
          <w:lang w:eastAsia="sv-SE"/>
        </w:rPr>
        <w:t> </w:t>
      </w:r>
      <w:r w:rsidRPr="00FC2616">
        <w:rPr>
          <w:lang w:eastAsia="sv-SE"/>
        </w:rPr>
        <w:t>62</w:t>
      </w:r>
      <w:r w:rsidR="00D307AF">
        <w:rPr>
          <w:lang w:eastAsia="sv-SE"/>
        </w:rPr>
        <w:t> </w:t>
      </w:r>
      <w:r w:rsidRPr="00FC2616">
        <w:rPr>
          <w:lang w:eastAsia="sv-SE"/>
        </w:rPr>
        <w:t>miljarder kronor per år inom statlig sektor sedan 1994.</w:t>
      </w:r>
      <w:r w:rsidRPr="00FC2616" w:rsidR="00E9286A">
        <w:rPr>
          <w:rStyle w:val="Fotnotsreferens"/>
          <w:lang w:eastAsia="sv-SE"/>
        </w:rPr>
        <w:footnoteReference w:id="83"/>
      </w:r>
      <w:r w:rsidRPr="00FC2616">
        <w:rPr>
          <w:lang w:eastAsia="sv-SE"/>
        </w:rPr>
        <w:t xml:space="preserve"> Enligt ST:s bedömningar har det inte påverkat lönenivåerna för statliga tjänstemän utan troligen bidragit till att antalet sysselsatta i sektorn har halkat efter, i jämförelse med privat sektor. Enligt ST skulle andelen anställda i statlig förvaltning ha varit 31</w:t>
      </w:r>
      <w:r w:rsidR="00D307AF">
        <w:rPr>
          <w:lang w:eastAsia="sv-SE"/>
        </w:rPr>
        <w:t> </w:t>
      </w:r>
      <w:r w:rsidRPr="00FC2616">
        <w:rPr>
          <w:lang w:eastAsia="sv-SE"/>
        </w:rPr>
        <w:t>procent högre 2020 om produktivitetsutvecklingen hade skett i samma takt som i privat sektor. Det motsvarar ca</w:t>
      </w:r>
      <w:r w:rsidR="00D307AF">
        <w:rPr>
          <w:lang w:eastAsia="sv-SE"/>
        </w:rPr>
        <w:t> </w:t>
      </w:r>
      <w:r w:rsidRPr="00FC2616">
        <w:rPr>
          <w:lang w:eastAsia="sv-SE"/>
        </w:rPr>
        <w:t>54</w:t>
      </w:r>
      <w:r w:rsidR="00D307AF">
        <w:rPr>
          <w:lang w:eastAsia="sv-SE"/>
        </w:rPr>
        <w:t> </w:t>
      </w:r>
      <w:r w:rsidRPr="00FC2616">
        <w:rPr>
          <w:lang w:eastAsia="sv-SE"/>
        </w:rPr>
        <w:t>miljarder kronor, eller 76</w:t>
      </w:r>
      <w:r w:rsidRPr="00FC2616" w:rsidR="004F4B0C">
        <w:rPr>
          <w:lang w:eastAsia="sv-SE"/>
        </w:rPr>
        <w:t> </w:t>
      </w:r>
      <w:r w:rsidRPr="00FC2616">
        <w:rPr>
          <w:lang w:eastAsia="sv-SE"/>
        </w:rPr>
        <w:t>000 jobb.</w:t>
      </w:r>
    </w:p>
    <w:p w:rsidRPr="00FC2616" w:rsidR="00807613" w:rsidP="002E676C" w:rsidRDefault="00807613" w14:paraId="3BF60540" w14:textId="04034AAC">
      <w:pPr>
        <w:rPr>
          <w:lang w:eastAsia="sv-SE"/>
        </w:rPr>
      </w:pPr>
      <w:r w:rsidRPr="00FC2616">
        <w:rPr>
          <w:lang w:eastAsia="sv-SE"/>
        </w:rPr>
        <w:t xml:space="preserve">Om inte produktivitetsavdraget hade funnits skulle lönekostnadsanslagen till myndigheterna </w:t>
      </w:r>
      <w:r w:rsidR="00F83E6B">
        <w:rPr>
          <w:lang w:eastAsia="sv-SE"/>
        </w:rPr>
        <w:t xml:space="preserve">ha </w:t>
      </w:r>
      <w:r w:rsidRPr="00FC2616">
        <w:rPr>
          <w:lang w:eastAsia="sv-SE"/>
        </w:rPr>
        <w:t>var</w:t>
      </w:r>
      <w:r w:rsidR="00F83E6B">
        <w:rPr>
          <w:lang w:eastAsia="sv-SE"/>
        </w:rPr>
        <w:t>it</w:t>
      </w:r>
      <w:r w:rsidRPr="00FC2616">
        <w:rPr>
          <w:lang w:eastAsia="sv-SE"/>
        </w:rPr>
        <w:t xml:space="preserve"> 53</w:t>
      </w:r>
      <w:r w:rsidR="00D307AF">
        <w:rPr>
          <w:lang w:eastAsia="sv-SE"/>
        </w:rPr>
        <w:t> </w:t>
      </w:r>
      <w:r w:rsidRPr="00FC2616">
        <w:rPr>
          <w:lang w:eastAsia="sv-SE"/>
        </w:rPr>
        <w:t>procent högre 2026. Enligt ST:s prognos kommer skillnaden i andelen anställda mellan privat sektor och statlig förvaltning växa till 37</w:t>
      </w:r>
      <w:r w:rsidR="00D307AF">
        <w:rPr>
          <w:lang w:eastAsia="sv-SE"/>
        </w:rPr>
        <w:t> </w:t>
      </w:r>
      <w:r w:rsidRPr="00FC2616">
        <w:rPr>
          <w:lang w:eastAsia="sv-SE"/>
        </w:rPr>
        <w:t>procent år 2026. Det motsvarar 100</w:t>
      </w:r>
      <w:r w:rsidRPr="00FC2616" w:rsidR="004F4B0C">
        <w:rPr>
          <w:lang w:eastAsia="sv-SE"/>
        </w:rPr>
        <w:t> </w:t>
      </w:r>
      <w:r w:rsidRPr="00FC2616">
        <w:rPr>
          <w:lang w:eastAsia="sv-SE"/>
        </w:rPr>
        <w:t>000 färre anställda inom statlig sektor, i jämförelse med utvecklingen i privat sektor.</w:t>
      </w:r>
    </w:p>
    <w:p w:rsidRPr="00FC2616" w:rsidR="00807613" w:rsidP="00807613" w:rsidRDefault="00807613" w14:paraId="429EF98F" w14:textId="5E41DC98">
      <w:pPr>
        <w:rPr>
          <w:lang w:eastAsia="sv-SE"/>
        </w:rPr>
      </w:pPr>
      <w:r w:rsidRPr="00FC2616">
        <w:rPr>
          <w:lang w:eastAsia="sv-SE"/>
        </w:rPr>
        <w:t xml:space="preserve">Vänsterpartiet anser att produktivitetsavdraget bör avskaffas </w:t>
      </w:r>
      <w:r w:rsidRPr="00FC2616" w:rsidR="00B73EDB">
        <w:rPr>
          <w:lang w:eastAsia="sv-SE"/>
        </w:rPr>
        <w:t>från och med 2024</w:t>
      </w:r>
      <w:r w:rsidRPr="00FC2616">
        <w:rPr>
          <w:lang w:eastAsia="sv-SE"/>
        </w:rPr>
        <w:t xml:space="preserve"> och att pris- och löneomräkningsmodellen bör ses över. I en sådan översyn bör andra modeller för att stärka effektiviteten inom statlig sektor undersökas. Ett slopat produktivitetsavdrag skulle öka de statliga utgifterna med omkring 2,1</w:t>
      </w:r>
      <w:r w:rsidR="00966769">
        <w:rPr>
          <w:lang w:eastAsia="sv-SE"/>
        </w:rPr>
        <w:t> </w:t>
      </w:r>
      <w:r w:rsidRPr="00FC2616">
        <w:rPr>
          <w:lang w:eastAsia="sv-SE"/>
        </w:rPr>
        <w:t>miljarder kronor per år.</w:t>
      </w:r>
      <w:r w:rsidRPr="00FC2616" w:rsidR="00E9286A">
        <w:rPr>
          <w:rStyle w:val="Fotnotsreferens"/>
          <w:lang w:eastAsia="sv-SE"/>
        </w:rPr>
        <w:footnoteReference w:id="84"/>
      </w:r>
      <w:r w:rsidRPr="00FC2616">
        <w:rPr>
          <w:lang w:eastAsia="sv-SE"/>
        </w:rPr>
        <w:t xml:space="preserve"> Den exakta effekten av att slopa produktivitetsavdraget är svår att beräkna eftersom den beror på faktorer som är svåra att förutspå som produktivitets- och löneutvecklingen samt utkomsten av den översyn av pris- och löneomräkningsmodellen som vi vill se.</w:t>
      </w:r>
    </w:p>
    <w:p w:rsidRPr="00E11E9F" w:rsidR="00F76E96" w:rsidP="00E11E9F" w:rsidRDefault="00F76E96" w14:paraId="654B8D00" w14:textId="10CE60D6">
      <w:pPr>
        <w:pStyle w:val="Normalutanindragellerluft"/>
        <w:spacing w:before="240"/>
        <w:rPr>
          <w:b/>
          <w:bCs/>
          <w:lang w:eastAsia="sv-SE"/>
        </w:rPr>
      </w:pPr>
      <w:r w:rsidRPr="00E11E9F">
        <w:rPr>
          <w:b/>
          <w:bCs/>
          <w:lang w:eastAsia="sv-SE"/>
        </w:rPr>
        <w:t>Vänsterpartiets förslag:</w:t>
      </w:r>
    </w:p>
    <w:p w:rsidRPr="00FC2616" w:rsidR="0005239A" w:rsidP="00E11E9F" w:rsidRDefault="00F76E96" w14:paraId="12CBE07F" w14:textId="29FE1A84">
      <w:pPr>
        <w:pStyle w:val="ListaPunkt"/>
        <w:ind w:left="340" w:hanging="340"/>
        <w:rPr>
          <w:lang w:eastAsia="sv-SE"/>
        </w:rPr>
      </w:pPr>
      <w:r w:rsidRPr="00FC2616">
        <w:rPr>
          <w:lang w:eastAsia="sv-SE"/>
        </w:rPr>
        <w:t>Produktivitetsavdraget avskaffas</w:t>
      </w:r>
      <w:r w:rsidRPr="00FC2616" w:rsidR="00B73EDB">
        <w:rPr>
          <w:lang w:eastAsia="sv-SE"/>
        </w:rPr>
        <w:t xml:space="preserve"> 2024</w:t>
      </w:r>
      <w:r w:rsidRPr="00FC2616">
        <w:rPr>
          <w:lang w:eastAsia="sv-SE"/>
        </w:rPr>
        <w:t xml:space="preserve">, </w:t>
      </w:r>
      <w:r w:rsidR="00AB4D98">
        <w:rPr>
          <w:lang w:eastAsia="sv-SE"/>
        </w:rPr>
        <w:t xml:space="preserve">och </w:t>
      </w:r>
      <w:r w:rsidRPr="00FC2616">
        <w:rPr>
          <w:lang w:eastAsia="sv-SE"/>
        </w:rPr>
        <w:t>pris- och löneomräkningsmodellen ses över.</w:t>
      </w:r>
    </w:p>
    <w:p w:rsidRPr="00FC2616" w:rsidR="006624E1" w:rsidP="006624E1" w:rsidRDefault="009E577F" w14:paraId="6CF8A2CE" w14:textId="5796B751">
      <w:pPr>
        <w:pStyle w:val="Rubrik2numrerat"/>
        <w:rPr>
          <w:lang w:eastAsia="sv-SE"/>
        </w:rPr>
      </w:pPr>
      <w:bookmarkStart w:name="_Toc149814565" w:id="130"/>
      <w:r w:rsidRPr="00FC2616">
        <w:rPr>
          <w:lang w:eastAsia="sv-SE"/>
        </w:rPr>
        <w:t xml:space="preserve">Stärk Sveriges kommuner och regioner </w:t>
      </w:r>
      <w:r w:rsidRPr="00FC2616" w:rsidR="006624E1">
        <w:rPr>
          <w:lang w:eastAsia="sv-SE"/>
        </w:rPr>
        <w:t>–</w:t>
      </w:r>
      <w:r w:rsidRPr="00FC2616">
        <w:rPr>
          <w:lang w:eastAsia="sv-SE"/>
        </w:rPr>
        <w:t xml:space="preserve"> reformtabell</w:t>
      </w:r>
      <w:bookmarkEnd w:id="130"/>
    </w:p>
    <w:p w:rsidRPr="00FC2616" w:rsidR="006624E1" w:rsidP="006624E1" w:rsidRDefault="006624E1" w14:paraId="74A1F49F" w14:textId="151A7579">
      <w:pPr>
        <w:pStyle w:val="Normalutanindragellerluft"/>
        <w:rPr>
          <w:lang w:eastAsia="sv-SE"/>
        </w:rPr>
      </w:pPr>
      <w:r w:rsidRPr="00FC2616">
        <w:rPr>
          <w:lang w:eastAsia="sv-SE"/>
        </w:rPr>
        <w:t>Sveriges kommuner och regioner står inför två stora utmaningar. Det handlar dels om</w:t>
      </w:r>
      <w:r w:rsidR="00F50EF8">
        <w:rPr>
          <w:lang w:eastAsia="sv-SE"/>
        </w:rPr>
        <w:t xml:space="preserve"> </w:t>
      </w:r>
      <w:r w:rsidRPr="00FC2616">
        <w:rPr>
          <w:lang w:eastAsia="sv-SE"/>
        </w:rPr>
        <w:t xml:space="preserve">resursbrist, dels om stora rekryteringsbehov. </w:t>
      </w:r>
      <w:r w:rsidRPr="00FC2616" w:rsidR="00DF2560">
        <w:rPr>
          <w:lang w:eastAsia="sv-SE"/>
        </w:rPr>
        <w:t xml:space="preserve">Sammantaget måste vi tyvärr konstatera att regeringen inte tillför tillräckligt med resurser till Sveriges kommuner och regioner för att de ens ska kunna upprätthålla sin nuvarande och nedbantade bemanning. </w:t>
      </w:r>
      <w:r w:rsidRPr="00FC2616">
        <w:rPr>
          <w:lang w:eastAsia="sv-SE"/>
        </w:rPr>
        <w:t>Vänster</w:t>
      </w:r>
      <w:r w:rsidR="00E11E9F">
        <w:rPr>
          <w:lang w:eastAsia="sv-SE"/>
        </w:rPr>
        <w:softHyphen/>
      </w:r>
      <w:r w:rsidRPr="00FC2616">
        <w:rPr>
          <w:lang w:eastAsia="sv-SE"/>
        </w:rPr>
        <w:t xml:space="preserve">partiet redovisar i denna motion ett </w:t>
      </w:r>
      <w:r w:rsidRPr="00FC2616" w:rsidR="00DF2560">
        <w:rPr>
          <w:lang w:eastAsia="sv-SE"/>
        </w:rPr>
        <w:t>kraftfullt</w:t>
      </w:r>
      <w:r w:rsidRPr="00FC2616">
        <w:rPr>
          <w:lang w:eastAsia="sv-SE"/>
        </w:rPr>
        <w:t xml:space="preserve"> paket för att stärka välfärden.</w:t>
      </w:r>
    </w:p>
    <w:p w:rsidRPr="00FC2616" w:rsidR="006624E1" w:rsidP="00F50EF8" w:rsidRDefault="006624E1" w14:paraId="11595CD2" w14:textId="6994F735">
      <w:pPr>
        <w:rPr>
          <w:lang w:eastAsia="sv-SE"/>
        </w:rPr>
      </w:pPr>
      <w:r w:rsidRPr="00FC2616">
        <w:rPr>
          <w:lang w:eastAsia="sv-SE"/>
        </w:rPr>
        <w:t>Det är anmärkningsvärt att regeringen i budgetpropositionen endast skjuter till 6</w:t>
      </w:r>
      <w:r w:rsidR="00377CEB">
        <w:rPr>
          <w:lang w:eastAsia="sv-SE"/>
        </w:rPr>
        <w:t> </w:t>
      </w:r>
      <w:r w:rsidRPr="00FC2616">
        <w:rPr>
          <w:lang w:eastAsia="sv-SE"/>
        </w:rPr>
        <w:t>miljarder kronor i generella statsbidrag</w:t>
      </w:r>
      <w:r w:rsidRPr="00FC2616" w:rsidR="00DF2560">
        <w:rPr>
          <w:lang w:eastAsia="sv-SE"/>
        </w:rPr>
        <w:t xml:space="preserve"> till kommuner och regioner</w:t>
      </w:r>
      <w:r w:rsidRPr="00FC2616">
        <w:rPr>
          <w:lang w:eastAsia="sv-SE"/>
        </w:rPr>
        <w:t xml:space="preserve">. Regeringen tillför också kommunsektorn en del resurser via riktade statsbidrag, främst till sjukvården. Det är naturligtvis bra att regionerna får dessa medel, men </w:t>
      </w:r>
      <w:r w:rsidRPr="00FC2616" w:rsidR="006C7047">
        <w:rPr>
          <w:lang w:eastAsia="sv-SE"/>
        </w:rPr>
        <w:t>Vänsterpartiet menar att generella statsbidrag har en större förutsättning att användas effektivt i verksamheterna</w:t>
      </w:r>
      <w:r w:rsidRPr="00FC2616">
        <w:rPr>
          <w:lang w:eastAsia="sv-SE"/>
        </w:rPr>
        <w:t xml:space="preserve">. </w:t>
      </w:r>
    </w:p>
    <w:p w:rsidRPr="00FC2616" w:rsidR="006624E1" w:rsidP="00CF0EF1" w:rsidRDefault="006624E1" w14:paraId="2E915681" w14:textId="64580857">
      <w:pPr>
        <w:rPr>
          <w:lang w:eastAsia="sv-SE"/>
        </w:rPr>
      </w:pPr>
      <w:r w:rsidRPr="00FC2616">
        <w:rPr>
          <w:lang w:eastAsia="sv-SE"/>
        </w:rPr>
        <w:t xml:space="preserve">Vänsterpartiet gör </w:t>
      </w:r>
      <w:r w:rsidRPr="00FC2616" w:rsidR="002E085A">
        <w:rPr>
          <w:lang w:eastAsia="sv-SE"/>
        </w:rPr>
        <w:t>en tydlig ekonomisk</w:t>
      </w:r>
      <w:r w:rsidRPr="00FC2616">
        <w:rPr>
          <w:lang w:eastAsia="sv-SE"/>
        </w:rPr>
        <w:t xml:space="preserve"> prioritering. </w:t>
      </w:r>
      <w:r w:rsidRPr="00FC2616" w:rsidR="001530F4">
        <w:rPr>
          <w:lang w:eastAsia="sv-SE"/>
        </w:rPr>
        <w:t xml:space="preserve">Vi avvisar regeringens prestationsbundna och riktade insatser till sjukvården. </w:t>
      </w:r>
      <w:r w:rsidRPr="00FC2616">
        <w:rPr>
          <w:lang w:eastAsia="sv-SE"/>
        </w:rPr>
        <w:t xml:space="preserve">Utöver regeringens </w:t>
      </w:r>
      <w:r w:rsidRPr="00FC2616" w:rsidR="002E085A">
        <w:rPr>
          <w:lang w:eastAsia="sv-SE"/>
        </w:rPr>
        <w:t>6</w:t>
      </w:r>
      <w:r w:rsidR="00FF563B">
        <w:rPr>
          <w:lang w:eastAsia="sv-SE"/>
        </w:rPr>
        <w:t> </w:t>
      </w:r>
      <w:r w:rsidRPr="00FC2616">
        <w:rPr>
          <w:lang w:eastAsia="sv-SE"/>
        </w:rPr>
        <w:t>miljarder</w:t>
      </w:r>
      <w:r w:rsidRPr="00FC2616" w:rsidR="00C81920">
        <w:rPr>
          <w:lang w:eastAsia="sv-SE"/>
        </w:rPr>
        <w:t xml:space="preserve"> </w:t>
      </w:r>
      <w:r w:rsidRPr="00FC2616" w:rsidR="004F4B0C">
        <w:rPr>
          <w:lang w:eastAsia="sv-SE"/>
        </w:rPr>
        <w:t xml:space="preserve">kronor </w:t>
      </w:r>
      <w:r w:rsidRPr="00FC2616" w:rsidR="00C81920">
        <w:rPr>
          <w:lang w:eastAsia="sv-SE"/>
        </w:rPr>
        <w:t xml:space="preserve">i generella statsbidrag </w:t>
      </w:r>
      <w:r w:rsidRPr="00FC2616">
        <w:rPr>
          <w:lang w:eastAsia="sv-SE"/>
        </w:rPr>
        <w:t xml:space="preserve">tillför vi kommunsektorn </w:t>
      </w:r>
      <w:r w:rsidRPr="00FC2616" w:rsidR="00C81920">
        <w:rPr>
          <w:lang w:eastAsia="sv-SE"/>
        </w:rPr>
        <w:t>2</w:t>
      </w:r>
      <w:r w:rsidRPr="00FC2616" w:rsidR="002E085A">
        <w:rPr>
          <w:lang w:eastAsia="sv-SE"/>
        </w:rPr>
        <w:t>4</w:t>
      </w:r>
      <w:r w:rsidR="00FF563B">
        <w:rPr>
          <w:lang w:eastAsia="sv-SE"/>
        </w:rPr>
        <w:t> </w:t>
      </w:r>
      <w:r w:rsidRPr="00FC2616">
        <w:rPr>
          <w:lang w:eastAsia="sv-SE"/>
        </w:rPr>
        <w:t>miljarder kronor i generella statsbidrag för 202</w:t>
      </w:r>
      <w:r w:rsidRPr="00FC2616" w:rsidR="002E085A">
        <w:rPr>
          <w:lang w:eastAsia="sv-SE"/>
        </w:rPr>
        <w:t>3</w:t>
      </w:r>
      <w:r w:rsidRPr="00FC2616">
        <w:rPr>
          <w:lang w:eastAsia="sv-SE"/>
        </w:rPr>
        <w:t>. Vi</w:t>
      </w:r>
      <w:r w:rsidRPr="00FC2616" w:rsidR="00C81920">
        <w:rPr>
          <w:lang w:eastAsia="sv-SE"/>
        </w:rPr>
        <w:t xml:space="preserve"> </w:t>
      </w:r>
      <w:r w:rsidRPr="00FC2616">
        <w:rPr>
          <w:lang w:eastAsia="sv-SE"/>
        </w:rPr>
        <w:t>ser också att det finns stora eftersatta investeringsbehov i kommuner och regioner.</w:t>
      </w:r>
      <w:r w:rsidRPr="00FC2616" w:rsidR="00C81920">
        <w:rPr>
          <w:lang w:eastAsia="sv-SE"/>
        </w:rPr>
        <w:t xml:space="preserve"> </w:t>
      </w:r>
      <w:r w:rsidRPr="00FC2616">
        <w:rPr>
          <w:lang w:eastAsia="sv-SE"/>
        </w:rPr>
        <w:t>Därför föreslår vi att ett särskilt investeringsstöd för samhälls</w:t>
      </w:r>
      <w:r w:rsidR="00E11E9F">
        <w:rPr>
          <w:lang w:eastAsia="sv-SE"/>
        </w:rPr>
        <w:softHyphen/>
      </w:r>
      <w:r w:rsidRPr="00FC2616">
        <w:rPr>
          <w:lang w:eastAsia="sv-SE"/>
        </w:rPr>
        <w:t>fastigheter införs. Vi</w:t>
      </w:r>
      <w:r w:rsidRPr="00FC2616" w:rsidR="00C81920">
        <w:rPr>
          <w:lang w:eastAsia="sv-SE"/>
        </w:rPr>
        <w:t xml:space="preserve"> </w:t>
      </w:r>
      <w:r w:rsidRPr="00FC2616">
        <w:rPr>
          <w:lang w:eastAsia="sv-SE"/>
        </w:rPr>
        <w:t xml:space="preserve">avsätter </w:t>
      </w:r>
      <w:r w:rsidRPr="00FC2616" w:rsidR="00D04C63">
        <w:rPr>
          <w:lang w:eastAsia="sv-SE"/>
        </w:rPr>
        <w:t>2</w:t>
      </w:r>
      <w:r w:rsidR="002A58BE">
        <w:rPr>
          <w:lang w:eastAsia="sv-SE"/>
        </w:rPr>
        <w:t> </w:t>
      </w:r>
      <w:r w:rsidRPr="00FC2616">
        <w:rPr>
          <w:lang w:eastAsia="sv-SE"/>
        </w:rPr>
        <w:t>miljarder kronor för detta under 202</w:t>
      </w:r>
      <w:r w:rsidRPr="00FC2616" w:rsidR="00D04C63">
        <w:rPr>
          <w:lang w:eastAsia="sv-SE"/>
        </w:rPr>
        <w:t>3</w:t>
      </w:r>
      <w:r w:rsidRPr="00FC2616">
        <w:rPr>
          <w:lang w:eastAsia="sv-SE"/>
        </w:rPr>
        <w:t xml:space="preserve"> och </w:t>
      </w:r>
      <w:r w:rsidRPr="00FC2616" w:rsidR="00D04C63">
        <w:rPr>
          <w:lang w:eastAsia="sv-SE"/>
        </w:rPr>
        <w:t xml:space="preserve">ökar med </w:t>
      </w:r>
      <w:r w:rsidRPr="00FC2616" w:rsidR="004F4B0C">
        <w:rPr>
          <w:lang w:eastAsia="sv-SE"/>
        </w:rPr>
        <w:t>1</w:t>
      </w:r>
      <w:r w:rsidR="002A58BE">
        <w:rPr>
          <w:lang w:eastAsia="sv-SE"/>
        </w:rPr>
        <w:t> </w:t>
      </w:r>
      <w:r w:rsidRPr="00FC2616">
        <w:rPr>
          <w:lang w:eastAsia="sv-SE"/>
        </w:rPr>
        <w:t>miljard kronor per år 202</w:t>
      </w:r>
      <w:r w:rsidRPr="00FC2616" w:rsidR="00D04C63">
        <w:rPr>
          <w:lang w:eastAsia="sv-SE"/>
        </w:rPr>
        <w:t>4</w:t>
      </w:r>
      <w:r w:rsidRPr="00FC2616">
        <w:rPr>
          <w:lang w:eastAsia="sv-SE"/>
        </w:rPr>
        <w:t>–202</w:t>
      </w:r>
      <w:r w:rsidRPr="00FC2616" w:rsidR="00D04C63">
        <w:rPr>
          <w:lang w:eastAsia="sv-SE"/>
        </w:rPr>
        <w:t>5</w:t>
      </w:r>
      <w:r w:rsidRPr="00FC2616">
        <w:rPr>
          <w:lang w:eastAsia="sv-SE"/>
        </w:rPr>
        <w:t>. För att mindre kommuner ska kunna erbjuda en välfärd på lika villkor föreslår vi</w:t>
      </w:r>
      <w:r w:rsidRPr="00FC2616" w:rsidR="001556D8">
        <w:rPr>
          <w:lang w:eastAsia="sv-SE"/>
        </w:rPr>
        <w:t xml:space="preserve"> </w:t>
      </w:r>
      <w:r w:rsidRPr="00FC2616">
        <w:rPr>
          <w:lang w:eastAsia="sv-SE"/>
        </w:rPr>
        <w:t>också ett särskilt stöd till mindre kommuner för att dessa ska kunna jämna ut de stora</w:t>
      </w:r>
      <w:r w:rsidRPr="00FC2616" w:rsidR="001556D8">
        <w:rPr>
          <w:lang w:eastAsia="sv-SE"/>
        </w:rPr>
        <w:t xml:space="preserve"> </w:t>
      </w:r>
      <w:r w:rsidRPr="00FC2616">
        <w:rPr>
          <w:lang w:eastAsia="sv-SE"/>
        </w:rPr>
        <w:t xml:space="preserve">regionala skillnaderna i kommunalskatt. Vi anslår </w:t>
      </w:r>
      <w:r w:rsidRPr="00FC2616">
        <w:rPr>
          <w:lang w:eastAsia="sv-SE"/>
        </w:rPr>
        <w:lastRenderedPageBreak/>
        <w:t>1</w:t>
      </w:r>
      <w:r w:rsidR="00FA1118">
        <w:rPr>
          <w:lang w:eastAsia="sv-SE"/>
        </w:rPr>
        <w:t> </w:t>
      </w:r>
      <w:r w:rsidRPr="00FC2616">
        <w:rPr>
          <w:lang w:eastAsia="sv-SE"/>
        </w:rPr>
        <w:t>miljard kronor per år för</w:t>
      </w:r>
      <w:r w:rsidRPr="00FC2616" w:rsidR="001556D8">
        <w:rPr>
          <w:lang w:eastAsia="sv-SE"/>
        </w:rPr>
        <w:t xml:space="preserve"> </w:t>
      </w:r>
      <w:r w:rsidRPr="00FC2616">
        <w:rPr>
          <w:lang w:eastAsia="sv-SE"/>
        </w:rPr>
        <w:t>detta ändamål.</w:t>
      </w:r>
      <w:r w:rsidRPr="00FC2616" w:rsidR="00AF041B">
        <w:rPr>
          <w:lang w:eastAsia="sv-SE"/>
        </w:rPr>
        <w:t xml:space="preserve"> </w:t>
      </w:r>
      <w:r w:rsidRPr="00FC2616">
        <w:rPr>
          <w:lang w:eastAsia="sv-SE"/>
        </w:rPr>
        <w:t>Utöver dessa stora reformer föreslår Vänsterpartiet också e</w:t>
      </w:r>
      <w:r w:rsidRPr="00FC2616" w:rsidR="00AF041B">
        <w:rPr>
          <w:lang w:eastAsia="sv-SE"/>
        </w:rPr>
        <w:t>tt antal</w:t>
      </w:r>
      <w:r w:rsidRPr="00FC2616">
        <w:rPr>
          <w:lang w:eastAsia="sv-SE"/>
        </w:rPr>
        <w:t xml:space="preserve"> riktade satsningar</w:t>
      </w:r>
      <w:r w:rsidRPr="00FC2616" w:rsidR="00AF041B">
        <w:rPr>
          <w:lang w:eastAsia="sv-SE"/>
        </w:rPr>
        <w:t xml:space="preserve"> </w:t>
      </w:r>
      <w:r w:rsidRPr="00FC2616">
        <w:rPr>
          <w:lang w:eastAsia="sv-SE"/>
        </w:rPr>
        <w:t xml:space="preserve">inom bl.a. </w:t>
      </w:r>
      <w:r w:rsidRPr="00FC2616" w:rsidR="00AF041B">
        <w:rPr>
          <w:lang w:eastAsia="sv-SE"/>
        </w:rPr>
        <w:t>psykiatrin</w:t>
      </w:r>
      <w:r w:rsidRPr="00FC2616">
        <w:rPr>
          <w:lang w:eastAsia="sv-SE"/>
        </w:rPr>
        <w:t xml:space="preserve">, </w:t>
      </w:r>
      <w:r w:rsidRPr="00FC2616" w:rsidR="00F26FAC">
        <w:rPr>
          <w:lang w:eastAsia="sv-SE"/>
        </w:rPr>
        <w:t>kompetens</w:t>
      </w:r>
      <w:r w:rsidR="00E11E9F">
        <w:rPr>
          <w:lang w:eastAsia="sv-SE"/>
        </w:rPr>
        <w:softHyphen/>
      </w:r>
      <w:r w:rsidRPr="00FC2616" w:rsidR="00F26FAC">
        <w:rPr>
          <w:lang w:eastAsia="sv-SE"/>
        </w:rPr>
        <w:t xml:space="preserve">utveckling i äldreomsorgen, </w:t>
      </w:r>
      <w:r w:rsidRPr="00FC2616">
        <w:rPr>
          <w:lang w:eastAsia="sv-SE"/>
        </w:rPr>
        <w:t>skolan och förskolan.</w:t>
      </w:r>
      <w:r w:rsidRPr="00FC2616" w:rsidR="00F26FAC">
        <w:rPr>
          <w:lang w:eastAsia="sv-SE"/>
        </w:rPr>
        <w:t xml:space="preserve"> Vi föreslår en halvering av biljettpriserna i kollektivtrafiken och ger samtidigt ett riktat investeringsstöd för utbyggnad av kollektivtrafiken.</w:t>
      </w:r>
      <w:r w:rsidRPr="00FC2616">
        <w:rPr>
          <w:lang w:eastAsia="sv-SE"/>
        </w:rPr>
        <w:t xml:space="preserve"> I tabell</w:t>
      </w:r>
      <w:r w:rsidR="00163BEC">
        <w:rPr>
          <w:lang w:eastAsia="sv-SE"/>
        </w:rPr>
        <w:t> </w:t>
      </w:r>
      <w:r w:rsidRPr="00FC2616" w:rsidR="0008121C">
        <w:rPr>
          <w:lang w:eastAsia="sv-SE"/>
        </w:rPr>
        <w:t>3</w:t>
      </w:r>
      <w:r w:rsidRPr="00FC2616" w:rsidR="002E676C">
        <w:rPr>
          <w:lang w:eastAsia="sv-SE"/>
        </w:rPr>
        <w:t xml:space="preserve"> </w:t>
      </w:r>
      <w:r w:rsidRPr="00FC2616">
        <w:rPr>
          <w:lang w:eastAsia="sv-SE"/>
        </w:rPr>
        <w:t>nedan visas Vänsterpartiets större</w:t>
      </w:r>
      <w:r w:rsidRPr="00FC2616" w:rsidR="00AF041B">
        <w:rPr>
          <w:lang w:eastAsia="sv-SE"/>
        </w:rPr>
        <w:t xml:space="preserve"> </w:t>
      </w:r>
      <w:r w:rsidRPr="00FC2616">
        <w:rPr>
          <w:lang w:eastAsia="sv-SE"/>
        </w:rPr>
        <w:t>budgetsatsningar till kommunsektorn.</w:t>
      </w:r>
    </w:p>
    <w:p w:rsidRPr="00F50EF8" w:rsidR="009E577F" w:rsidP="00F50EF8" w:rsidRDefault="0005239A" w14:paraId="393EC264" w14:textId="4AF1EA15">
      <w:pPr>
        <w:pStyle w:val="Tabellrubrik"/>
      </w:pPr>
      <w:r w:rsidRPr="00F50EF8">
        <w:t xml:space="preserve">Tabell </w:t>
      </w:r>
      <w:r w:rsidRPr="00F50EF8" w:rsidR="0008121C">
        <w:t>3</w:t>
      </w:r>
      <w:r w:rsidRPr="00F50EF8">
        <w:t xml:space="preserve"> </w:t>
      </w:r>
      <w:r w:rsidRPr="00F50EF8" w:rsidR="009E577F">
        <w:t xml:space="preserve">Vänsterpartiets budgetsatsningar </w:t>
      </w:r>
      <w:r w:rsidRPr="00F50EF8" w:rsidR="00C85FAE">
        <w:t>till</w:t>
      </w:r>
      <w:r w:rsidRPr="00F50EF8" w:rsidR="009E577F">
        <w:t xml:space="preserve"> kommunsektorn</w:t>
      </w:r>
    </w:p>
    <w:p w:rsidRPr="00F50EF8" w:rsidR="008C3ED6" w:rsidP="00F50EF8" w:rsidRDefault="009E577F" w14:paraId="625FC086" w14:textId="2FF82D64">
      <w:pPr>
        <w:pStyle w:val="Tabellunderrubrik"/>
      </w:pPr>
      <w:r w:rsidRPr="00F50EF8">
        <w:t>Avvikelse mot regeringen, miljarder kronor</w:t>
      </w:r>
    </w:p>
    <w:tbl>
      <w:tblPr>
        <w:tblW w:w="8505" w:type="dxa"/>
        <w:tblLayout w:type="fixed"/>
        <w:tblCellMar>
          <w:left w:w="28" w:type="dxa"/>
          <w:right w:w="28" w:type="dxa"/>
        </w:tblCellMar>
        <w:tblLook w:val="0000" w:firstRow="0" w:lastRow="0" w:firstColumn="0" w:lastColumn="0" w:noHBand="0" w:noVBand="0"/>
      </w:tblPr>
      <w:tblGrid>
        <w:gridCol w:w="4820"/>
        <w:gridCol w:w="1228"/>
        <w:gridCol w:w="1228"/>
        <w:gridCol w:w="1229"/>
      </w:tblGrid>
      <w:tr w:rsidRPr="00F50EF8" w:rsidR="00A307C0" w:rsidTr="005E44F3" w14:paraId="25FFC78D" w14:textId="77777777">
        <w:trPr>
          <w:trHeight w:val="290"/>
        </w:trPr>
        <w:tc>
          <w:tcPr>
            <w:tcW w:w="4820" w:type="dxa"/>
            <w:tcBorders>
              <w:top w:val="single" w:color="auto" w:sz="4" w:space="0"/>
              <w:left w:val="nil"/>
              <w:bottom w:val="single" w:color="auto" w:sz="6" w:space="0"/>
              <w:right w:val="nil"/>
            </w:tcBorders>
          </w:tcPr>
          <w:p w:rsidRPr="00F50EF8" w:rsidR="00A307C0" w:rsidP="008B2480" w:rsidRDefault="00A307C0" w14:paraId="6ACCEBF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8" w:type="dxa"/>
            <w:tcBorders>
              <w:top w:val="single" w:color="auto" w:sz="4" w:space="0"/>
              <w:left w:val="nil"/>
              <w:bottom w:val="single" w:color="auto" w:sz="6" w:space="0"/>
              <w:right w:val="nil"/>
            </w:tcBorders>
          </w:tcPr>
          <w:p w:rsidRPr="00F50EF8" w:rsidR="00A307C0" w:rsidP="008B2480" w:rsidRDefault="00A307C0" w14:paraId="5285CDD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2023</w:t>
            </w:r>
          </w:p>
        </w:tc>
        <w:tc>
          <w:tcPr>
            <w:tcW w:w="1228" w:type="dxa"/>
            <w:tcBorders>
              <w:top w:val="single" w:color="auto" w:sz="4" w:space="0"/>
              <w:left w:val="nil"/>
              <w:bottom w:val="single" w:color="auto" w:sz="6" w:space="0"/>
              <w:right w:val="nil"/>
            </w:tcBorders>
          </w:tcPr>
          <w:p w:rsidRPr="00F50EF8" w:rsidR="00A307C0" w:rsidP="008B2480" w:rsidRDefault="00A307C0" w14:paraId="7237241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2024</w:t>
            </w:r>
          </w:p>
        </w:tc>
        <w:tc>
          <w:tcPr>
            <w:tcW w:w="1229" w:type="dxa"/>
            <w:tcBorders>
              <w:top w:val="single" w:color="auto" w:sz="4" w:space="0"/>
              <w:left w:val="nil"/>
              <w:bottom w:val="single" w:color="auto" w:sz="6" w:space="0"/>
              <w:right w:val="nil"/>
            </w:tcBorders>
          </w:tcPr>
          <w:p w:rsidRPr="00F50EF8" w:rsidR="00A307C0" w:rsidP="008B2480" w:rsidRDefault="00A307C0" w14:paraId="4870AF3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2025</w:t>
            </w:r>
          </w:p>
        </w:tc>
      </w:tr>
      <w:tr w:rsidRPr="00F50EF8" w:rsidR="00A307C0" w:rsidTr="005E44F3" w14:paraId="2A3F75E5" w14:textId="77777777">
        <w:trPr>
          <w:trHeight w:val="290"/>
        </w:trPr>
        <w:tc>
          <w:tcPr>
            <w:tcW w:w="4820" w:type="dxa"/>
            <w:tcBorders>
              <w:top w:val="nil"/>
              <w:left w:val="nil"/>
              <w:bottom w:val="nil"/>
              <w:right w:val="nil"/>
            </w:tcBorders>
          </w:tcPr>
          <w:p w:rsidRPr="00F50EF8" w:rsidR="00A307C0" w:rsidP="008B2480" w:rsidRDefault="00A307C0" w14:paraId="6097208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VERKSAMHETER</w:t>
            </w:r>
          </w:p>
        </w:tc>
        <w:tc>
          <w:tcPr>
            <w:tcW w:w="1228" w:type="dxa"/>
            <w:tcBorders>
              <w:top w:val="nil"/>
              <w:left w:val="nil"/>
              <w:bottom w:val="nil"/>
              <w:right w:val="nil"/>
            </w:tcBorders>
          </w:tcPr>
          <w:p w:rsidRPr="00F50EF8" w:rsidR="00A307C0" w:rsidP="008B2480" w:rsidRDefault="00A307C0" w14:paraId="20C7864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p>
        </w:tc>
        <w:tc>
          <w:tcPr>
            <w:tcW w:w="1228" w:type="dxa"/>
            <w:tcBorders>
              <w:top w:val="nil"/>
              <w:left w:val="nil"/>
              <w:bottom w:val="nil"/>
              <w:right w:val="nil"/>
            </w:tcBorders>
          </w:tcPr>
          <w:p w:rsidRPr="00F50EF8" w:rsidR="00A307C0" w:rsidP="008B2480" w:rsidRDefault="00A307C0" w14:paraId="2177243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p>
        </w:tc>
        <w:tc>
          <w:tcPr>
            <w:tcW w:w="1229" w:type="dxa"/>
            <w:tcBorders>
              <w:top w:val="nil"/>
              <w:left w:val="nil"/>
              <w:bottom w:val="nil"/>
              <w:right w:val="nil"/>
            </w:tcBorders>
          </w:tcPr>
          <w:p w:rsidRPr="00F50EF8" w:rsidR="00A307C0" w:rsidP="008B2480" w:rsidRDefault="00A307C0" w14:paraId="72B5245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p>
        </w:tc>
      </w:tr>
      <w:tr w:rsidRPr="00F50EF8" w:rsidR="00A307C0" w:rsidTr="005E44F3" w14:paraId="285F8F0C" w14:textId="77777777">
        <w:trPr>
          <w:trHeight w:val="290"/>
        </w:trPr>
        <w:tc>
          <w:tcPr>
            <w:tcW w:w="4820" w:type="dxa"/>
            <w:tcBorders>
              <w:top w:val="nil"/>
              <w:left w:val="nil"/>
              <w:bottom w:val="nil"/>
              <w:right w:val="nil"/>
            </w:tcBorders>
          </w:tcPr>
          <w:p w:rsidRPr="00F50EF8" w:rsidR="00A307C0" w:rsidP="008B2480" w:rsidRDefault="00A307C0" w14:paraId="5F9AA1D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i/>
                <w:iCs/>
                <w:color w:val="000000"/>
                <w:kern w:val="0"/>
                <w:sz w:val="20"/>
                <w:szCs w:val="20"/>
                <w14:numSpacing w14:val="default"/>
              </w:rPr>
            </w:pPr>
            <w:r w:rsidRPr="00F50EF8">
              <w:rPr>
                <w:rFonts w:cstheme="minorHAnsi"/>
                <w:i/>
                <w:iCs/>
                <w:color w:val="000000"/>
                <w:kern w:val="0"/>
                <w:sz w:val="20"/>
                <w:szCs w:val="20"/>
                <w14:numSpacing w14:val="default"/>
              </w:rPr>
              <w:t>Förslag i BP23</w:t>
            </w:r>
          </w:p>
        </w:tc>
        <w:tc>
          <w:tcPr>
            <w:tcW w:w="1228" w:type="dxa"/>
            <w:tcBorders>
              <w:top w:val="nil"/>
              <w:left w:val="nil"/>
              <w:bottom w:val="nil"/>
              <w:right w:val="nil"/>
            </w:tcBorders>
          </w:tcPr>
          <w:p w:rsidRPr="00F50EF8" w:rsidR="00A307C0" w:rsidP="008B2480" w:rsidRDefault="00A307C0" w14:paraId="4A3F922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8" w:type="dxa"/>
            <w:tcBorders>
              <w:top w:val="nil"/>
              <w:left w:val="nil"/>
              <w:bottom w:val="nil"/>
              <w:right w:val="nil"/>
            </w:tcBorders>
          </w:tcPr>
          <w:p w:rsidRPr="00F50EF8" w:rsidR="00A307C0" w:rsidP="008B2480" w:rsidRDefault="00A307C0" w14:paraId="03D746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9" w:type="dxa"/>
            <w:tcBorders>
              <w:top w:val="nil"/>
              <w:left w:val="nil"/>
              <w:bottom w:val="nil"/>
              <w:right w:val="nil"/>
            </w:tcBorders>
          </w:tcPr>
          <w:p w:rsidRPr="00F50EF8" w:rsidR="00A307C0" w:rsidP="008B2480" w:rsidRDefault="00A307C0" w14:paraId="74A63C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F50EF8" w:rsidR="00A307C0" w:rsidTr="005E44F3" w14:paraId="3B8A1F14" w14:textId="77777777">
        <w:trPr>
          <w:trHeight w:val="326"/>
        </w:trPr>
        <w:tc>
          <w:tcPr>
            <w:tcW w:w="4820" w:type="dxa"/>
            <w:tcBorders>
              <w:top w:val="nil"/>
              <w:left w:val="nil"/>
              <w:bottom w:val="nil"/>
              <w:right w:val="nil"/>
            </w:tcBorders>
          </w:tcPr>
          <w:p w:rsidRPr="00F50EF8" w:rsidR="00A307C0" w:rsidP="008B2480" w:rsidRDefault="00A307C0" w14:paraId="74FF8D3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Generella statsbidrag</w:t>
            </w:r>
          </w:p>
        </w:tc>
        <w:tc>
          <w:tcPr>
            <w:tcW w:w="1228" w:type="dxa"/>
            <w:tcBorders>
              <w:top w:val="nil"/>
              <w:left w:val="nil"/>
              <w:bottom w:val="nil"/>
              <w:right w:val="nil"/>
            </w:tcBorders>
          </w:tcPr>
          <w:p w:rsidRPr="00F50EF8" w:rsidR="00A307C0" w:rsidP="008B2480" w:rsidRDefault="00A307C0" w14:paraId="0AD91FE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6</w:t>
            </w:r>
          </w:p>
        </w:tc>
        <w:tc>
          <w:tcPr>
            <w:tcW w:w="1228" w:type="dxa"/>
            <w:tcBorders>
              <w:top w:val="nil"/>
              <w:left w:val="nil"/>
              <w:bottom w:val="nil"/>
              <w:right w:val="nil"/>
            </w:tcBorders>
          </w:tcPr>
          <w:p w:rsidRPr="00F50EF8" w:rsidR="00A307C0" w:rsidP="008B2480" w:rsidRDefault="00A307C0" w14:paraId="46A94E8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6</w:t>
            </w:r>
          </w:p>
        </w:tc>
        <w:tc>
          <w:tcPr>
            <w:tcW w:w="1229" w:type="dxa"/>
            <w:tcBorders>
              <w:top w:val="nil"/>
              <w:left w:val="nil"/>
              <w:bottom w:val="nil"/>
              <w:right w:val="nil"/>
            </w:tcBorders>
          </w:tcPr>
          <w:p w:rsidRPr="00F50EF8" w:rsidR="00A307C0" w:rsidP="008B2480" w:rsidRDefault="00A307C0" w14:paraId="6837B0E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6</w:t>
            </w:r>
          </w:p>
        </w:tc>
      </w:tr>
      <w:tr w:rsidRPr="00F50EF8" w:rsidR="00A307C0" w:rsidTr="005E44F3" w14:paraId="1512F85D" w14:textId="77777777">
        <w:trPr>
          <w:trHeight w:val="290"/>
        </w:trPr>
        <w:tc>
          <w:tcPr>
            <w:tcW w:w="4820" w:type="dxa"/>
            <w:tcBorders>
              <w:top w:val="nil"/>
              <w:left w:val="nil"/>
              <w:bottom w:val="nil"/>
              <w:right w:val="nil"/>
            </w:tcBorders>
          </w:tcPr>
          <w:p w:rsidRPr="00F50EF8" w:rsidR="00A307C0" w:rsidP="008B2480" w:rsidRDefault="00A307C0" w14:paraId="3CD70C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Förlossningsvård</w:t>
            </w:r>
          </w:p>
        </w:tc>
        <w:tc>
          <w:tcPr>
            <w:tcW w:w="1228" w:type="dxa"/>
            <w:tcBorders>
              <w:top w:val="nil"/>
              <w:left w:val="nil"/>
              <w:bottom w:val="nil"/>
              <w:right w:val="nil"/>
            </w:tcBorders>
          </w:tcPr>
          <w:p w:rsidRPr="00F50EF8" w:rsidR="00A307C0" w:rsidP="008B2480" w:rsidRDefault="00A307C0" w14:paraId="210B04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0,2</w:t>
            </w:r>
          </w:p>
        </w:tc>
        <w:tc>
          <w:tcPr>
            <w:tcW w:w="1228" w:type="dxa"/>
            <w:tcBorders>
              <w:top w:val="nil"/>
              <w:left w:val="nil"/>
              <w:bottom w:val="nil"/>
              <w:right w:val="nil"/>
            </w:tcBorders>
          </w:tcPr>
          <w:p w:rsidRPr="00F50EF8" w:rsidR="00A307C0" w:rsidP="008B2480" w:rsidRDefault="00A307C0" w14:paraId="3EAEEDB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1,5</w:t>
            </w:r>
          </w:p>
        </w:tc>
        <w:tc>
          <w:tcPr>
            <w:tcW w:w="1229" w:type="dxa"/>
            <w:tcBorders>
              <w:top w:val="nil"/>
              <w:left w:val="nil"/>
              <w:bottom w:val="nil"/>
              <w:right w:val="nil"/>
            </w:tcBorders>
          </w:tcPr>
          <w:p w:rsidRPr="00F50EF8" w:rsidR="00A307C0" w:rsidP="008B2480" w:rsidRDefault="00A307C0" w14:paraId="57E2062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1,5</w:t>
            </w:r>
          </w:p>
        </w:tc>
      </w:tr>
      <w:tr w:rsidRPr="00F50EF8" w:rsidR="00A307C0" w:rsidTr="005E44F3" w14:paraId="69889F51" w14:textId="77777777">
        <w:trPr>
          <w:trHeight w:val="290"/>
        </w:trPr>
        <w:tc>
          <w:tcPr>
            <w:tcW w:w="4820" w:type="dxa"/>
            <w:tcBorders>
              <w:top w:val="nil"/>
              <w:left w:val="nil"/>
              <w:bottom w:val="nil"/>
              <w:right w:val="nil"/>
            </w:tcBorders>
          </w:tcPr>
          <w:p w:rsidRPr="00F50EF8" w:rsidR="00A307C0" w:rsidP="008B2480" w:rsidRDefault="00A307C0" w14:paraId="13CEB45F" w14:textId="0C941AE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Subvention</w:t>
            </w:r>
            <w:r w:rsidR="008B2480">
              <w:rPr>
                <w:rFonts w:cstheme="minorHAnsi"/>
                <w:color w:val="000000"/>
                <w:kern w:val="0"/>
                <w:sz w:val="20"/>
                <w:szCs w:val="20"/>
                <w14:numSpacing w14:val="default"/>
              </w:rPr>
              <w:t>,</w:t>
            </w:r>
            <w:r w:rsidRPr="00F50EF8">
              <w:rPr>
                <w:rFonts w:cstheme="minorHAnsi"/>
                <w:color w:val="000000"/>
                <w:kern w:val="0"/>
                <w:sz w:val="20"/>
                <w:szCs w:val="20"/>
                <w14:numSpacing w14:val="default"/>
              </w:rPr>
              <w:t xml:space="preserve"> LVU-placeringar</w:t>
            </w:r>
          </w:p>
        </w:tc>
        <w:tc>
          <w:tcPr>
            <w:tcW w:w="1228" w:type="dxa"/>
            <w:tcBorders>
              <w:top w:val="nil"/>
              <w:left w:val="nil"/>
              <w:bottom w:val="nil"/>
              <w:right w:val="nil"/>
            </w:tcBorders>
          </w:tcPr>
          <w:p w:rsidRPr="00F50EF8" w:rsidR="00A307C0" w:rsidP="008B2480" w:rsidRDefault="00A307C0" w14:paraId="7BEA56E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0,5</w:t>
            </w:r>
          </w:p>
        </w:tc>
        <w:tc>
          <w:tcPr>
            <w:tcW w:w="1228" w:type="dxa"/>
            <w:tcBorders>
              <w:top w:val="nil"/>
              <w:left w:val="nil"/>
              <w:bottom w:val="nil"/>
              <w:right w:val="nil"/>
            </w:tcBorders>
          </w:tcPr>
          <w:p w:rsidRPr="00F50EF8" w:rsidR="00A307C0" w:rsidP="008B2480" w:rsidRDefault="00A307C0" w14:paraId="6814FD8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0,5</w:t>
            </w:r>
          </w:p>
        </w:tc>
        <w:tc>
          <w:tcPr>
            <w:tcW w:w="1229" w:type="dxa"/>
            <w:tcBorders>
              <w:top w:val="nil"/>
              <w:left w:val="nil"/>
              <w:bottom w:val="nil"/>
              <w:right w:val="nil"/>
            </w:tcBorders>
          </w:tcPr>
          <w:p w:rsidRPr="00F50EF8" w:rsidR="00A307C0" w:rsidP="008B2480" w:rsidRDefault="00A307C0" w14:paraId="084F695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F50EF8" w:rsidR="00A307C0" w:rsidTr="005E44F3" w14:paraId="1A77D0CF" w14:textId="77777777">
        <w:trPr>
          <w:trHeight w:val="290"/>
        </w:trPr>
        <w:tc>
          <w:tcPr>
            <w:tcW w:w="4820" w:type="dxa"/>
            <w:tcBorders>
              <w:top w:val="nil"/>
              <w:left w:val="nil"/>
              <w:bottom w:val="nil"/>
              <w:right w:val="nil"/>
            </w:tcBorders>
          </w:tcPr>
          <w:p w:rsidRPr="00F50EF8" w:rsidR="00A307C0" w:rsidP="008B2480" w:rsidRDefault="00A307C0" w14:paraId="3954E488" w14:textId="28D808D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Vaccin</w:t>
            </w:r>
            <w:r w:rsidR="008B2480">
              <w:rPr>
                <w:rFonts w:cstheme="minorHAnsi"/>
                <w:color w:val="000000"/>
                <w:kern w:val="0"/>
                <w:sz w:val="20"/>
                <w:szCs w:val="20"/>
                <w14:numSpacing w14:val="default"/>
              </w:rPr>
              <w:t>,</w:t>
            </w:r>
            <w:r w:rsidRPr="00F50EF8">
              <w:rPr>
                <w:rFonts w:cstheme="minorHAnsi"/>
                <w:color w:val="000000"/>
                <w:kern w:val="0"/>
                <w:sz w:val="20"/>
                <w:szCs w:val="20"/>
                <w14:numSpacing w14:val="default"/>
              </w:rPr>
              <w:t xml:space="preserve"> covid-19</w:t>
            </w:r>
          </w:p>
        </w:tc>
        <w:tc>
          <w:tcPr>
            <w:tcW w:w="1228" w:type="dxa"/>
            <w:tcBorders>
              <w:top w:val="nil"/>
              <w:left w:val="nil"/>
              <w:bottom w:val="nil"/>
              <w:right w:val="nil"/>
            </w:tcBorders>
          </w:tcPr>
          <w:p w:rsidRPr="00F50EF8" w:rsidR="00A307C0" w:rsidP="008B2480" w:rsidRDefault="00A307C0" w14:paraId="08D003C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1,4</w:t>
            </w:r>
          </w:p>
        </w:tc>
        <w:tc>
          <w:tcPr>
            <w:tcW w:w="1228" w:type="dxa"/>
            <w:tcBorders>
              <w:top w:val="nil"/>
              <w:left w:val="nil"/>
              <w:bottom w:val="nil"/>
              <w:right w:val="nil"/>
            </w:tcBorders>
          </w:tcPr>
          <w:p w:rsidRPr="00F50EF8" w:rsidR="00A307C0" w:rsidP="008B2480" w:rsidRDefault="00A307C0" w14:paraId="2F2DE95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9" w:type="dxa"/>
            <w:tcBorders>
              <w:top w:val="nil"/>
              <w:left w:val="nil"/>
              <w:bottom w:val="nil"/>
              <w:right w:val="nil"/>
            </w:tcBorders>
          </w:tcPr>
          <w:p w:rsidRPr="00F50EF8" w:rsidR="00A307C0" w:rsidP="008B2480" w:rsidRDefault="00A307C0" w14:paraId="0F5DBF1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F50EF8" w:rsidR="00A307C0" w:rsidTr="005E44F3" w14:paraId="65DAF830" w14:textId="77777777">
        <w:trPr>
          <w:trHeight w:val="290"/>
        </w:trPr>
        <w:tc>
          <w:tcPr>
            <w:tcW w:w="4820" w:type="dxa"/>
            <w:tcBorders>
              <w:top w:val="nil"/>
              <w:left w:val="nil"/>
              <w:bottom w:val="nil"/>
              <w:right w:val="nil"/>
            </w:tcBorders>
          </w:tcPr>
          <w:p w:rsidRPr="00F50EF8" w:rsidR="00A307C0" w:rsidP="008B2480" w:rsidRDefault="00A307C0" w14:paraId="019262A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8" w:type="dxa"/>
            <w:tcBorders>
              <w:top w:val="nil"/>
              <w:left w:val="nil"/>
              <w:bottom w:val="nil"/>
              <w:right w:val="nil"/>
            </w:tcBorders>
          </w:tcPr>
          <w:p w:rsidRPr="00F50EF8" w:rsidR="00A307C0" w:rsidP="008B2480" w:rsidRDefault="00A307C0" w14:paraId="67E059A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8" w:type="dxa"/>
            <w:tcBorders>
              <w:top w:val="nil"/>
              <w:left w:val="nil"/>
              <w:bottom w:val="nil"/>
              <w:right w:val="nil"/>
            </w:tcBorders>
          </w:tcPr>
          <w:p w:rsidRPr="00F50EF8" w:rsidR="00A307C0" w:rsidP="008B2480" w:rsidRDefault="00A307C0" w14:paraId="24DBDDC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9" w:type="dxa"/>
            <w:tcBorders>
              <w:top w:val="nil"/>
              <w:left w:val="nil"/>
              <w:bottom w:val="nil"/>
              <w:right w:val="nil"/>
            </w:tcBorders>
          </w:tcPr>
          <w:p w:rsidRPr="00F50EF8" w:rsidR="00A307C0" w:rsidP="008B2480" w:rsidRDefault="00A307C0" w14:paraId="21D790C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F50EF8" w:rsidR="00A307C0" w:rsidTr="005E44F3" w14:paraId="1E3689C0" w14:textId="77777777">
        <w:trPr>
          <w:trHeight w:val="290"/>
        </w:trPr>
        <w:tc>
          <w:tcPr>
            <w:tcW w:w="4820" w:type="dxa"/>
            <w:tcBorders>
              <w:top w:val="nil"/>
              <w:left w:val="nil"/>
              <w:bottom w:val="nil"/>
              <w:right w:val="nil"/>
            </w:tcBorders>
          </w:tcPr>
          <w:p w:rsidRPr="00F50EF8" w:rsidR="00A307C0" w:rsidP="008B2480" w:rsidRDefault="00A307C0" w14:paraId="1C7042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i/>
                <w:iCs/>
                <w:color w:val="000000"/>
                <w:kern w:val="0"/>
                <w:sz w:val="20"/>
                <w:szCs w:val="20"/>
                <w14:numSpacing w14:val="default"/>
              </w:rPr>
            </w:pPr>
            <w:r w:rsidRPr="00F50EF8">
              <w:rPr>
                <w:rFonts w:cstheme="minorHAnsi"/>
                <w:i/>
                <w:iCs/>
                <w:color w:val="000000"/>
                <w:kern w:val="0"/>
                <w:sz w:val="20"/>
                <w:szCs w:val="20"/>
                <w14:numSpacing w14:val="default"/>
              </w:rPr>
              <w:t>Förslag utöver regeringen</w:t>
            </w:r>
          </w:p>
        </w:tc>
        <w:tc>
          <w:tcPr>
            <w:tcW w:w="1228" w:type="dxa"/>
            <w:tcBorders>
              <w:top w:val="nil"/>
              <w:left w:val="nil"/>
              <w:bottom w:val="nil"/>
              <w:right w:val="nil"/>
            </w:tcBorders>
          </w:tcPr>
          <w:p w:rsidRPr="00F50EF8" w:rsidR="00A307C0" w:rsidP="008B2480" w:rsidRDefault="00A307C0" w14:paraId="19C615C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8" w:type="dxa"/>
            <w:tcBorders>
              <w:top w:val="nil"/>
              <w:left w:val="nil"/>
              <w:bottom w:val="nil"/>
              <w:right w:val="nil"/>
            </w:tcBorders>
          </w:tcPr>
          <w:p w:rsidRPr="00F50EF8" w:rsidR="00A307C0" w:rsidP="008B2480" w:rsidRDefault="00A307C0" w14:paraId="5F3DA25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9" w:type="dxa"/>
            <w:tcBorders>
              <w:top w:val="nil"/>
              <w:left w:val="nil"/>
              <w:bottom w:val="nil"/>
              <w:right w:val="nil"/>
            </w:tcBorders>
          </w:tcPr>
          <w:p w:rsidRPr="00F50EF8" w:rsidR="00A307C0" w:rsidP="008B2480" w:rsidRDefault="00A307C0" w14:paraId="5A8AE9C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F50EF8" w:rsidR="00A307C0" w:rsidTr="005E44F3" w14:paraId="2E4D9372" w14:textId="77777777">
        <w:trPr>
          <w:trHeight w:val="290"/>
        </w:trPr>
        <w:tc>
          <w:tcPr>
            <w:tcW w:w="4820" w:type="dxa"/>
            <w:tcBorders>
              <w:top w:val="nil"/>
              <w:left w:val="nil"/>
              <w:bottom w:val="nil"/>
              <w:right w:val="nil"/>
            </w:tcBorders>
          </w:tcPr>
          <w:p w:rsidRPr="00F50EF8" w:rsidR="00A307C0" w:rsidP="008B2480" w:rsidRDefault="00A307C0" w14:paraId="2D4F4F29" w14:textId="21F8B8C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 xml:space="preserve">Generella statsbidrag </w:t>
            </w:r>
            <w:r w:rsidR="008B2480">
              <w:rPr>
                <w:rFonts w:cstheme="minorHAnsi"/>
                <w:color w:val="000000"/>
                <w:kern w:val="0"/>
                <w:sz w:val="20"/>
                <w:szCs w:val="20"/>
                <w14:numSpacing w14:val="default"/>
              </w:rPr>
              <w:t>–</w:t>
            </w:r>
            <w:r w:rsidRPr="00F50EF8">
              <w:rPr>
                <w:rFonts w:cstheme="minorHAnsi"/>
                <w:color w:val="000000"/>
                <w:kern w:val="0"/>
                <w:sz w:val="20"/>
                <w:szCs w:val="20"/>
                <w14:numSpacing w14:val="default"/>
              </w:rPr>
              <w:t xml:space="preserve"> demografi</w:t>
            </w:r>
          </w:p>
        </w:tc>
        <w:tc>
          <w:tcPr>
            <w:tcW w:w="1228" w:type="dxa"/>
            <w:tcBorders>
              <w:top w:val="nil"/>
              <w:left w:val="nil"/>
              <w:bottom w:val="nil"/>
              <w:right w:val="nil"/>
            </w:tcBorders>
          </w:tcPr>
          <w:p w:rsidRPr="00F50EF8" w:rsidR="00A307C0" w:rsidP="008B2480" w:rsidRDefault="00A307C0" w14:paraId="569CAB8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14</w:t>
            </w:r>
          </w:p>
        </w:tc>
        <w:tc>
          <w:tcPr>
            <w:tcW w:w="1228" w:type="dxa"/>
            <w:tcBorders>
              <w:top w:val="nil"/>
              <w:left w:val="nil"/>
              <w:bottom w:val="nil"/>
              <w:right w:val="nil"/>
            </w:tcBorders>
          </w:tcPr>
          <w:p w:rsidRPr="00F50EF8" w:rsidR="00A307C0" w:rsidP="008B2480" w:rsidRDefault="00A307C0" w14:paraId="536CB5B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14</w:t>
            </w:r>
          </w:p>
        </w:tc>
        <w:tc>
          <w:tcPr>
            <w:tcW w:w="1229" w:type="dxa"/>
            <w:tcBorders>
              <w:top w:val="nil"/>
              <w:left w:val="nil"/>
              <w:bottom w:val="nil"/>
              <w:right w:val="nil"/>
            </w:tcBorders>
          </w:tcPr>
          <w:p w:rsidRPr="00F50EF8" w:rsidR="00A307C0" w:rsidP="008B2480" w:rsidRDefault="00A307C0" w14:paraId="0C8390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24</w:t>
            </w:r>
          </w:p>
        </w:tc>
      </w:tr>
      <w:tr w:rsidRPr="00F50EF8" w:rsidR="00A307C0" w:rsidTr="005E44F3" w14:paraId="33111455" w14:textId="77777777">
        <w:trPr>
          <w:trHeight w:val="290"/>
        </w:trPr>
        <w:tc>
          <w:tcPr>
            <w:tcW w:w="4820" w:type="dxa"/>
            <w:tcBorders>
              <w:top w:val="nil"/>
              <w:left w:val="nil"/>
              <w:bottom w:val="nil"/>
              <w:right w:val="nil"/>
            </w:tcBorders>
          </w:tcPr>
          <w:p w:rsidRPr="00F50EF8" w:rsidR="00A307C0" w:rsidP="008B2480" w:rsidRDefault="00A307C0" w14:paraId="711E398E" w14:textId="666F046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 xml:space="preserve">Generella statsbidrag </w:t>
            </w:r>
            <w:r w:rsidR="008B2480">
              <w:rPr>
                <w:rFonts w:cstheme="minorHAnsi"/>
                <w:color w:val="000000"/>
                <w:kern w:val="0"/>
                <w:sz w:val="20"/>
                <w:szCs w:val="20"/>
                <w14:numSpacing w14:val="default"/>
              </w:rPr>
              <w:t>–</w:t>
            </w:r>
            <w:r w:rsidRPr="00F50EF8">
              <w:rPr>
                <w:rFonts w:cstheme="minorHAnsi"/>
                <w:color w:val="000000"/>
                <w:kern w:val="0"/>
                <w:sz w:val="20"/>
                <w:szCs w:val="20"/>
                <w14:numSpacing w14:val="default"/>
              </w:rPr>
              <w:t xml:space="preserve"> ökad personaltäthet</w:t>
            </w:r>
          </w:p>
        </w:tc>
        <w:tc>
          <w:tcPr>
            <w:tcW w:w="1228" w:type="dxa"/>
            <w:tcBorders>
              <w:top w:val="nil"/>
              <w:left w:val="nil"/>
              <w:bottom w:val="nil"/>
              <w:right w:val="nil"/>
            </w:tcBorders>
          </w:tcPr>
          <w:p w:rsidRPr="00F50EF8" w:rsidR="00A307C0" w:rsidP="008B2480" w:rsidRDefault="00A307C0" w14:paraId="2F92DED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10</w:t>
            </w:r>
          </w:p>
        </w:tc>
        <w:tc>
          <w:tcPr>
            <w:tcW w:w="1228" w:type="dxa"/>
            <w:tcBorders>
              <w:top w:val="nil"/>
              <w:left w:val="nil"/>
              <w:bottom w:val="nil"/>
              <w:right w:val="nil"/>
            </w:tcBorders>
          </w:tcPr>
          <w:p w:rsidRPr="00F50EF8" w:rsidR="00A307C0" w:rsidP="008B2480" w:rsidRDefault="00A307C0" w14:paraId="307AD6D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15</w:t>
            </w:r>
          </w:p>
        </w:tc>
        <w:tc>
          <w:tcPr>
            <w:tcW w:w="1229" w:type="dxa"/>
            <w:tcBorders>
              <w:top w:val="nil"/>
              <w:left w:val="nil"/>
              <w:bottom w:val="nil"/>
              <w:right w:val="nil"/>
            </w:tcBorders>
          </w:tcPr>
          <w:p w:rsidRPr="00F50EF8" w:rsidR="00A307C0" w:rsidP="008B2480" w:rsidRDefault="00A307C0" w14:paraId="7391951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22,5</w:t>
            </w:r>
          </w:p>
        </w:tc>
      </w:tr>
      <w:tr w:rsidRPr="00F50EF8" w:rsidR="00A307C0" w:rsidTr="005E44F3" w14:paraId="7789A4C5" w14:textId="77777777">
        <w:trPr>
          <w:trHeight w:val="290"/>
        </w:trPr>
        <w:tc>
          <w:tcPr>
            <w:tcW w:w="4820" w:type="dxa"/>
            <w:tcBorders>
              <w:top w:val="nil"/>
              <w:left w:val="nil"/>
              <w:bottom w:val="nil"/>
              <w:right w:val="nil"/>
            </w:tcBorders>
          </w:tcPr>
          <w:p w:rsidRPr="00F50EF8" w:rsidR="00A307C0" w:rsidP="008B2480" w:rsidRDefault="00A307C0" w14:paraId="3145C24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Psykiatrisatsning</w:t>
            </w:r>
          </w:p>
        </w:tc>
        <w:tc>
          <w:tcPr>
            <w:tcW w:w="1228" w:type="dxa"/>
            <w:tcBorders>
              <w:top w:val="nil"/>
              <w:left w:val="nil"/>
              <w:bottom w:val="nil"/>
              <w:right w:val="nil"/>
            </w:tcBorders>
          </w:tcPr>
          <w:p w:rsidRPr="00F50EF8" w:rsidR="00A307C0" w:rsidP="008B2480" w:rsidRDefault="00A307C0" w14:paraId="5C3B80A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1,3</w:t>
            </w:r>
          </w:p>
        </w:tc>
        <w:tc>
          <w:tcPr>
            <w:tcW w:w="1228" w:type="dxa"/>
            <w:tcBorders>
              <w:top w:val="nil"/>
              <w:left w:val="nil"/>
              <w:bottom w:val="nil"/>
              <w:right w:val="nil"/>
            </w:tcBorders>
          </w:tcPr>
          <w:p w:rsidRPr="00F50EF8" w:rsidR="00A307C0" w:rsidP="008B2480" w:rsidRDefault="00A307C0" w14:paraId="71C446F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1,3</w:t>
            </w:r>
          </w:p>
        </w:tc>
        <w:tc>
          <w:tcPr>
            <w:tcW w:w="1229" w:type="dxa"/>
            <w:tcBorders>
              <w:top w:val="nil"/>
              <w:left w:val="nil"/>
              <w:bottom w:val="nil"/>
              <w:right w:val="nil"/>
            </w:tcBorders>
          </w:tcPr>
          <w:p w:rsidRPr="00F50EF8" w:rsidR="00A307C0" w:rsidP="008B2480" w:rsidRDefault="00A307C0" w14:paraId="11E41F1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1,3</w:t>
            </w:r>
          </w:p>
        </w:tc>
      </w:tr>
      <w:tr w:rsidRPr="00F50EF8" w:rsidR="00A307C0" w:rsidTr="005E44F3" w14:paraId="7AC48DA4" w14:textId="77777777">
        <w:trPr>
          <w:trHeight w:val="290"/>
        </w:trPr>
        <w:tc>
          <w:tcPr>
            <w:tcW w:w="4820" w:type="dxa"/>
            <w:tcBorders>
              <w:top w:val="nil"/>
              <w:left w:val="nil"/>
              <w:bottom w:val="nil"/>
              <w:right w:val="nil"/>
            </w:tcBorders>
          </w:tcPr>
          <w:p w:rsidRPr="00F50EF8" w:rsidR="00A307C0" w:rsidP="008B2480" w:rsidRDefault="00A307C0" w14:paraId="76831D9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Äldreomsorgslyft</w:t>
            </w:r>
          </w:p>
        </w:tc>
        <w:tc>
          <w:tcPr>
            <w:tcW w:w="1228" w:type="dxa"/>
            <w:tcBorders>
              <w:top w:val="nil"/>
              <w:left w:val="nil"/>
              <w:bottom w:val="nil"/>
              <w:right w:val="nil"/>
            </w:tcBorders>
          </w:tcPr>
          <w:p w:rsidRPr="00F50EF8" w:rsidR="00A307C0" w:rsidP="008B2480" w:rsidRDefault="00A307C0" w14:paraId="1F1305C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8" w:type="dxa"/>
            <w:tcBorders>
              <w:top w:val="nil"/>
              <w:left w:val="nil"/>
              <w:bottom w:val="nil"/>
              <w:right w:val="nil"/>
            </w:tcBorders>
          </w:tcPr>
          <w:p w:rsidRPr="00F50EF8" w:rsidR="00A307C0" w:rsidP="008B2480" w:rsidRDefault="00A307C0" w14:paraId="37D211C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1,7</w:t>
            </w:r>
          </w:p>
        </w:tc>
        <w:tc>
          <w:tcPr>
            <w:tcW w:w="1229" w:type="dxa"/>
            <w:tcBorders>
              <w:top w:val="nil"/>
              <w:left w:val="nil"/>
              <w:bottom w:val="nil"/>
              <w:right w:val="nil"/>
            </w:tcBorders>
          </w:tcPr>
          <w:p w:rsidRPr="00F50EF8" w:rsidR="00A307C0" w:rsidP="008B2480" w:rsidRDefault="00A307C0" w14:paraId="1101527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1,7</w:t>
            </w:r>
          </w:p>
        </w:tc>
      </w:tr>
      <w:tr w:rsidRPr="00F50EF8" w:rsidR="00A307C0" w:rsidTr="005E44F3" w14:paraId="503916A2" w14:textId="77777777">
        <w:trPr>
          <w:trHeight w:val="302"/>
        </w:trPr>
        <w:tc>
          <w:tcPr>
            <w:tcW w:w="4820" w:type="dxa"/>
            <w:tcBorders>
              <w:top w:val="nil"/>
              <w:left w:val="nil"/>
              <w:bottom w:val="nil"/>
              <w:right w:val="nil"/>
            </w:tcBorders>
          </w:tcPr>
          <w:p w:rsidRPr="00F50EF8" w:rsidR="00A307C0" w:rsidP="008B2480" w:rsidRDefault="00A307C0" w14:paraId="617ACF8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Sjukvård i glesbygd</w:t>
            </w:r>
          </w:p>
        </w:tc>
        <w:tc>
          <w:tcPr>
            <w:tcW w:w="1228" w:type="dxa"/>
            <w:tcBorders>
              <w:top w:val="nil"/>
              <w:left w:val="nil"/>
              <w:bottom w:val="nil"/>
              <w:right w:val="nil"/>
            </w:tcBorders>
          </w:tcPr>
          <w:p w:rsidRPr="00F50EF8" w:rsidR="00A307C0" w:rsidP="008B2480" w:rsidRDefault="00A307C0" w14:paraId="3F79418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w:t>
            </w:r>
          </w:p>
        </w:tc>
        <w:tc>
          <w:tcPr>
            <w:tcW w:w="1228" w:type="dxa"/>
            <w:tcBorders>
              <w:top w:val="nil"/>
              <w:left w:val="nil"/>
              <w:bottom w:val="nil"/>
              <w:right w:val="nil"/>
            </w:tcBorders>
          </w:tcPr>
          <w:p w:rsidRPr="00F50EF8" w:rsidR="00A307C0" w:rsidP="008B2480" w:rsidRDefault="00A307C0" w14:paraId="29D44BD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w:t>
            </w:r>
          </w:p>
        </w:tc>
        <w:tc>
          <w:tcPr>
            <w:tcW w:w="1229" w:type="dxa"/>
            <w:tcBorders>
              <w:top w:val="nil"/>
              <w:left w:val="nil"/>
              <w:bottom w:val="nil"/>
              <w:right w:val="nil"/>
            </w:tcBorders>
          </w:tcPr>
          <w:p w:rsidRPr="00F50EF8" w:rsidR="00A307C0" w:rsidP="008B2480" w:rsidRDefault="00A307C0" w14:paraId="506F13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w:t>
            </w:r>
          </w:p>
        </w:tc>
      </w:tr>
      <w:tr w:rsidRPr="00F50EF8" w:rsidR="00A307C0" w:rsidTr="005E44F3" w14:paraId="4A079FEC" w14:textId="77777777">
        <w:trPr>
          <w:trHeight w:val="290"/>
        </w:trPr>
        <w:tc>
          <w:tcPr>
            <w:tcW w:w="4820" w:type="dxa"/>
            <w:tcBorders>
              <w:top w:val="nil"/>
              <w:left w:val="nil"/>
              <w:bottom w:val="nil"/>
              <w:right w:val="nil"/>
            </w:tcBorders>
          </w:tcPr>
          <w:p w:rsidRPr="00F50EF8" w:rsidR="00A307C0" w:rsidP="008B2480" w:rsidRDefault="00A307C0" w14:paraId="392615B3" w14:textId="5DF96F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Ny resursfördelningsmodell</w:t>
            </w:r>
            <w:r w:rsidRPr="00F50EF8" w:rsidR="00886E65">
              <w:rPr>
                <w:rFonts w:cstheme="minorHAnsi"/>
                <w:color w:val="000000"/>
                <w:kern w:val="0"/>
                <w:sz w:val="20"/>
                <w:szCs w:val="20"/>
                <w14:numSpacing w14:val="default"/>
              </w:rPr>
              <w:t xml:space="preserve"> för</w:t>
            </w:r>
            <w:r w:rsidRPr="00F50EF8">
              <w:rPr>
                <w:rFonts w:cstheme="minorHAnsi"/>
                <w:color w:val="000000"/>
                <w:kern w:val="0"/>
                <w:sz w:val="20"/>
                <w:szCs w:val="20"/>
                <w14:numSpacing w14:val="default"/>
              </w:rPr>
              <w:t xml:space="preserve"> förskolan</w:t>
            </w:r>
          </w:p>
        </w:tc>
        <w:tc>
          <w:tcPr>
            <w:tcW w:w="1228" w:type="dxa"/>
            <w:tcBorders>
              <w:top w:val="nil"/>
              <w:left w:val="nil"/>
              <w:bottom w:val="nil"/>
              <w:right w:val="nil"/>
            </w:tcBorders>
          </w:tcPr>
          <w:p w:rsidRPr="00F50EF8" w:rsidR="00A307C0" w:rsidP="008B2480" w:rsidRDefault="00A307C0" w14:paraId="051B4D7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8" w:type="dxa"/>
            <w:tcBorders>
              <w:top w:val="nil"/>
              <w:left w:val="nil"/>
              <w:bottom w:val="nil"/>
              <w:right w:val="nil"/>
            </w:tcBorders>
          </w:tcPr>
          <w:p w:rsidRPr="00F50EF8" w:rsidR="00A307C0" w:rsidP="008B2480" w:rsidRDefault="00A307C0" w14:paraId="0378AF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9" w:type="dxa"/>
            <w:tcBorders>
              <w:top w:val="nil"/>
              <w:left w:val="nil"/>
              <w:bottom w:val="nil"/>
              <w:right w:val="nil"/>
            </w:tcBorders>
          </w:tcPr>
          <w:p w:rsidRPr="00F50EF8" w:rsidR="00A307C0" w:rsidP="008B2480" w:rsidRDefault="00A307C0" w14:paraId="480384B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2</w:t>
            </w:r>
          </w:p>
        </w:tc>
      </w:tr>
      <w:tr w:rsidRPr="00F50EF8" w:rsidR="00A307C0" w:rsidTr="005E44F3" w14:paraId="2847900E" w14:textId="77777777">
        <w:trPr>
          <w:trHeight w:val="290"/>
        </w:trPr>
        <w:tc>
          <w:tcPr>
            <w:tcW w:w="4820" w:type="dxa"/>
            <w:tcBorders>
              <w:top w:val="nil"/>
              <w:left w:val="nil"/>
              <w:bottom w:val="nil"/>
              <w:right w:val="nil"/>
            </w:tcBorders>
          </w:tcPr>
          <w:p w:rsidRPr="00F50EF8" w:rsidR="00A307C0" w:rsidP="008B2480" w:rsidRDefault="00A307C0" w14:paraId="218EFE19" w14:textId="47BBCB6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Ny resursfördelningsmodell</w:t>
            </w:r>
            <w:r w:rsidRPr="00F50EF8" w:rsidR="00886E65">
              <w:rPr>
                <w:rFonts w:cstheme="minorHAnsi"/>
                <w:color w:val="000000"/>
                <w:kern w:val="0"/>
                <w:sz w:val="20"/>
                <w:szCs w:val="20"/>
                <w14:numSpacing w14:val="default"/>
              </w:rPr>
              <w:t xml:space="preserve"> för</w:t>
            </w:r>
            <w:r w:rsidRPr="00F50EF8">
              <w:rPr>
                <w:rFonts w:cstheme="minorHAnsi"/>
                <w:color w:val="000000"/>
                <w:kern w:val="0"/>
                <w:sz w:val="20"/>
                <w:szCs w:val="20"/>
                <w14:numSpacing w14:val="default"/>
              </w:rPr>
              <w:t xml:space="preserve"> grundskolan</w:t>
            </w:r>
          </w:p>
        </w:tc>
        <w:tc>
          <w:tcPr>
            <w:tcW w:w="1228" w:type="dxa"/>
            <w:tcBorders>
              <w:top w:val="nil"/>
              <w:left w:val="nil"/>
              <w:bottom w:val="nil"/>
              <w:right w:val="nil"/>
            </w:tcBorders>
          </w:tcPr>
          <w:p w:rsidRPr="00F50EF8" w:rsidR="00A307C0" w:rsidP="008B2480" w:rsidRDefault="00A307C0" w14:paraId="05B6C50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8" w:type="dxa"/>
            <w:tcBorders>
              <w:top w:val="nil"/>
              <w:left w:val="nil"/>
              <w:bottom w:val="nil"/>
              <w:right w:val="nil"/>
            </w:tcBorders>
          </w:tcPr>
          <w:p w:rsidRPr="00F50EF8" w:rsidR="00A307C0" w:rsidP="008B2480" w:rsidRDefault="00A307C0" w14:paraId="4FB0422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9" w:type="dxa"/>
            <w:tcBorders>
              <w:top w:val="nil"/>
              <w:left w:val="nil"/>
              <w:bottom w:val="nil"/>
              <w:right w:val="nil"/>
            </w:tcBorders>
          </w:tcPr>
          <w:p w:rsidRPr="00F50EF8" w:rsidR="00A307C0" w:rsidP="008B2480" w:rsidRDefault="00A307C0" w14:paraId="37E6B20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2</w:t>
            </w:r>
          </w:p>
        </w:tc>
      </w:tr>
      <w:tr w:rsidRPr="00F50EF8" w:rsidR="00A307C0" w:rsidTr="005E44F3" w14:paraId="78A180CB" w14:textId="77777777">
        <w:trPr>
          <w:trHeight w:val="290"/>
        </w:trPr>
        <w:tc>
          <w:tcPr>
            <w:tcW w:w="4820" w:type="dxa"/>
            <w:tcBorders>
              <w:top w:val="nil"/>
              <w:left w:val="nil"/>
              <w:bottom w:val="nil"/>
              <w:right w:val="nil"/>
            </w:tcBorders>
          </w:tcPr>
          <w:p w:rsidRPr="00F50EF8" w:rsidR="00A307C0" w:rsidP="008B2480" w:rsidRDefault="00A307C0" w14:paraId="5C6E2BB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Fritidshem med störst behov</w:t>
            </w:r>
          </w:p>
        </w:tc>
        <w:tc>
          <w:tcPr>
            <w:tcW w:w="1228" w:type="dxa"/>
            <w:tcBorders>
              <w:top w:val="nil"/>
              <w:left w:val="nil"/>
              <w:bottom w:val="nil"/>
              <w:right w:val="nil"/>
            </w:tcBorders>
          </w:tcPr>
          <w:p w:rsidRPr="00F50EF8" w:rsidR="00A307C0" w:rsidP="008B2480" w:rsidRDefault="00A307C0" w14:paraId="098F37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0,3</w:t>
            </w:r>
          </w:p>
        </w:tc>
        <w:tc>
          <w:tcPr>
            <w:tcW w:w="1228" w:type="dxa"/>
            <w:tcBorders>
              <w:top w:val="nil"/>
              <w:left w:val="nil"/>
              <w:bottom w:val="nil"/>
              <w:right w:val="nil"/>
            </w:tcBorders>
          </w:tcPr>
          <w:p w:rsidRPr="00F50EF8" w:rsidR="00A307C0" w:rsidP="008B2480" w:rsidRDefault="00A307C0" w14:paraId="565ED7D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0,3</w:t>
            </w:r>
          </w:p>
        </w:tc>
        <w:tc>
          <w:tcPr>
            <w:tcW w:w="1229" w:type="dxa"/>
            <w:tcBorders>
              <w:top w:val="nil"/>
              <w:left w:val="nil"/>
              <w:bottom w:val="nil"/>
              <w:right w:val="nil"/>
            </w:tcBorders>
          </w:tcPr>
          <w:p w:rsidRPr="00F50EF8" w:rsidR="00A307C0" w:rsidP="008B2480" w:rsidRDefault="00A307C0" w14:paraId="0F8B936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0,3</w:t>
            </w:r>
          </w:p>
        </w:tc>
      </w:tr>
      <w:tr w:rsidRPr="00F50EF8" w:rsidR="00A307C0" w:rsidTr="005E44F3" w14:paraId="32771F19" w14:textId="77777777">
        <w:trPr>
          <w:trHeight w:val="290"/>
        </w:trPr>
        <w:tc>
          <w:tcPr>
            <w:tcW w:w="4820" w:type="dxa"/>
            <w:tcBorders>
              <w:top w:val="nil"/>
              <w:left w:val="nil"/>
              <w:bottom w:val="nil"/>
              <w:right w:val="nil"/>
            </w:tcBorders>
          </w:tcPr>
          <w:p w:rsidRPr="00F50EF8" w:rsidR="00A307C0" w:rsidP="008B2480" w:rsidRDefault="00A307C0" w14:paraId="66D6F16B" w14:textId="54A42DF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Nej till prestationsbund</w:t>
            </w:r>
            <w:r w:rsidRPr="00F50EF8" w:rsidR="00B55DF0">
              <w:rPr>
                <w:rFonts w:cstheme="minorHAnsi"/>
                <w:color w:val="000000"/>
                <w:kern w:val="0"/>
                <w:sz w:val="20"/>
                <w:szCs w:val="20"/>
                <w14:numSpacing w14:val="default"/>
              </w:rPr>
              <w:t>n</w:t>
            </w:r>
            <w:r w:rsidRPr="00F50EF8">
              <w:rPr>
                <w:rFonts w:cstheme="minorHAnsi"/>
                <w:color w:val="000000"/>
                <w:kern w:val="0"/>
                <w:sz w:val="20"/>
                <w:szCs w:val="20"/>
                <w14:numSpacing w14:val="default"/>
              </w:rPr>
              <w:t>a medel</w:t>
            </w:r>
          </w:p>
        </w:tc>
        <w:tc>
          <w:tcPr>
            <w:tcW w:w="1228" w:type="dxa"/>
            <w:tcBorders>
              <w:top w:val="nil"/>
              <w:left w:val="nil"/>
              <w:bottom w:val="nil"/>
              <w:right w:val="nil"/>
            </w:tcBorders>
          </w:tcPr>
          <w:p w:rsidRPr="00F50EF8" w:rsidR="00A307C0" w:rsidP="008B2480" w:rsidRDefault="008B2480" w14:paraId="5EF87182" w14:textId="1A028D4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F50EF8" w:rsidR="00A307C0">
              <w:rPr>
                <w:rFonts w:cstheme="minorHAnsi"/>
                <w:color w:val="000000"/>
                <w:kern w:val="0"/>
                <w:sz w:val="20"/>
                <w:szCs w:val="20"/>
                <w14:numSpacing w14:val="default"/>
              </w:rPr>
              <w:t>3</w:t>
            </w:r>
          </w:p>
        </w:tc>
        <w:tc>
          <w:tcPr>
            <w:tcW w:w="1228" w:type="dxa"/>
            <w:tcBorders>
              <w:top w:val="nil"/>
              <w:left w:val="nil"/>
              <w:bottom w:val="nil"/>
              <w:right w:val="nil"/>
            </w:tcBorders>
          </w:tcPr>
          <w:p w:rsidRPr="00F50EF8" w:rsidR="00A307C0" w:rsidP="008B2480" w:rsidRDefault="008B2480" w14:paraId="7C2767AF" w14:textId="6F01DEC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F50EF8" w:rsidR="00A307C0">
              <w:rPr>
                <w:rFonts w:cstheme="minorHAnsi"/>
                <w:color w:val="000000"/>
                <w:kern w:val="0"/>
                <w:sz w:val="20"/>
                <w:szCs w:val="20"/>
                <w14:numSpacing w14:val="default"/>
              </w:rPr>
              <w:t>3</w:t>
            </w:r>
          </w:p>
        </w:tc>
        <w:tc>
          <w:tcPr>
            <w:tcW w:w="1229" w:type="dxa"/>
            <w:tcBorders>
              <w:top w:val="nil"/>
              <w:left w:val="nil"/>
              <w:bottom w:val="nil"/>
              <w:right w:val="nil"/>
            </w:tcBorders>
          </w:tcPr>
          <w:p w:rsidRPr="00F50EF8" w:rsidR="00A307C0" w:rsidP="008B2480" w:rsidRDefault="008B2480" w14:paraId="0EC18E27" w14:textId="67B457A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F50EF8" w:rsidR="00A307C0">
              <w:rPr>
                <w:rFonts w:cstheme="minorHAnsi"/>
                <w:color w:val="000000"/>
                <w:kern w:val="0"/>
                <w:sz w:val="20"/>
                <w:szCs w:val="20"/>
                <w14:numSpacing w14:val="default"/>
              </w:rPr>
              <w:t>3</w:t>
            </w:r>
          </w:p>
        </w:tc>
      </w:tr>
      <w:tr w:rsidRPr="00F50EF8" w:rsidR="00A307C0" w:rsidTr="005E44F3" w14:paraId="37EC6404" w14:textId="77777777">
        <w:trPr>
          <w:trHeight w:val="326"/>
        </w:trPr>
        <w:tc>
          <w:tcPr>
            <w:tcW w:w="4820" w:type="dxa"/>
            <w:tcBorders>
              <w:top w:val="nil"/>
              <w:left w:val="nil"/>
              <w:right w:val="nil"/>
            </w:tcBorders>
          </w:tcPr>
          <w:p w:rsidRPr="00F50EF8" w:rsidR="00A307C0" w:rsidP="008B2480" w:rsidRDefault="00A307C0" w14:paraId="1EF0CD03" w14:textId="4C082F5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Regeringens sjukvård</w:t>
            </w:r>
            <w:r w:rsidR="008B2480">
              <w:rPr>
                <w:rFonts w:cstheme="minorHAnsi"/>
                <w:color w:val="000000"/>
                <w:kern w:val="0"/>
                <w:sz w:val="20"/>
                <w:szCs w:val="20"/>
                <w14:numSpacing w14:val="default"/>
              </w:rPr>
              <w:t>s</w:t>
            </w:r>
            <w:r w:rsidRPr="00F50EF8">
              <w:rPr>
                <w:rFonts w:cstheme="minorHAnsi"/>
                <w:color w:val="000000"/>
                <w:kern w:val="0"/>
                <w:sz w:val="20"/>
                <w:szCs w:val="20"/>
                <w14:numSpacing w14:val="default"/>
              </w:rPr>
              <w:t>satsningar</w:t>
            </w:r>
          </w:p>
        </w:tc>
        <w:tc>
          <w:tcPr>
            <w:tcW w:w="1228" w:type="dxa"/>
            <w:tcBorders>
              <w:top w:val="nil"/>
              <w:left w:val="nil"/>
              <w:right w:val="nil"/>
            </w:tcBorders>
          </w:tcPr>
          <w:p w:rsidRPr="00F50EF8" w:rsidR="00A307C0" w:rsidP="008B2480" w:rsidRDefault="008B2480" w14:paraId="16F5B825" w14:textId="27E276B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F50EF8" w:rsidR="00A307C0">
              <w:rPr>
                <w:rFonts w:cstheme="minorHAnsi"/>
                <w:color w:val="000000"/>
                <w:kern w:val="0"/>
                <w:sz w:val="20"/>
                <w:szCs w:val="20"/>
                <w14:numSpacing w14:val="default"/>
              </w:rPr>
              <w:t>2,3</w:t>
            </w:r>
          </w:p>
        </w:tc>
        <w:tc>
          <w:tcPr>
            <w:tcW w:w="1228" w:type="dxa"/>
            <w:tcBorders>
              <w:top w:val="nil"/>
              <w:left w:val="nil"/>
              <w:right w:val="nil"/>
            </w:tcBorders>
          </w:tcPr>
          <w:p w:rsidRPr="00F50EF8" w:rsidR="00A307C0" w:rsidP="008B2480" w:rsidRDefault="008B2480" w14:paraId="6BA624ED" w14:textId="48198E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F50EF8" w:rsidR="00A307C0">
              <w:rPr>
                <w:rFonts w:cstheme="minorHAnsi"/>
                <w:color w:val="000000"/>
                <w:kern w:val="0"/>
                <w:sz w:val="20"/>
                <w:szCs w:val="20"/>
                <w14:numSpacing w14:val="default"/>
              </w:rPr>
              <w:t>1,3</w:t>
            </w:r>
          </w:p>
        </w:tc>
        <w:tc>
          <w:tcPr>
            <w:tcW w:w="1229" w:type="dxa"/>
            <w:tcBorders>
              <w:top w:val="nil"/>
              <w:left w:val="nil"/>
              <w:right w:val="nil"/>
            </w:tcBorders>
          </w:tcPr>
          <w:p w:rsidRPr="00F50EF8" w:rsidR="00A307C0" w:rsidP="008B2480" w:rsidRDefault="008B2480" w14:paraId="5FE38EDB" w14:textId="5B69C48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F50EF8" w:rsidR="00A307C0">
              <w:rPr>
                <w:rFonts w:cstheme="minorHAnsi"/>
                <w:color w:val="000000"/>
                <w:kern w:val="0"/>
                <w:sz w:val="20"/>
                <w:szCs w:val="20"/>
                <w14:numSpacing w14:val="default"/>
              </w:rPr>
              <w:t>1,3</w:t>
            </w:r>
          </w:p>
        </w:tc>
      </w:tr>
      <w:tr w:rsidRPr="00F50EF8" w:rsidR="00A307C0" w:rsidTr="005E44F3" w14:paraId="28717F61" w14:textId="77777777">
        <w:trPr>
          <w:trHeight w:val="290"/>
        </w:trPr>
        <w:tc>
          <w:tcPr>
            <w:tcW w:w="4820" w:type="dxa"/>
            <w:tcBorders>
              <w:left w:val="nil"/>
              <w:bottom w:val="single" w:color="auto" w:sz="6" w:space="0"/>
              <w:right w:val="nil"/>
            </w:tcBorders>
          </w:tcPr>
          <w:p w:rsidRPr="00F50EF8" w:rsidR="00A307C0" w:rsidP="008B2480" w:rsidRDefault="00A307C0" w14:paraId="02C5BBFB" w14:textId="3112B02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Summa</w:t>
            </w:r>
            <w:r w:rsidR="005E44F3">
              <w:rPr>
                <w:rFonts w:cstheme="minorHAnsi"/>
                <w:b/>
                <w:bCs/>
                <w:color w:val="000000"/>
                <w:kern w:val="0"/>
                <w:sz w:val="20"/>
                <w:szCs w:val="20"/>
                <w14:numSpacing w14:val="default"/>
              </w:rPr>
              <w:t xml:space="preserve"> för</w:t>
            </w:r>
            <w:r w:rsidRPr="00F50EF8">
              <w:rPr>
                <w:rFonts w:cstheme="minorHAnsi"/>
                <w:b/>
                <w:bCs/>
                <w:color w:val="000000"/>
                <w:kern w:val="0"/>
                <w:sz w:val="20"/>
                <w:szCs w:val="20"/>
                <w14:numSpacing w14:val="default"/>
              </w:rPr>
              <w:t xml:space="preserve"> verksamheter</w:t>
            </w:r>
          </w:p>
        </w:tc>
        <w:tc>
          <w:tcPr>
            <w:tcW w:w="1228" w:type="dxa"/>
            <w:tcBorders>
              <w:left w:val="nil"/>
              <w:bottom w:val="single" w:color="auto" w:sz="6" w:space="0"/>
              <w:right w:val="nil"/>
            </w:tcBorders>
          </w:tcPr>
          <w:p w:rsidRPr="00F50EF8" w:rsidR="00A307C0" w:rsidP="008B2480" w:rsidRDefault="00A307C0" w14:paraId="76C94D7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29,4</w:t>
            </w:r>
          </w:p>
        </w:tc>
        <w:tc>
          <w:tcPr>
            <w:tcW w:w="1228" w:type="dxa"/>
            <w:tcBorders>
              <w:left w:val="nil"/>
              <w:bottom w:val="single" w:color="auto" w:sz="6" w:space="0"/>
              <w:right w:val="nil"/>
            </w:tcBorders>
          </w:tcPr>
          <w:p w:rsidRPr="00F50EF8" w:rsidR="00A307C0" w:rsidP="008B2480" w:rsidRDefault="00A307C0" w14:paraId="23ACF04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37</w:t>
            </w:r>
          </w:p>
        </w:tc>
        <w:tc>
          <w:tcPr>
            <w:tcW w:w="1229" w:type="dxa"/>
            <w:tcBorders>
              <w:left w:val="nil"/>
              <w:bottom w:val="single" w:color="auto" w:sz="6" w:space="0"/>
              <w:right w:val="nil"/>
            </w:tcBorders>
          </w:tcPr>
          <w:p w:rsidRPr="00F50EF8" w:rsidR="00A307C0" w:rsidP="008B2480" w:rsidRDefault="00A307C0" w14:paraId="3C8A808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58</w:t>
            </w:r>
          </w:p>
        </w:tc>
      </w:tr>
      <w:tr w:rsidRPr="00F50EF8" w:rsidR="00A307C0" w:rsidTr="005E44F3" w14:paraId="20CFC016" w14:textId="77777777">
        <w:trPr>
          <w:trHeight w:val="290"/>
        </w:trPr>
        <w:tc>
          <w:tcPr>
            <w:tcW w:w="4820" w:type="dxa"/>
            <w:tcBorders>
              <w:top w:val="nil"/>
              <w:left w:val="nil"/>
              <w:bottom w:val="nil"/>
              <w:right w:val="nil"/>
            </w:tcBorders>
          </w:tcPr>
          <w:p w:rsidRPr="00F50EF8" w:rsidR="00A307C0" w:rsidP="008B2480" w:rsidRDefault="00A307C0" w14:paraId="253078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8" w:type="dxa"/>
            <w:tcBorders>
              <w:top w:val="nil"/>
              <w:left w:val="nil"/>
              <w:bottom w:val="nil"/>
              <w:right w:val="nil"/>
            </w:tcBorders>
          </w:tcPr>
          <w:p w:rsidRPr="00F50EF8" w:rsidR="00A307C0" w:rsidP="008B2480" w:rsidRDefault="00A307C0" w14:paraId="4F9A95B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8" w:type="dxa"/>
            <w:tcBorders>
              <w:top w:val="nil"/>
              <w:left w:val="nil"/>
              <w:bottom w:val="nil"/>
              <w:right w:val="nil"/>
            </w:tcBorders>
          </w:tcPr>
          <w:p w:rsidRPr="00F50EF8" w:rsidR="00A307C0" w:rsidP="008B2480" w:rsidRDefault="00A307C0" w14:paraId="786DC9D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9" w:type="dxa"/>
            <w:tcBorders>
              <w:top w:val="nil"/>
              <w:left w:val="nil"/>
              <w:bottom w:val="nil"/>
              <w:right w:val="nil"/>
            </w:tcBorders>
          </w:tcPr>
          <w:p w:rsidRPr="00F50EF8" w:rsidR="00A307C0" w:rsidP="008B2480" w:rsidRDefault="00A307C0" w14:paraId="26E4564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F50EF8" w:rsidR="00A307C0" w:rsidTr="005E44F3" w14:paraId="452B18C5" w14:textId="77777777">
        <w:trPr>
          <w:trHeight w:val="290"/>
        </w:trPr>
        <w:tc>
          <w:tcPr>
            <w:tcW w:w="4820" w:type="dxa"/>
            <w:tcBorders>
              <w:top w:val="nil"/>
              <w:left w:val="nil"/>
              <w:bottom w:val="nil"/>
              <w:right w:val="nil"/>
            </w:tcBorders>
          </w:tcPr>
          <w:p w:rsidRPr="00F50EF8" w:rsidR="00A307C0" w:rsidP="008B2480" w:rsidRDefault="00A307C0" w14:paraId="5D08C5F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ÖVRIGT</w:t>
            </w:r>
          </w:p>
        </w:tc>
        <w:tc>
          <w:tcPr>
            <w:tcW w:w="1228" w:type="dxa"/>
            <w:tcBorders>
              <w:top w:val="nil"/>
              <w:left w:val="nil"/>
              <w:bottom w:val="nil"/>
              <w:right w:val="nil"/>
            </w:tcBorders>
          </w:tcPr>
          <w:p w:rsidRPr="00F50EF8" w:rsidR="00A307C0" w:rsidP="008B2480" w:rsidRDefault="00A307C0" w14:paraId="34A0450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8" w:type="dxa"/>
            <w:tcBorders>
              <w:top w:val="nil"/>
              <w:left w:val="nil"/>
              <w:bottom w:val="nil"/>
              <w:right w:val="nil"/>
            </w:tcBorders>
          </w:tcPr>
          <w:p w:rsidRPr="00F50EF8" w:rsidR="00A307C0" w:rsidP="008B2480" w:rsidRDefault="00A307C0" w14:paraId="0384769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229" w:type="dxa"/>
            <w:tcBorders>
              <w:top w:val="nil"/>
              <w:left w:val="nil"/>
              <w:bottom w:val="nil"/>
              <w:right w:val="nil"/>
            </w:tcBorders>
          </w:tcPr>
          <w:p w:rsidRPr="00F50EF8" w:rsidR="00A307C0" w:rsidP="008B2480" w:rsidRDefault="00A307C0" w14:paraId="0BC5FA9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F50EF8" w:rsidR="00A307C0" w:rsidTr="005E44F3" w14:paraId="08ED8FA2" w14:textId="77777777">
        <w:trPr>
          <w:trHeight w:val="290"/>
        </w:trPr>
        <w:tc>
          <w:tcPr>
            <w:tcW w:w="4820" w:type="dxa"/>
            <w:tcBorders>
              <w:top w:val="nil"/>
              <w:left w:val="nil"/>
              <w:bottom w:val="nil"/>
              <w:right w:val="nil"/>
            </w:tcBorders>
          </w:tcPr>
          <w:p w:rsidRPr="00F50EF8" w:rsidR="00A307C0" w:rsidP="008B2480" w:rsidRDefault="00A307C0" w14:paraId="216213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Halverade biljettpriser i kollektivtrafiken</w:t>
            </w:r>
          </w:p>
        </w:tc>
        <w:tc>
          <w:tcPr>
            <w:tcW w:w="1228" w:type="dxa"/>
            <w:tcBorders>
              <w:top w:val="nil"/>
              <w:left w:val="nil"/>
              <w:bottom w:val="nil"/>
              <w:right w:val="nil"/>
            </w:tcBorders>
          </w:tcPr>
          <w:p w:rsidRPr="00F50EF8" w:rsidR="00A307C0" w:rsidP="008B2480" w:rsidRDefault="00A307C0" w14:paraId="4AA4886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12</w:t>
            </w:r>
          </w:p>
        </w:tc>
        <w:tc>
          <w:tcPr>
            <w:tcW w:w="1228" w:type="dxa"/>
            <w:tcBorders>
              <w:top w:val="nil"/>
              <w:left w:val="nil"/>
              <w:bottom w:val="nil"/>
              <w:right w:val="nil"/>
            </w:tcBorders>
          </w:tcPr>
          <w:p w:rsidRPr="00F50EF8" w:rsidR="00A307C0" w:rsidP="008B2480" w:rsidRDefault="00A307C0" w14:paraId="2511AE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12</w:t>
            </w:r>
          </w:p>
        </w:tc>
        <w:tc>
          <w:tcPr>
            <w:tcW w:w="1229" w:type="dxa"/>
            <w:tcBorders>
              <w:top w:val="nil"/>
              <w:left w:val="nil"/>
              <w:bottom w:val="nil"/>
              <w:right w:val="nil"/>
            </w:tcBorders>
          </w:tcPr>
          <w:p w:rsidRPr="00F50EF8" w:rsidR="00A307C0" w:rsidP="008B2480" w:rsidRDefault="00A307C0" w14:paraId="3262874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12</w:t>
            </w:r>
          </w:p>
        </w:tc>
      </w:tr>
      <w:tr w:rsidRPr="00F50EF8" w:rsidR="00A307C0" w:rsidTr="005E44F3" w14:paraId="7EE2C496" w14:textId="77777777">
        <w:trPr>
          <w:trHeight w:val="290"/>
        </w:trPr>
        <w:tc>
          <w:tcPr>
            <w:tcW w:w="4820" w:type="dxa"/>
            <w:tcBorders>
              <w:top w:val="nil"/>
              <w:left w:val="nil"/>
              <w:bottom w:val="nil"/>
              <w:right w:val="nil"/>
            </w:tcBorders>
          </w:tcPr>
          <w:p w:rsidRPr="00F50EF8" w:rsidR="00A307C0" w:rsidP="008B2480" w:rsidRDefault="00A307C0" w14:paraId="1CABFA98" w14:textId="26E5DA9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Investeringsstöd</w:t>
            </w:r>
            <w:r w:rsidR="008B2480">
              <w:rPr>
                <w:rFonts w:cstheme="minorHAnsi"/>
                <w:color w:val="000000"/>
                <w:kern w:val="0"/>
                <w:sz w:val="20"/>
                <w:szCs w:val="20"/>
                <w14:numSpacing w14:val="default"/>
              </w:rPr>
              <w:t xml:space="preserve"> för</w:t>
            </w:r>
            <w:r w:rsidRPr="00F50EF8">
              <w:rPr>
                <w:rFonts w:cstheme="minorHAnsi"/>
                <w:color w:val="000000"/>
                <w:kern w:val="0"/>
                <w:sz w:val="20"/>
                <w:szCs w:val="20"/>
                <w14:numSpacing w14:val="default"/>
              </w:rPr>
              <w:t xml:space="preserve"> samhällsfastigheter</w:t>
            </w:r>
          </w:p>
        </w:tc>
        <w:tc>
          <w:tcPr>
            <w:tcW w:w="1228" w:type="dxa"/>
            <w:tcBorders>
              <w:top w:val="nil"/>
              <w:left w:val="nil"/>
              <w:bottom w:val="nil"/>
              <w:right w:val="nil"/>
            </w:tcBorders>
          </w:tcPr>
          <w:p w:rsidRPr="00F50EF8" w:rsidR="00A307C0" w:rsidP="008B2480" w:rsidRDefault="00A307C0" w14:paraId="0CB94A4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2</w:t>
            </w:r>
          </w:p>
        </w:tc>
        <w:tc>
          <w:tcPr>
            <w:tcW w:w="1228" w:type="dxa"/>
            <w:tcBorders>
              <w:top w:val="nil"/>
              <w:left w:val="nil"/>
              <w:bottom w:val="nil"/>
              <w:right w:val="nil"/>
            </w:tcBorders>
          </w:tcPr>
          <w:p w:rsidRPr="00F50EF8" w:rsidR="00A307C0" w:rsidP="008B2480" w:rsidRDefault="00A307C0" w14:paraId="3B641E7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3</w:t>
            </w:r>
          </w:p>
        </w:tc>
        <w:tc>
          <w:tcPr>
            <w:tcW w:w="1229" w:type="dxa"/>
            <w:tcBorders>
              <w:top w:val="nil"/>
              <w:left w:val="nil"/>
              <w:bottom w:val="nil"/>
              <w:right w:val="nil"/>
            </w:tcBorders>
          </w:tcPr>
          <w:p w:rsidRPr="00F50EF8" w:rsidR="00A307C0" w:rsidP="008B2480" w:rsidRDefault="00A307C0" w14:paraId="0AF1F22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4</w:t>
            </w:r>
          </w:p>
        </w:tc>
      </w:tr>
      <w:tr w:rsidRPr="00F50EF8" w:rsidR="00A307C0" w:rsidTr="005E44F3" w14:paraId="76E186C8" w14:textId="77777777">
        <w:trPr>
          <w:trHeight w:val="290"/>
        </w:trPr>
        <w:tc>
          <w:tcPr>
            <w:tcW w:w="4820" w:type="dxa"/>
            <w:tcBorders>
              <w:top w:val="nil"/>
              <w:left w:val="nil"/>
              <w:bottom w:val="nil"/>
              <w:right w:val="nil"/>
            </w:tcBorders>
          </w:tcPr>
          <w:p w:rsidRPr="00F50EF8" w:rsidR="00A307C0" w:rsidP="008B2480" w:rsidRDefault="00A307C0" w14:paraId="5C9C9E35" w14:textId="724598C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Investeringsstöd</w:t>
            </w:r>
            <w:r w:rsidR="008B2480">
              <w:rPr>
                <w:rFonts w:cstheme="minorHAnsi"/>
                <w:color w:val="000000"/>
                <w:kern w:val="0"/>
                <w:sz w:val="20"/>
                <w:szCs w:val="20"/>
                <w14:numSpacing w14:val="default"/>
              </w:rPr>
              <w:t xml:space="preserve"> för</w:t>
            </w:r>
            <w:r w:rsidRPr="00F50EF8">
              <w:rPr>
                <w:rFonts w:cstheme="minorHAnsi"/>
                <w:color w:val="000000"/>
                <w:kern w:val="0"/>
                <w:sz w:val="20"/>
                <w:szCs w:val="20"/>
                <w14:numSpacing w14:val="default"/>
              </w:rPr>
              <w:t xml:space="preserve"> utbyggd kollektivtrafik</w:t>
            </w:r>
          </w:p>
        </w:tc>
        <w:tc>
          <w:tcPr>
            <w:tcW w:w="1228" w:type="dxa"/>
            <w:tcBorders>
              <w:top w:val="nil"/>
              <w:left w:val="nil"/>
              <w:bottom w:val="nil"/>
              <w:right w:val="nil"/>
            </w:tcBorders>
          </w:tcPr>
          <w:p w:rsidRPr="00F50EF8" w:rsidR="00A307C0" w:rsidP="008B2480" w:rsidRDefault="00A307C0" w14:paraId="7F6E50D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4</w:t>
            </w:r>
          </w:p>
        </w:tc>
        <w:tc>
          <w:tcPr>
            <w:tcW w:w="1228" w:type="dxa"/>
            <w:tcBorders>
              <w:top w:val="nil"/>
              <w:left w:val="nil"/>
              <w:bottom w:val="nil"/>
              <w:right w:val="nil"/>
            </w:tcBorders>
          </w:tcPr>
          <w:p w:rsidRPr="00F50EF8" w:rsidR="00A307C0" w:rsidP="008B2480" w:rsidRDefault="00A307C0" w14:paraId="4621008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4</w:t>
            </w:r>
          </w:p>
        </w:tc>
        <w:tc>
          <w:tcPr>
            <w:tcW w:w="1229" w:type="dxa"/>
            <w:tcBorders>
              <w:top w:val="nil"/>
              <w:left w:val="nil"/>
              <w:bottom w:val="nil"/>
              <w:right w:val="nil"/>
            </w:tcBorders>
          </w:tcPr>
          <w:p w:rsidRPr="00F50EF8" w:rsidR="00A307C0" w:rsidP="008B2480" w:rsidRDefault="00A307C0" w14:paraId="7B1F328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4</w:t>
            </w:r>
          </w:p>
        </w:tc>
      </w:tr>
      <w:tr w:rsidRPr="00F50EF8" w:rsidR="00A307C0" w:rsidTr="005E44F3" w14:paraId="65AFFE0C" w14:textId="77777777">
        <w:trPr>
          <w:trHeight w:val="290"/>
        </w:trPr>
        <w:tc>
          <w:tcPr>
            <w:tcW w:w="4820" w:type="dxa"/>
            <w:tcBorders>
              <w:top w:val="nil"/>
              <w:left w:val="nil"/>
              <w:bottom w:val="nil"/>
              <w:right w:val="nil"/>
            </w:tcBorders>
          </w:tcPr>
          <w:p w:rsidRPr="00F50EF8" w:rsidR="00A307C0" w:rsidP="008B2480" w:rsidRDefault="00A307C0" w14:paraId="44FC93AD" w14:textId="7354AE7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Investeringsstöd</w:t>
            </w:r>
            <w:r w:rsidR="008B2480">
              <w:rPr>
                <w:rFonts w:cstheme="minorHAnsi"/>
                <w:color w:val="000000"/>
                <w:kern w:val="0"/>
                <w:sz w:val="20"/>
                <w:szCs w:val="20"/>
                <w14:numSpacing w14:val="default"/>
              </w:rPr>
              <w:t xml:space="preserve"> för</w:t>
            </w:r>
            <w:r w:rsidRPr="00F50EF8">
              <w:rPr>
                <w:rFonts w:cstheme="minorHAnsi"/>
                <w:color w:val="000000"/>
                <w:kern w:val="0"/>
                <w:sz w:val="20"/>
                <w:szCs w:val="20"/>
                <w14:numSpacing w14:val="default"/>
              </w:rPr>
              <w:t xml:space="preserve"> lekparker m.m.</w:t>
            </w:r>
          </w:p>
        </w:tc>
        <w:tc>
          <w:tcPr>
            <w:tcW w:w="1228" w:type="dxa"/>
            <w:tcBorders>
              <w:top w:val="nil"/>
              <w:left w:val="nil"/>
              <w:bottom w:val="nil"/>
              <w:right w:val="nil"/>
            </w:tcBorders>
          </w:tcPr>
          <w:p w:rsidRPr="00F50EF8" w:rsidR="00A307C0" w:rsidP="008B2480" w:rsidRDefault="00A307C0" w14:paraId="28BA38C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0,5</w:t>
            </w:r>
          </w:p>
        </w:tc>
        <w:tc>
          <w:tcPr>
            <w:tcW w:w="1228" w:type="dxa"/>
            <w:tcBorders>
              <w:top w:val="nil"/>
              <w:left w:val="nil"/>
              <w:bottom w:val="nil"/>
              <w:right w:val="nil"/>
            </w:tcBorders>
          </w:tcPr>
          <w:p w:rsidRPr="00F50EF8" w:rsidR="00A307C0" w:rsidP="008B2480" w:rsidRDefault="00A307C0" w14:paraId="0B20F77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0,5</w:t>
            </w:r>
          </w:p>
        </w:tc>
        <w:tc>
          <w:tcPr>
            <w:tcW w:w="1229" w:type="dxa"/>
            <w:tcBorders>
              <w:top w:val="nil"/>
              <w:left w:val="nil"/>
              <w:bottom w:val="nil"/>
              <w:right w:val="nil"/>
            </w:tcBorders>
          </w:tcPr>
          <w:p w:rsidRPr="00F50EF8" w:rsidR="00A307C0" w:rsidP="008B2480" w:rsidRDefault="00A307C0" w14:paraId="0AC293E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0,5</w:t>
            </w:r>
          </w:p>
        </w:tc>
      </w:tr>
      <w:tr w:rsidRPr="00F50EF8" w:rsidR="00A307C0" w:rsidTr="005E44F3" w14:paraId="6992DA30" w14:textId="77777777">
        <w:trPr>
          <w:trHeight w:val="290"/>
        </w:trPr>
        <w:tc>
          <w:tcPr>
            <w:tcW w:w="4820" w:type="dxa"/>
            <w:tcBorders>
              <w:top w:val="nil"/>
              <w:left w:val="nil"/>
              <w:bottom w:val="nil"/>
              <w:right w:val="nil"/>
            </w:tcBorders>
          </w:tcPr>
          <w:p w:rsidRPr="00F50EF8" w:rsidR="00A307C0" w:rsidP="008B2480" w:rsidRDefault="00A307C0" w14:paraId="2BB1EE0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Avgiftsfri kulturskola</w:t>
            </w:r>
          </w:p>
        </w:tc>
        <w:tc>
          <w:tcPr>
            <w:tcW w:w="1228" w:type="dxa"/>
            <w:tcBorders>
              <w:top w:val="nil"/>
              <w:left w:val="nil"/>
              <w:bottom w:val="nil"/>
              <w:right w:val="nil"/>
            </w:tcBorders>
          </w:tcPr>
          <w:p w:rsidRPr="00F50EF8" w:rsidR="00A307C0" w:rsidP="008B2480" w:rsidRDefault="00A307C0" w14:paraId="64042F1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0,3</w:t>
            </w:r>
          </w:p>
        </w:tc>
        <w:tc>
          <w:tcPr>
            <w:tcW w:w="1228" w:type="dxa"/>
            <w:tcBorders>
              <w:top w:val="nil"/>
              <w:left w:val="nil"/>
              <w:bottom w:val="nil"/>
              <w:right w:val="nil"/>
            </w:tcBorders>
          </w:tcPr>
          <w:p w:rsidRPr="00F50EF8" w:rsidR="00A307C0" w:rsidP="008B2480" w:rsidRDefault="00A307C0" w14:paraId="0F8F954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0,4</w:t>
            </w:r>
          </w:p>
        </w:tc>
        <w:tc>
          <w:tcPr>
            <w:tcW w:w="1229" w:type="dxa"/>
            <w:tcBorders>
              <w:top w:val="nil"/>
              <w:left w:val="nil"/>
              <w:bottom w:val="nil"/>
              <w:right w:val="nil"/>
            </w:tcBorders>
          </w:tcPr>
          <w:p w:rsidRPr="00F50EF8" w:rsidR="00A307C0" w:rsidP="008B2480" w:rsidRDefault="00A307C0" w14:paraId="125F357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0,4</w:t>
            </w:r>
          </w:p>
        </w:tc>
      </w:tr>
      <w:tr w:rsidRPr="00F50EF8" w:rsidR="00A307C0" w:rsidTr="005E44F3" w14:paraId="2C491CFD" w14:textId="77777777">
        <w:trPr>
          <w:trHeight w:val="302"/>
        </w:trPr>
        <w:tc>
          <w:tcPr>
            <w:tcW w:w="4820" w:type="dxa"/>
            <w:tcBorders>
              <w:top w:val="nil"/>
              <w:left w:val="nil"/>
              <w:bottom w:val="nil"/>
              <w:right w:val="nil"/>
            </w:tcBorders>
          </w:tcPr>
          <w:p w:rsidRPr="00F50EF8" w:rsidR="00A307C0" w:rsidP="008B2480" w:rsidRDefault="00A307C0" w14:paraId="41C959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 xml:space="preserve">Höjd </w:t>
            </w:r>
            <w:proofErr w:type="spellStart"/>
            <w:r w:rsidRPr="00F50EF8">
              <w:rPr>
                <w:rFonts w:cstheme="minorHAnsi"/>
                <w:color w:val="000000"/>
                <w:kern w:val="0"/>
                <w:sz w:val="20"/>
                <w:szCs w:val="20"/>
                <w14:numSpacing w14:val="default"/>
              </w:rPr>
              <w:t>elbusspremie</w:t>
            </w:r>
            <w:proofErr w:type="spellEnd"/>
          </w:p>
        </w:tc>
        <w:tc>
          <w:tcPr>
            <w:tcW w:w="1228" w:type="dxa"/>
            <w:tcBorders>
              <w:top w:val="nil"/>
              <w:left w:val="nil"/>
              <w:bottom w:val="nil"/>
              <w:right w:val="nil"/>
            </w:tcBorders>
          </w:tcPr>
          <w:p w:rsidRPr="00F50EF8" w:rsidR="00A307C0" w:rsidP="008B2480" w:rsidRDefault="00A307C0" w14:paraId="648D8CE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w:t>
            </w:r>
          </w:p>
        </w:tc>
        <w:tc>
          <w:tcPr>
            <w:tcW w:w="1228" w:type="dxa"/>
            <w:tcBorders>
              <w:top w:val="nil"/>
              <w:left w:val="nil"/>
              <w:bottom w:val="nil"/>
              <w:right w:val="nil"/>
            </w:tcBorders>
          </w:tcPr>
          <w:p w:rsidRPr="00F50EF8" w:rsidR="00A307C0" w:rsidP="008B2480" w:rsidRDefault="00A307C0" w14:paraId="256480B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w:t>
            </w:r>
          </w:p>
        </w:tc>
        <w:tc>
          <w:tcPr>
            <w:tcW w:w="1229" w:type="dxa"/>
            <w:tcBorders>
              <w:top w:val="nil"/>
              <w:left w:val="nil"/>
              <w:bottom w:val="nil"/>
              <w:right w:val="nil"/>
            </w:tcBorders>
          </w:tcPr>
          <w:p w:rsidRPr="00F50EF8" w:rsidR="00A307C0" w:rsidP="008B2480" w:rsidRDefault="00A307C0" w14:paraId="1BABE3A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w:t>
            </w:r>
          </w:p>
        </w:tc>
      </w:tr>
      <w:tr w:rsidRPr="00F50EF8" w:rsidR="00A307C0" w:rsidTr="005E44F3" w14:paraId="55E7526D" w14:textId="77777777">
        <w:trPr>
          <w:trHeight w:val="290"/>
        </w:trPr>
        <w:tc>
          <w:tcPr>
            <w:tcW w:w="4820" w:type="dxa"/>
            <w:tcBorders>
              <w:top w:val="nil"/>
              <w:left w:val="nil"/>
              <w:bottom w:val="nil"/>
              <w:right w:val="nil"/>
            </w:tcBorders>
          </w:tcPr>
          <w:p w:rsidRPr="00F50EF8" w:rsidR="00A307C0" w:rsidP="008B2480" w:rsidRDefault="00A307C0" w14:paraId="0BE9ECE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 xml:space="preserve">Fribelopp i </w:t>
            </w:r>
            <w:proofErr w:type="spellStart"/>
            <w:r w:rsidRPr="00F50EF8">
              <w:rPr>
                <w:rFonts w:cstheme="minorHAnsi"/>
                <w:color w:val="000000"/>
                <w:kern w:val="0"/>
                <w:sz w:val="20"/>
                <w:szCs w:val="20"/>
                <w14:numSpacing w14:val="default"/>
              </w:rPr>
              <w:t>förskoleavgiften</w:t>
            </w:r>
            <w:proofErr w:type="spellEnd"/>
          </w:p>
        </w:tc>
        <w:tc>
          <w:tcPr>
            <w:tcW w:w="1228" w:type="dxa"/>
            <w:tcBorders>
              <w:top w:val="nil"/>
              <w:left w:val="nil"/>
              <w:bottom w:val="nil"/>
              <w:right w:val="nil"/>
            </w:tcBorders>
          </w:tcPr>
          <w:p w:rsidRPr="00F50EF8" w:rsidR="00A307C0" w:rsidP="008B2480" w:rsidRDefault="00A307C0" w14:paraId="28322F5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1,3</w:t>
            </w:r>
          </w:p>
        </w:tc>
        <w:tc>
          <w:tcPr>
            <w:tcW w:w="1228" w:type="dxa"/>
            <w:tcBorders>
              <w:top w:val="nil"/>
              <w:left w:val="nil"/>
              <w:bottom w:val="nil"/>
              <w:right w:val="nil"/>
            </w:tcBorders>
          </w:tcPr>
          <w:p w:rsidRPr="00F50EF8" w:rsidR="00A307C0" w:rsidP="008B2480" w:rsidRDefault="00A307C0" w14:paraId="284ED2C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1,4</w:t>
            </w:r>
          </w:p>
        </w:tc>
        <w:tc>
          <w:tcPr>
            <w:tcW w:w="1229" w:type="dxa"/>
            <w:tcBorders>
              <w:top w:val="nil"/>
              <w:left w:val="nil"/>
              <w:bottom w:val="nil"/>
              <w:right w:val="nil"/>
            </w:tcBorders>
          </w:tcPr>
          <w:p w:rsidRPr="00F50EF8" w:rsidR="00A307C0" w:rsidP="008B2480" w:rsidRDefault="00A307C0" w14:paraId="72F902A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1,4</w:t>
            </w:r>
          </w:p>
        </w:tc>
      </w:tr>
      <w:tr w:rsidRPr="00F50EF8" w:rsidR="00A307C0" w:rsidTr="005E44F3" w14:paraId="76F2E2E0" w14:textId="77777777">
        <w:trPr>
          <w:trHeight w:val="290"/>
        </w:trPr>
        <w:tc>
          <w:tcPr>
            <w:tcW w:w="4820" w:type="dxa"/>
            <w:tcBorders>
              <w:top w:val="nil"/>
              <w:left w:val="nil"/>
              <w:right w:val="nil"/>
            </w:tcBorders>
          </w:tcPr>
          <w:p w:rsidRPr="00F50EF8" w:rsidR="00A307C0" w:rsidP="008B2480" w:rsidRDefault="00A307C0" w14:paraId="2651FB6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F50EF8">
              <w:rPr>
                <w:rFonts w:cstheme="minorHAnsi"/>
                <w:color w:val="000000"/>
                <w:kern w:val="0"/>
                <w:sz w:val="20"/>
                <w:szCs w:val="20"/>
                <w14:numSpacing w14:val="default"/>
              </w:rPr>
              <w:t>Fribelopp i fritidshemsavgiften</w:t>
            </w:r>
          </w:p>
        </w:tc>
        <w:tc>
          <w:tcPr>
            <w:tcW w:w="1228" w:type="dxa"/>
            <w:tcBorders>
              <w:top w:val="nil"/>
              <w:left w:val="nil"/>
              <w:right w:val="nil"/>
            </w:tcBorders>
          </w:tcPr>
          <w:p w:rsidRPr="00F50EF8" w:rsidR="00A307C0" w:rsidP="008B2480" w:rsidRDefault="00A307C0" w14:paraId="3225CB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0,6</w:t>
            </w:r>
          </w:p>
        </w:tc>
        <w:tc>
          <w:tcPr>
            <w:tcW w:w="1228" w:type="dxa"/>
            <w:tcBorders>
              <w:top w:val="nil"/>
              <w:left w:val="nil"/>
              <w:right w:val="nil"/>
            </w:tcBorders>
          </w:tcPr>
          <w:p w:rsidRPr="00F50EF8" w:rsidR="00A307C0" w:rsidP="008B2480" w:rsidRDefault="00A307C0" w14:paraId="6F0FD6F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0,7</w:t>
            </w:r>
          </w:p>
        </w:tc>
        <w:tc>
          <w:tcPr>
            <w:tcW w:w="1229" w:type="dxa"/>
            <w:tcBorders>
              <w:top w:val="nil"/>
              <w:left w:val="nil"/>
              <w:right w:val="nil"/>
            </w:tcBorders>
          </w:tcPr>
          <w:p w:rsidRPr="00F50EF8" w:rsidR="00A307C0" w:rsidP="008B2480" w:rsidRDefault="00A307C0" w14:paraId="4DB6C00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F50EF8">
              <w:rPr>
                <w:rFonts w:cstheme="minorHAnsi"/>
                <w:color w:val="000000"/>
                <w:kern w:val="0"/>
                <w:sz w:val="20"/>
                <w:szCs w:val="20"/>
                <w14:numSpacing w14:val="default"/>
              </w:rPr>
              <w:t>0,7</w:t>
            </w:r>
          </w:p>
        </w:tc>
      </w:tr>
      <w:tr w:rsidRPr="00F50EF8" w:rsidR="00A307C0" w:rsidTr="005E44F3" w14:paraId="07C78AF2" w14:textId="77777777">
        <w:trPr>
          <w:trHeight w:val="302"/>
        </w:trPr>
        <w:tc>
          <w:tcPr>
            <w:tcW w:w="4820" w:type="dxa"/>
            <w:tcBorders>
              <w:left w:val="nil"/>
              <w:bottom w:val="single" w:color="auto" w:sz="4" w:space="0"/>
              <w:right w:val="nil"/>
            </w:tcBorders>
          </w:tcPr>
          <w:p w:rsidRPr="00F50EF8" w:rsidR="00A307C0" w:rsidP="008B2480" w:rsidRDefault="00A307C0" w14:paraId="5EF6AD00" w14:textId="5114669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Summa</w:t>
            </w:r>
            <w:r w:rsidR="008B2480">
              <w:rPr>
                <w:rFonts w:cstheme="minorHAnsi"/>
                <w:b/>
                <w:bCs/>
                <w:color w:val="000000"/>
                <w:kern w:val="0"/>
                <w:sz w:val="20"/>
                <w:szCs w:val="20"/>
                <w14:numSpacing w14:val="default"/>
              </w:rPr>
              <w:t xml:space="preserve"> för</w:t>
            </w:r>
            <w:r w:rsidRPr="00F50EF8">
              <w:rPr>
                <w:rFonts w:cstheme="minorHAnsi"/>
                <w:b/>
                <w:bCs/>
                <w:color w:val="000000"/>
                <w:kern w:val="0"/>
                <w:sz w:val="20"/>
                <w:szCs w:val="20"/>
                <w14:numSpacing w14:val="default"/>
              </w:rPr>
              <w:t xml:space="preserve"> verksamheter och övrigt</w:t>
            </w:r>
          </w:p>
        </w:tc>
        <w:tc>
          <w:tcPr>
            <w:tcW w:w="1228" w:type="dxa"/>
            <w:tcBorders>
              <w:left w:val="nil"/>
              <w:bottom w:val="single" w:color="auto" w:sz="4" w:space="0"/>
              <w:right w:val="nil"/>
            </w:tcBorders>
          </w:tcPr>
          <w:p w:rsidRPr="00F50EF8" w:rsidR="00A307C0" w:rsidP="008B2480" w:rsidRDefault="00A307C0" w14:paraId="3857BC2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51,1</w:t>
            </w:r>
          </w:p>
        </w:tc>
        <w:tc>
          <w:tcPr>
            <w:tcW w:w="1228" w:type="dxa"/>
            <w:tcBorders>
              <w:left w:val="nil"/>
              <w:bottom w:val="single" w:color="auto" w:sz="4" w:space="0"/>
              <w:right w:val="nil"/>
            </w:tcBorders>
          </w:tcPr>
          <w:p w:rsidRPr="00F50EF8" w:rsidR="00A307C0" w:rsidP="008B2480" w:rsidRDefault="00A307C0" w14:paraId="18D923B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60</w:t>
            </w:r>
          </w:p>
        </w:tc>
        <w:tc>
          <w:tcPr>
            <w:tcW w:w="1229" w:type="dxa"/>
            <w:tcBorders>
              <w:left w:val="nil"/>
              <w:bottom w:val="single" w:color="auto" w:sz="4" w:space="0"/>
              <w:right w:val="nil"/>
            </w:tcBorders>
          </w:tcPr>
          <w:p w:rsidRPr="00F50EF8" w:rsidR="00A307C0" w:rsidP="008B2480" w:rsidRDefault="00A307C0" w14:paraId="5D3CFD2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F50EF8">
              <w:rPr>
                <w:rFonts w:cstheme="minorHAnsi"/>
                <w:b/>
                <w:bCs/>
                <w:color w:val="000000"/>
                <w:kern w:val="0"/>
                <w:sz w:val="20"/>
                <w:szCs w:val="20"/>
                <w14:numSpacing w14:val="default"/>
              </w:rPr>
              <w:t>82</w:t>
            </w:r>
          </w:p>
        </w:tc>
      </w:tr>
    </w:tbl>
    <w:p w:rsidRPr="00FC2616" w:rsidR="00D6559C" w:rsidP="00A32D63" w:rsidRDefault="00D6559C" w14:paraId="12E70802" w14:textId="44A1644F">
      <w:pPr>
        <w:pStyle w:val="Rubrik1numrerat"/>
      </w:pPr>
      <w:bookmarkStart w:name="_Toc149814566" w:id="131"/>
      <w:r w:rsidRPr="00FC2616">
        <w:t>En kunskapsnation i världsklass</w:t>
      </w:r>
      <w:bookmarkEnd w:id="131"/>
    </w:p>
    <w:p w:rsidRPr="00FC2616" w:rsidR="00851BFC" w:rsidP="00851BFC" w:rsidRDefault="00851BFC" w14:paraId="593A0A51" w14:textId="008AC097">
      <w:pPr>
        <w:pStyle w:val="Normalutanindragellerluft"/>
        <w:rPr>
          <w:rFonts w:eastAsia="Times New Roman"/>
          <w:lang w:eastAsia="sv-SE"/>
        </w:rPr>
      </w:pPr>
      <w:r w:rsidRPr="00FC2616">
        <w:rPr>
          <w:rFonts w:eastAsia="Times New Roman"/>
          <w:lang w:eastAsia="sv-SE"/>
        </w:rPr>
        <w:t xml:space="preserve">Sverige kan och bör bli en kunskapsnation i världsklass. Förutsättningarna finns, men de senaste 30 årens skolpolitik har lett till en utveckling i motsatt riktning. Målet om en </w:t>
      </w:r>
      <w:r w:rsidRPr="00FC2616">
        <w:rPr>
          <w:rFonts w:eastAsia="Times New Roman"/>
          <w:lang w:eastAsia="sv-SE"/>
        </w:rPr>
        <w:lastRenderedPageBreak/>
        <w:t>kunskapsnation i världsklass är viktigt för att skapa ett mer jämlikt samhälle, där människor mår bättre</w:t>
      </w:r>
      <w:r w:rsidR="00380152">
        <w:rPr>
          <w:rFonts w:eastAsia="Times New Roman"/>
          <w:lang w:eastAsia="sv-SE"/>
        </w:rPr>
        <w:t xml:space="preserve"> och</w:t>
      </w:r>
      <w:r w:rsidRPr="00FC2616">
        <w:rPr>
          <w:rFonts w:eastAsia="Times New Roman"/>
          <w:lang w:eastAsia="sv-SE"/>
        </w:rPr>
        <w:t xml:space="preserve"> deltar i det demokratiska samhället i större utsträckning och på mer jämlika villkor, samt för att bidra med kompetent arbetskraft till arbets</w:t>
      </w:r>
      <w:r w:rsidR="00A95CD4">
        <w:rPr>
          <w:rFonts w:eastAsia="Times New Roman"/>
          <w:lang w:eastAsia="sv-SE"/>
        </w:rPr>
        <w:softHyphen/>
      </w:r>
      <w:r w:rsidRPr="00FC2616">
        <w:rPr>
          <w:rFonts w:eastAsia="Times New Roman"/>
          <w:lang w:eastAsia="sv-SE"/>
        </w:rPr>
        <w:t xml:space="preserve">marknaden och stärka arbetsmarknadens funktionssätt. Utbildning är också en central faktor för ekonomisk jämlikhet. En hög och jämn fördelning av kunskaper ger förutsättningar för en </w:t>
      </w:r>
      <w:r w:rsidRPr="00FC2616" w:rsidR="00DD0A25">
        <w:rPr>
          <w:rFonts w:eastAsia="Times New Roman"/>
          <w:lang w:eastAsia="sv-SE"/>
        </w:rPr>
        <w:t xml:space="preserve">både </w:t>
      </w:r>
      <w:r w:rsidRPr="00FC2616">
        <w:rPr>
          <w:rFonts w:eastAsia="Times New Roman"/>
          <w:lang w:eastAsia="sv-SE"/>
        </w:rPr>
        <w:t xml:space="preserve">hög, jämn och rimligt fördelad inkomstnivå. </w:t>
      </w:r>
    </w:p>
    <w:p w:rsidRPr="00FC2616" w:rsidR="00851BFC" w:rsidP="00851BFC" w:rsidRDefault="00851BFC" w14:paraId="0913E9B4" w14:textId="3C675D31">
      <w:pPr>
        <w:rPr>
          <w:rFonts w:eastAsia="Times New Roman"/>
          <w:lang w:eastAsia="sv-SE"/>
        </w:rPr>
      </w:pPr>
      <w:r w:rsidRPr="00FC2616">
        <w:rPr>
          <w:rFonts w:eastAsia="Times New Roman"/>
          <w:lang w:eastAsia="sv-SE"/>
        </w:rPr>
        <w:t>Den klimatförändring vi befinner oss mitt uppe i kräver en enorm omställning av vårt nuvarande ekonomiska system. Den strukturomvandling som ständigt pågår, som innebär att hundratusentals jobb försvinner och tillkommer varje år, måste öka kraftigt. Fler jobb kommer att försvinna det närmaste decenniet, men fler jobb måste också skapas för att klara omställningen.</w:t>
      </w:r>
    </w:p>
    <w:p w:rsidRPr="00FC2616" w:rsidR="00844A9B" w:rsidP="00975FE4" w:rsidRDefault="00851BFC" w14:paraId="04B6DFA0" w14:textId="0CC9A8C0">
      <w:pPr>
        <w:rPr>
          <w:rFonts w:eastAsia="Times New Roman"/>
          <w:lang w:eastAsia="sv-SE"/>
        </w:rPr>
      </w:pPr>
      <w:r w:rsidRPr="00FC2616">
        <w:rPr>
          <w:rFonts w:eastAsia="Times New Roman"/>
          <w:lang w:eastAsia="sv-SE"/>
        </w:rPr>
        <w:t xml:space="preserve">Det innebär stora krav på att ny kunskap tas fram inom forskningen, men också </w:t>
      </w:r>
      <w:r w:rsidR="00CF3BD9">
        <w:rPr>
          <w:rFonts w:eastAsia="Times New Roman"/>
          <w:lang w:eastAsia="sv-SE"/>
        </w:rPr>
        <w:t xml:space="preserve">på </w:t>
      </w:r>
      <w:r w:rsidRPr="00FC2616">
        <w:rPr>
          <w:rFonts w:eastAsia="Times New Roman"/>
          <w:lang w:eastAsia="sv-SE"/>
        </w:rPr>
        <w:t xml:space="preserve">en betydande kompetensväxling på arbetsmarknaden när omvandlingstakten ökar. Motorn i klimatomställningen kommer </w:t>
      </w:r>
      <w:r w:rsidR="00DC0E37">
        <w:rPr>
          <w:rFonts w:eastAsia="Times New Roman"/>
          <w:lang w:eastAsia="sv-SE"/>
        </w:rPr>
        <w:t xml:space="preserve">att </w:t>
      </w:r>
      <w:r w:rsidRPr="00FC2616">
        <w:rPr>
          <w:rFonts w:eastAsia="Times New Roman"/>
          <w:lang w:eastAsia="sv-SE"/>
        </w:rPr>
        <w:t xml:space="preserve">vara förändrad kunskap, avseende </w:t>
      </w:r>
      <w:r w:rsidRPr="00FC2616" w:rsidR="00264C8D">
        <w:rPr>
          <w:rFonts w:eastAsia="Times New Roman"/>
          <w:lang w:eastAsia="sv-SE"/>
        </w:rPr>
        <w:t xml:space="preserve">både </w:t>
      </w:r>
      <w:r w:rsidRPr="00FC2616">
        <w:rPr>
          <w:rFonts w:eastAsia="Times New Roman"/>
          <w:lang w:eastAsia="sv-SE"/>
        </w:rPr>
        <w:t xml:space="preserve">spets och bredd. </w:t>
      </w:r>
      <w:r w:rsidRPr="00FC2616" w:rsidR="003A0322">
        <w:rPr>
          <w:rFonts w:eastAsia="Times New Roman"/>
          <w:lang w:eastAsia="sv-SE"/>
        </w:rPr>
        <w:t>F</w:t>
      </w:r>
      <w:r w:rsidRPr="00FC2616">
        <w:rPr>
          <w:rFonts w:eastAsia="Times New Roman"/>
          <w:lang w:eastAsia="sv-SE"/>
        </w:rPr>
        <w:t>örskol</w:t>
      </w:r>
      <w:r w:rsidR="00264B5F">
        <w:rPr>
          <w:rFonts w:eastAsia="Times New Roman"/>
          <w:lang w:eastAsia="sv-SE"/>
        </w:rPr>
        <w:t>or</w:t>
      </w:r>
      <w:r w:rsidRPr="00FC2616">
        <w:rPr>
          <w:rFonts w:eastAsia="Times New Roman"/>
          <w:lang w:eastAsia="sv-SE"/>
        </w:rPr>
        <w:t>, grundskol</w:t>
      </w:r>
      <w:r w:rsidR="00264B5F">
        <w:rPr>
          <w:rFonts w:eastAsia="Times New Roman"/>
          <w:lang w:eastAsia="sv-SE"/>
        </w:rPr>
        <w:t>or</w:t>
      </w:r>
      <w:r w:rsidRPr="00FC2616">
        <w:rPr>
          <w:rFonts w:eastAsia="Times New Roman"/>
          <w:lang w:eastAsia="sv-SE"/>
        </w:rPr>
        <w:t xml:space="preserve"> och gymnasium </w:t>
      </w:r>
      <w:r w:rsidRPr="00FC2616" w:rsidR="003A0322">
        <w:rPr>
          <w:rFonts w:eastAsia="Times New Roman"/>
          <w:lang w:eastAsia="sv-SE"/>
        </w:rPr>
        <w:t xml:space="preserve">måste </w:t>
      </w:r>
      <w:r w:rsidRPr="00FC2616">
        <w:rPr>
          <w:rFonts w:eastAsia="Times New Roman"/>
          <w:lang w:eastAsia="sv-SE"/>
        </w:rPr>
        <w:t>ge alla medborgare möjlighet att delta i denna omställning, men även det livslånga lärandet, kompetensutveckling</w:t>
      </w:r>
      <w:r w:rsidR="006135BF">
        <w:rPr>
          <w:rFonts w:eastAsia="Times New Roman"/>
          <w:lang w:eastAsia="sv-SE"/>
        </w:rPr>
        <w:t>en</w:t>
      </w:r>
      <w:r w:rsidRPr="00FC2616">
        <w:rPr>
          <w:rFonts w:eastAsia="Times New Roman"/>
          <w:lang w:eastAsia="sv-SE"/>
        </w:rPr>
        <w:t xml:space="preserve"> och arbetsmarknadspolitiken måste uppgraderas och anpassas till de nya kraven på ökad strukturomvandling.</w:t>
      </w:r>
    </w:p>
    <w:p w:rsidRPr="00FC2616" w:rsidR="00851BFC" w:rsidP="0092368C" w:rsidRDefault="00851BFC" w14:paraId="74F60864" w14:textId="036C08DE">
      <w:pPr>
        <w:pStyle w:val="Rubrik2numrerat"/>
      </w:pPr>
      <w:bookmarkStart w:name="_Toc111201330" w:id="132"/>
      <w:bookmarkStart w:name="_Toc111542857" w:id="133"/>
      <w:bookmarkStart w:name="_Toc115271206" w:id="134"/>
      <w:bookmarkStart w:name="_Toc149814567" w:id="135"/>
      <w:r w:rsidRPr="00FC2616">
        <w:t>Främja ökat deltagande i förskolan</w:t>
      </w:r>
      <w:bookmarkEnd w:id="132"/>
      <w:bookmarkEnd w:id="133"/>
      <w:bookmarkEnd w:id="134"/>
      <w:bookmarkEnd w:id="135"/>
    </w:p>
    <w:p w:rsidRPr="00FC2616" w:rsidR="000435C1" w:rsidP="000435C1" w:rsidRDefault="008B13D2" w14:paraId="12F7E205" w14:textId="2892847E">
      <w:pPr>
        <w:pStyle w:val="Normalutanindragellerluft"/>
        <w:rPr>
          <w:rFonts w:eastAsia="Times New Roman"/>
          <w:lang w:eastAsia="sv-SE"/>
        </w:rPr>
      </w:pPr>
      <w:r w:rsidRPr="00FC2616">
        <w:rPr>
          <w:rFonts w:eastAsia="Times New Roman"/>
          <w:lang w:eastAsia="sv-SE"/>
        </w:rPr>
        <w:t>I Skolinspektionens stora utvärdering av förskolan var den övergripande slutsatsen att kvaliteten varierar alltför mycket.</w:t>
      </w:r>
      <w:r w:rsidRPr="00FC2616">
        <w:rPr>
          <w:rFonts w:eastAsia="Times New Roman"/>
          <w:vertAlign w:val="superscript"/>
          <w:lang w:eastAsia="sv-SE"/>
        </w:rPr>
        <w:footnoteReference w:id="85"/>
      </w:r>
      <w:r w:rsidRPr="00FC2616">
        <w:rPr>
          <w:rFonts w:eastAsia="Times New Roman"/>
          <w:lang w:eastAsia="sv-SE"/>
        </w:rPr>
        <w:t xml:space="preserve"> Det är allvarligt eftersom förskolans kompensa</w:t>
      </w:r>
      <w:r w:rsidR="00A95CD4">
        <w:rPr>
          <w:rFonts w:eastAsia="Times New Roman"/>
          <w:lang w:eastAsia="sv-SE"/>
        </w:rPr>
        <w:softHyphen/>
      </w:r>
      <w:r w:rsidRPr="00FC2616">
        <w:rPr>
          <w:rFonts w:eastAsia="Times New Roman"/>
          <w:lang w:eastAsia="sv-SE"/>
        </w:rPr>
        <w:t>toriska uppdrag blir påtagligt i en samhällsutveckling med ökad skolsegregation och socioekonomiska skillnader. En samstämmig forskning visar att en förskolas möjlighet att vara utjämnande är avhängig av dess kvalitet. Allra störst betydelse har det för barn från ekonomiskt och socialt utsatta förhållanden.</w:t>
      </w:r>
      <w:r w:rsidRPr="00FC2616">
        <w:rPr>
          <w:rFonts w:eastAsia="Times New Roman"/>
          <w:vertAlign w:val="superscript"/>
          <w:lang w:eastAsia="sv-SE"/>
        </w:rPr>
        <w:footnoteReference w:id="86"/>
      </w:r>
      <w:r w:rsidRPr="00FC2616">
        <w:rPr>
          <w:rFonts w:eastAsia="Times New Roman"/>
          <w:lang w:eastAsia="sv-SE"/>
        </w:rPr>
        <w:t xml:space="preserve"> </w:t>
      </w:r>
    </w:p>
    <w:p w:rsidRPr="00FC2616" w:rsidR="00851BFC" w:rsidP="003B350B" w:rsidRDefault="00851BFC" w14:paraId="796EBEDC" w14:textId="32FABA69">
      <w:pPr>
        <w:rPr>
          <w:rFonts w:eastAsia="Times New Roman"/>
          <w:lang w:eastAsia="sv-SE"/>
        </w:rPr>
      </w:pPr>
      <w:r w:rsidRPr="00FC2616">
        <w:rPr>
          <w:rFonts w:eastAsia="Times New Roman"/>
          <w:lang w:eastAsia="sv-SE"/>
        </w:rPr>
        <w:t xml:space="preserve">Vänsterpartiet anser att alla barn i Sverige ska erbjudas likvärdig tillgång till förskola. Eftersom </w:t>
      </w:r>
      <w:proofErr w:type="spellStart"/>
      <w:r w:rsidRPr="00FC2616">
        <w:rPr>
          <w:rFonts w:eastAsia="Times New Roman"/>
          <w:lang w:eastAsia="sv-SE"/>
        </w:rPr>
        <w:t>förskoleavgiften</w:t>
      </w:r>
      <w:proofErr w:type="spellEnd"/>
      <w:r w:rsidRPr="00FC2616">
        <w:rPr>
          <w:rFonts w:eastAsia="Times New Roman"/>
          <w:lang w:eastAsia="sv-SE"/>
        </w:rPr>
        <w:t xml:space="preserve"> kan utgöra ett hinder för hushåll med små resurser vill vi genomföra en riktad sänkning av den. Förslaget innebär att det införs ett fribelopp om 20 000 kronor per månad och att den nuvarande gränsen för när maxtaxan börjar gälla höjs med 20 000 kronor per månad. Fribeloppet gör att den nuvarande nivån på maxtaxan inte påverkas.</w:t>
      </w:r>
      <w:r w:rsidRPr="00FC2616" w:rsidR="00A6652B">
        <w:rPr>
          <w:rFonts w:eastAsia="Times New Roman"/>
          <w:lang w:eastAsia="sv-SE"/>
        </w:rPr>
        <w:t xml:space="preserve"> Liknande modell tillämpas redan i dag i flera kommuner, </w:t>
      </w:r>
      <w:r w:rsidRPr="00FC2616" w:rsidR="00332D91">
        <w:rPr>
          <w:rFonts w:eastAsia="Times New Roman"/>
          <w:lang w:eastAsia="sv-SE"/>
        </w:rPr>
        <w:t>t.ex.</w:t>
      </w:r>
      <w:r w:rsidRPr="00FC2616" w:rsidR="00A6652B">
        <w:rPr>
          <w:rFonts w:eastAsia="Times New Roman"/>
          <w:lang w:eastAsia="sv-SE"/>
        </w:rPr>
        <w:t xml:space="preserve"> </w:t>
      </w:r>
      <w:r w:rsidR="00866452">
        <w:rPr>
          <w:rFonts w:eastAsia="Times New Roman"/>
          <w:lang w:eastAsia="sv-SE"/>
        </w:rPr>
        <w:t xml:space="preserve">i </w:t>
      </w:r>
      <w:r w:rsidRPr="00FC2616" w:rsidR="00A6652B">
        <w:rPr>
          <w:rFonts w:eastAsia="Times New Roman"/>
          <w:lang w:eastAsia="sv-SE"/>
        </w:rPr>
        <w:t>Skellefteå.</w:t>
      </w:r>
      <w:r w:rsidRPr="00FC2616" w:rsidR="00A6652B">
        <w:rPr>
          <w:rFonts w:eastAsia="Times New Roman"/>
          <w:vertAlign w:val="superscript"/>
          <w:lang w:eastAsia="sv-SE"/>
        </w:rPr>
        <w:footnoteReference w:id="87"/>
      </w:r>
      <w:r w:rsidR="00866452">
        <w:rPr>
          <w:rFonts w:eastAsia="Times New Roman"/>
          <w:lang w:eastAsia="sv-SE"/>
        </w:rPr>
        <w:t xml:space="preserve"> </w:t>
      </w:r>
      <w:r w:rsidRPr="00FC2616">
        <w:rPr>
          <w:rFonts w:eastAsia="Times New Roman"/>
          <w:lang w:eastAsia="sv-SE"/>
        </w:rPr>
        <w:t>Förslaget skulle innebära att hushåll med inkomster upp till 20 000 per månad inte betalar någon avgift alls. Hushåll med inkomster mellan 20 000 och 72 400 kronor får sänkt avgift och hushåll med inkomster över 72 400 kronor per månad får samma avgift som i</w:t>
      </w:r>
      <w:r w:rsidRPr="00FC2616" w:rsidR="00332D91">
        <w:rPr>
          <w:rFonts w:eastAsia="Times New Roman"/>
          <w:lang w:eastAsia="sv-SE"/>
        </w:rPr>
        <w:t xml:space="preserve"> </w:t>
      </w:r>
      <w:r w:rsidRPr="00FC2616">
        <w:rPr>
          <w:rFonts w:eastAsia="Times New Roman"/>
          <w:lang w:eastAsia="sv-SE"/>
        </w:rPr>
        <w:t xml:space="preserve">dag. </w:t>
      </w:r>
    </w:p>
    <w:p w:rsidR="00A95CD4" w:rsidRDefault="00A95CD4" w14:paraId="2AF6EDB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1F6236" w:rsidR="00851BFC" w:rsidP="001F6236" w:rsidRDefault="00851BFC" w14:paraId="6307F691" w14:textId="17F19BE9">
      <w:pPr>
        <w:pStyle w:val="Tabellrubrik"/>
      </w:pPr>
      <w:r w:rsidRPr="001F6236">
        <w:lastRenderedPageBreak/>
        <w:t>Tabell 4 Skillnad</w:t>
      </w:r>
      <w:r w:rsidRPr="001F6236" w:rsidR="006B648A">
        <w:t xml:space="preserve"> i</w:t>
      </w:r>
      <w:r w:rsidRPr="001F6236">
        <w:t xml:space="preserve"> </w:t>
      </w:r>
      <w:proofErr w:type="spellStart"/>
      <w:r w:rsidRPr="001F6236">
        <w:t>förskoleavgift</w:t>
      </w:r>
      <w:proofErr w:type="spellEnd"/>
      <w:r w:rsidRPr="001F6236">
        <w:t xml:space="preserve"> per månad i kronor</w:t>
      </w:r>
    </w:p>
    <w:tbl>
      <w:tblPr>
        <w:tblW w:w="8505" w:type="dxa"/>
        <w:tblLayout w:type="fixed"/>
        <w:tblCellMar>
          <w:left w:w="28" w:type="dxa"/>
          <w:right w:w="28" w:type="dxa"/>
        </w:tblCellMar>
        <w:tblLook w:val="04A0" w:firstRow="1" w:lastRow="0" w:firstColumn="1" w:lastColumn="0" w:noHBand="0" w:noVBand="1"/>
      </w:tblPr>
      <w:tblGrid>
        <w:gridCol w:w="2959"/>
        <w:gridCol w:w="1664"/>
        <w:gridCol w:w="1849"/>
        <w:gridCol w:w="2033"/>
      </w:tblGrid>
      <w:tr w:rsidRPr="001F6236" w:rsidR="00851BFC" w:rsidTr="00ED0C04" w14:paraId="4381F899" w14:textId="77777777">
        <w:trPr>
          <w:cantSplit/>
        </w:trPr>
        <w:tc>
          <w:tcPr>
            <w:tcW w:w="2959" w:type="dxa"/>
            <w:tcBorders>
              <w:top w:val="single" w:color="auto" w:sz="4" w:space="0"/>
              <w:left w:val="nil"/>
              <w:bottom w:val="single" w:color="auto" w:sz="4" w:space="0"/>
              <w:right w:val="nil"/>
            </w:tcBorders>
            <w:shd w:val="clear" w:color="auto" w:fill="auto"/>
            <w:noWrap/>
            <w:vAlign w:val="bottom"/>
            <w:hideMark/>
          </w:tcPr>
          <w:p w:rsidRPr="001F6236" w:rsidR="00851BFC" w:rsidP="001F6236" w:rsidRDefault="00851BFC" w14:paraId="438B1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themeColor="text1"/>
                <w:sz w:val="22"/>
                <w:szCs w:val="22"/>
                <w:lang w:eastAsia="sv-SE"/>
              </w:rPr>
            </w:pPr>
            <w:r w:rsidRPr="001F6236">
              <w:rPr>
                <w:rFonts w:ascii="Times New Roman" w:hAnsi="Times New Roman" w:eastAsia="Times New Roman" w:cs="Times New Roman"/>
                <w:b/>
                <w:bCs/>
                <w:color w:val="000000"/>
                <w:kern w:val="0"/>
                <w:sz w:val="22"/>
                <w:szCs w:val="22"/>
                <w:lang w:eastAsia="sv-SE"/>
                <w14:numSpacing w14:val="default"/>
              </w:rPr>
              <w:t>Hushållsinkomst</w:t>
            </w:r>
            <w:r w:rsidRPr="001F6236">
              <w:rPr>
                <w:rFonts w:ascii="Times New Roman" w:hAnsi="Times New Roman" w:eastAsia="Times New Roman" w:cs="Times New Roman"/>
                <w:color w:val="000000"/>
                <w:kern w:val="0"/>
                <w:sz w:val="22"/>
                <w:szCs w:val="22"/>
                <w:vertAlign w:val="superscript"/>
                <w:lang w:eastAsia="sv-SE"/>
                <w14:numSpacing w14:val="default"/>
              </w:rPr>
              <w:footnoteReference w:id="88"/>
            </w:r>
          </w:p>
        </w:tc>
        <w:tc>
          <w:tcPr>
            <w:tcW w:w="1664" w:type="dxa"/>
            <w:tcBorders>
              <w:top w:val="single" w:color="auto" w:sz="4" w:space="0"/>
              <w:left w:val="nil"/>
              <w:bottom w:val="single" w:color="auto" w:sz="4" w:space="0"/>
              <w:right w:val="nil"/>
            </w:tcBorders>
            <w:shd w:val="clear" w:color="auto" w:fill="auto"/>
            <w:noWrap/>
            <w:vAlign w:val="bottom"/>
            <w:hideMark/>
          </w:tcPr>
          <w:p w:rsidRPr="001F6236" w:rsidR="00851BFC" w:rsidP="001F6236" w:rsidRDefault="00851BFC" w14:paraId="49CAA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sz w:val="22"/>
                <w:szCs w:val="22"/>
                <w:lang w:eastAsia="sv-SE"/>
              </w:rPr>
            </w:pPr>
            <w:r w:rsidRPr="001F6236">
              <w:rPr>
                <w:rFonts w:ascii="Times New Roman" w:hAnsi="Times New Roman" w:eastAsia="Times New Roman" w:cs="Times New Roman"/>
                <w:b/>
                <w:bCs/>
                <w:color w:val="000000"/>
                <w:kern w:val="0"/>
                <w:sz w:val="22"/>
                <w:szCs w:val="22"/>
                <w:lang w:eastAsia="sv-SE"/>
                <w14:numSpacing w14:val="default"/>
              </w:rPr>
              <w:t>1 barn</w:t>
            </w:r>
          </w:p>
        </w:tc>
        <w:tc>
          <w:tcPr>
            <w:tcW w:w="1849" w:type="dxa"/>
            <w:tcBorders>
              <w:top w:val="single" w:color="auto" w:sz="4" w:space="0"/>
              <w:left w:val="nil"/>
              <w:bottom w:val="single" w:color="auto" w:sz="4" w:space="0"/>
              <w:right w:val="nil"/>
            </w:tcBorders>
            <w:shd w:val="clear" w:color="auto" w:fill="auto"/>
            <w:noWrap/>
            <w:vAlign w:val="bottom"/>
            <w:hideMark/>
          </w:tcPr>
          <w:p w:rsidRPr="001F6236" w:rsidR="00851BFC" w:rsidP="001F6236" w:rsidRDefault="00851BFC" w14:paraId="7E746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sz w:val="22"/>
                <w:szCs w:val="22"/>
                <w:lang w:eastAsia="sv-SE"/>
              </w:rPr>
            </w:pPr>
            <w:r w:rsidRPr="001F6236">
              <w:rPr>
                <w:rFonts w:ascii="Times New Roman" w:hAnsi="Times New Roman" w:eastAsia="Times New Roman" w:cs="Times New Roman"/>
                <w:b/>
                <w:bCs/>
                <w:color w:val="000000"/>
                <w:kern w:val="0"/>
                <w:sz w:val="22"/>
                <w:szCs w:val="22"/>
                <w:lang w:eastAsia="sv-SE"/>
                <w14:numSpacing w14:val="default"/>
              </w:rPr>
              <w:t>2 barn</w:t>
            </w:r>
          </w:p>
        </w:tc>
        <w:tc>
          <w:tcPr>
            <w:tcW w:w="2033" w:type="dxa"/>
            <w:tcBorders>
              <w:top w:val="single" w:color="auto" w:sz="4" w:space="0"/>
              <w:left w:val="nil"/>
              <w:bottom w:val="single" w:color="auto" w:sz="4" w:space="0"/>
              <w:right w:val="nil"/>
            </w:tcBorders>
            <w:shd w:val="clear" w:color="auto" w:fill="auto"/>
            <w:noWrap/>
            <w:vAlign w:val="bottom"/>
            <w:hideMark/>
          </w:tcPr>
          <w:p w:rsidRPr="001F6236" w:rsidR="00851BFC" w:rsidP="001F6236" w:rsidRDefault="00851BFC" w14:paraId="52F607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sz w:val="22"/>
                <w:szCs w:val="22"/>
                <w:lang w:eastAsia="sv-SE"/>
              </w:rPr>
            </w:pPr>
            <w:r w:rsidRPr="001F6236">
              <w:rPr>
                <w:rFonts w:ascii="Times New Roman" w:hAnsi="Times New Roman" w:eastAsia="Times New Roman" w:cs="Times New Roman"/>
                <w:b/>
                <w:bCs/>
                <w:color w:val="000000"/>
                <w:kern w:val="0"/>
                <w:sz w:val="22"/>
                <w:szCs w:val="22"/>
                <w:lang w:eastAsia="sv-SE"/>
                <w14:numSpacing w14:val="default"/>
              </w:rPr>
              <w:t>3 barn</w:t>
            </w:r>
          </w:p>
        </w:tc>
      </w:tr>
      <w:tr w:rsidRPr="00FC2616" w:rsidR="00851BFC" w:rsidTr="003522C8" w14:paraId="43FB66E5" w14:textId="77777777">
        <w:trPr>
          <w:cantSplit/>
        </w:trPr>
        <w:tc>
          <w:tcPr>
            <w:tcW w:w="2959" w:type="dxa"/>
            <w:tcBorders>
              <w:top w:val="single" w:color="auto" w:sz="4" w:space="0"/>
              <w:left w:val="nil"/>
              <w:bottom w:val="nil"/>
              <w:right w:val="nil"/>
            </w:tcBorders>
            <w:shd w:val="clear" w:color="auto" w:fill="auto"/>
            <w:noWrap/>
            <w:vAlign w:val="bottom"/>
            <w:hideMark/>
          </w:tcPr>
          <w:p w:rsidRPr="00FC2616" w:rsidR="00851BFC" w:rsidP="001F6236" w:rsidRDefault="00851BFC" w14:paraId="6C2AD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19 000</w:t>
            </w:r>
          </w:p>
        </w:tc>
        <w:tc>
          <w:tcPr>
            <w:tcW w:w="1664" w:type="dxa"/>
            <w:tcBorders>
              <w:top w:val="single" w:color="auto" w:sz="4" w:space="0"/>
              <w:left w:val="nil"/>
              <w:bottom w:val="nil"/>
              <w:right w:val="nil"/>
            </w:tcBorders>
            <w:shd w:val="clear" w:color="auto" w:fill="auto"/>
            <w:noWrap/>
            <w:vAlign w:val="bottom"/>
            <w:hideMark/>
          </w:tcPr>
          <w:p w:rsidRPr="00FC2616" w:rsidR="00851BFC" w:rsidP="001F6236" w:rsidRDefault="00851BFC" w14:paraId="434E69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570</w:t>
            </w:r>
          </w:p>
        </w:tc>
        <w:tc>
          <w:tcPr>
            <w:tcW w:w="1849" w:type="dxa"/>
            <w:tcBorders>
              <w:top w:val="single" w:color="auto" w:sz="4" w:space="0"/>
              <w:left w:val="nil"/>
              <w:bottom w:val="nil"/>
              <w:right w:val="nil"/>
            </w:tcBorders>
            <w:shd w:val="clear" w:color="auto" w:fill="auto"/>
            <w:noWrap/>
            <w:vAlign w:val="bottom"/>
            <w:hideMark/>
          </w:tcPr>
          <w:p w:rsidRPr="00FC2616" w:rsidR="00851BFC" w:rsidP="001F6236" w:rsidRDefault="00851BFC" w14:paraId="3230EB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950</w:t>
            </w:r>
          </w:p>
        </w:tc>
        <w:tc>
          <w:tcPr>
            <w:tcW w:w="2033" w:type="dxa"/>
            <w:tcBorders>
              <w:top w:val="single" w:color="auto" w:sz="4" w:space="0"/>
              <w:left w:val="nil"/>
              <w:bottom w:val="nil"/>
              <w:right w:val="nil"/>
            </w:tcBorders>
            <w:shd w:val="clear" w:color="auto" w:fill="auto"/>
            <w:noWrap/>
            <w:vAlign w:val="bottom"/>
            <w:hideMark/>
          </w:tcPr>
          <w:p w:rsidRPr="00FC2616" w:rsidR="00851BFC" w:rsidP="001F6236" w:rsidRDefault="00851BFC" w14:paraId="19C55FDD" w14:textId="6DD6AA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1</w:t>
            </w:r>
            <w:r w:rsidR="001C3D6B">
              <w:rPr>
                <w:rFonts w:ascii="Times New Roman" w:hAnsi="Times New Roman" w:eastAsia="Times New Roman" w:cs="Times New Roman"/>
                <w:color w:val="000000"/>
                <w:kern w:val="0"/>
                <w:sz w:val="22"/>
                <w:szCs w:val="22"/>
                <w:lang w:eastAsia="sv-SE"/>
                <w14:numSpacing w14:val="default"/>
              </w:rPr>
              <w:t xml:space="preserve"> </w:t>
            </w:r>
            <w:r w:rsidRPr="00FC2616">
              <w:rPr>
                <w:rFonts w:ascii="Times New Roman" w:hAnsi="Times New Roman" w:eastAsia="Times New Roman" w:cs="Times New Roman"/>
                <w:color w:val="000000"/>
                <w:kern w:val="0"/>
                <w:sz w:val="22"/>
                <w:szCs w:val="22"/>
                <w:lang w:eastAsia="sv-SE"/>
                <w14:numSpacing w14:val="default"/>
              </w:rPr>
              <w:t>140</w:t>
            </w:r>
          </w:p>
        </w:tc>
      </w:tr>
      <w:tr w:rsidRPr="00FC2616" w:rsidR="00851BFC" w:rsidTr="003522C8" w14:paraId="6F7DE0E3" w14:textId="77777777">
        <w:trPr>
          <w:cantSplit/>
        </w:trPr>
        <w:tc>
          <w:tcPr>
            <w:tcW w:w="2959" w:type="dxa"/>
            <w:tcBorders>
              <w:top w:val="nil"/>
              <w:left w:val="nil"/>
              <w:right w:val="nil"/>
            </w:tcBorders>
            <w:shd w:val="clear" w:color="auto" w:fill="auto"/>
            <w:noWrap/>
            <w:vAlign w:val="bottom"/>
            <w:hideMark/>
          </w:tcPr>
          <w:p w:rsidRPr="00FC2616" w:rsidR="00851BFC" w:rsidP="001F6236" w:rsidRDefault="00851BFC" w14:paraId="1EA72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29 000</w:t>
            </w:r>
          </w:p>
        </w:tc>
        <w:tc>
          <w:tcPr>
            <w:tcW w:w="1664" w:type="dxa"/>
            <w:tcBorders>
              <w:top w:val="nil"/>
              <w:left w:val="nil"/>
              <w:right w:val="nil"/>
            </w:tcBorders>
            <w:shd w:val="clear" w:color="auto" w:fill="auto"/>
            <w:noWrap/>
            <w:vAlign w:val="bottom"/>
            <w:hideMark/>
          </w:tcPr>
          <w:p w:rsidRPr="00FC2616" w:rsidR="00851BFC" w:rsidP="001F6236" w:rsidRDefault="00851BFC" w14:paraId="0ECB2A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600</w:t>
            </w:r>
          </w:p>
        </w:tc>
        <w:tc>
          <w:tcPr>
            <w:tcW w:w="1849" w:type="dxa"/>
            <w:tcBorders>
              <w:top w:val="nil"/>
              <w:left w:val="nil"/>
              <w:right w:val="nil"/>
            </w:tcBorders>
            <w:shd w:val="clear" w:color="auto" w:fill="auto"/>
            <w:noWrap/>
            <w:vAlign w:val="bottom"/>
            <w:hideMark/>
          </w:tcPr>
          <w:p w:rsidRPr="00FC2616" w:rsidR="00851BFC" w:rsidP="001F6236" w:rsidRDefault="00851BFC" w14:paraId="232B0C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1000</w:t>
            </w:r>
          </w:p>
        </w:tc>
        <w:tc>
          <w:tcPr>
            <w:tcW w:w="2033" w:type="dxa"/>
            <w:tcBorders>
              <w:top w:val="nil"/>
              <w:left w:val="nil"/>
              <w:right w:val="nil"/>
            </w:tcBorders>
            <w:shd w:val="clear" w:color="auto" w:fill="auto"/>
            <w:noWrap/>
            <w:vAlign w:val="bottom"/>
            <w:hideMark/>
          </w:tcPr>
          <w:p w:rsidRPr="00FC2616" w:rsidR="00851BFC" w:rsidP="001F6236" w:rsidRDefault="00851BFC" w14:paraId="458A8E32" w14:textId="5F459A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1</w:t>
            </w:r>
            <w:r w:rsidR="001C3D6B">
              <w:rPr>
                <w:rFonts w:ascii="Times New Roman" w:hAnsi="Times New Roman" w:eastAsia="Times New Roman" w:cs="Times New Roman"/>
                <w:color w:val="000000"/>
                <w:kern w:val="0"/>
                <w:sz w:val="22"/>
                <w:szCs w:val="22"/>
                <w:lang w:eastAsia="sv-SE"/>
                <w14:numSpacing w14:val="default"/>
              </w:rPr>
              <w:t xml:space="preserve"> </w:t>
            </w:r>
            <w:r w:rsidRPr="00FC2616">
              <w:rPr>
                <w:rFonts w:ascii="Times New Roman" w:hAnsi="Times New Roman" w:eastAsia="Times New Roman" w:cs="Times New Roman"/>
                <w:color w:val="000000"/>
                <w:kern w:val="0"/>
                <w:sz w:val="22"/>
                <w:szCs w:val="22"/>
                <w:lang w:eastAsia="sv-SE"/>
                <w14:numSpacing w14:val="default"/>
              </w:rPr>
              <w:t>200</w:t>
            </w:r>
          </w:p>
        </w:tc>
      </w:tr>
      <w:tr w:rsidRPr="00FC2616" w:rsidR="00851BFC" w:rsidTr="003522C8" w14:paraId="1ACC9B82" w14:textId="77777777">
        <w:trPr>
          <w:cantSplit/>
        </w:trPr>
        <w:tc>
          <w:tcPr>
            <w:tcW w:w="2959" w:type="dxa"/>
            <w:tcBorders>
              <w:top w:val="nil"/>
              <w:left w:val="nil"/>
              <w:right w:val="nil"/>
            </w:tcBorders>
            <w:shd w:val="clear" w:color="auto" w:fill="auto"/>
            <w:noWrap/>
            <w:vAlign w:val="bottom"/>
            <w:hideMark/>
          </w:tcPr>
          <w:p w:rsidRPr="00FC2616" w:rsidR="00851BFC" w:rsidP="001F6236" w:rsidRDefault="00851BFC" w14:paraId="4B2964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39 000</w:t>
            </w:r>
          </w:p>
        </w:tc>
        <w:tc>
          <w:tcPr>
            <w:tcW w:w="1664" w:type="dxa"/>
            <w:tcBorders>
              <w:top w:val="nil"/>
              <w:left w:val="nil"/>
              <w:right w:val="nil"/>
            </w:tcBorders>
            <w:shd w:val="clear" w:color="auto" w:fill="auto"/>
            <w:noWrap/>
            <w:vAlign w:val="bottom"/>
            <w:hideMark/>
          </w:tcPr>
          <w:p w:rsidRPr="00FC2616" w:rsidR="00851BFC" w:rsidP="001F6236" w:rsidRDefault="00851BFC" w14:paraId="0E07C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600</w:t>
            </w:r>
          </w:p>
        </w:tc>
        <w:tc>
          <w:tcPr>
            <w:tcW w:w="1849" w:type="dxa"/>
            <w:tcBorders>
              <w:top w:val="nil"/>
              <w:left w:val="nil"/>
              <w:right w:val="nil"/>
            </w:tcBorders>
            <w:shd w:val="clear" w:color="auto" w:fill="auto"/>
            <w:noWrap/>
            <w:vAlign w:val="bottom"/>
            <w:hideMark/>
          </w:tcPr>
          <w:p w:rsidRPr="00FC2616" w:rsidR="00851BFC" w:rsidP="001F6236" w:rsidRDefault="00851BFC" w14:paraId="5B3EB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1000</w:t>
            </w:r>
          </w:p>
        </w:tc>
        <w:tc>
          <w:tcPr>
            <w:tcW w:w="2033" w:type="dxa"/>
            <w:tcBorders>
              <w:top w:val="nil"/>
              <w:left w:val="nil"/>
              <w:right w:val="nil"/>
            </w:tcBorders>
            <w:shd w:val="clear" w:color="auto" w:fill="auto"/>
            <w:noWrap/>
            <w:vAlign w:val="bottom"/>
            <w:hideMark/>
          </w:tcPr>
          <w:p w:rsidRPr="00FC2616" w:rsidR="00851BFC" w:rsidP="001F6236" w:rsidRDefault="00851BFC" w14:paraId="0FD934D5" w14:textId="0C5420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1</w:t>
            </w:r>
            <w:r w:rsidR="001C3D6B">
              <w:rPr>
                <w:rFonts w:ascii="Times New Roman" w:hAnsi="Times New Roman" w:eastAsia="Times New Roman" w:cs="Times New Roman"/>
                <w:color w:val="000000"/>
                <w:kern w:val="0"/>
                <w:sz w:val="22"/>
                <w:szCs w:val="22"/>
                <w:lang w:eastAsia="sv-SE"/>
                <w14:numSpacing w14:val="default"/>
              </w:rPr>
              <w:t xml:space="preserve"> </w:t>
            </w:r>
            <w:r w:rsidRPr="00FC2616">
              <w:rPr>
                <w:rFonts w:ascii="Times New Roman" w:hAnsi="Times New Roman" w:eastAsia="Times New Roman" w:cs="Times New Roman"/>
                <w:color w:val="000000"/>
                <w:kern w:val="0"/>
                <w:sz w:val="22"/>
                <w:szCs w:val="22"/>
                <w:lang w:eastAsia="sv-SE"/>
                <w14:numSpacing w14:val="default"/>
              </w:rPr>
              <w:t>200</w:t>
            </w:r>
          </w:p>
        </w:tc>
      </w:tr>
      <w:tr w:rsidRPr="00FC2616" w:rsidR="00851BFC" w:rsidTr="003522C8" w14:paraId="7412C9EA" w14:textId="77777777">
        <w:trPr>
          <w:cantSplit/>
        </w:trPr>
        <w:tc>
          <w:tcPr>
            <w:tcW w:w="2959" w:type="dxa"/>
            <w:tcBorders>
              <w:left w:val="nil"/>
              <w:bottom w:val="nil"/>
              <w:right w:val="nil"/>
            </w:tcBorders>
            <w:shd w:val="clear" w:color="auto" w:fill="auto"/>
            <w:noWrap/>
            <w:vAlign w:val="bottom"/>
            <w:hideMark/>
          </w:tcPr>
          <w:p w:rsidRPr="00FC2616" w:rsidR="00851BFC" w:rsidP="001F6236" w:rsidRDefault="00851BFC" w14:paraId="36769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49 000</w:t>
            </w:r>
          </w:p>
        </w:tc>
        <w:tc>
          <w:tcPr>
            <w:tcW w:w="1664" w:type="dxa"/>
            <w:tcBorders>
              <w:left w:val="nil"/>
              <w:bottom w:val="nil"/>
              <w:right w:val="nil"/>
            </w:tcBorders>
            <w:shd w:val="clear" w:color="auto" w:fill="auto"/>
            <w:noWrap/>
            <w:vAlign w:val="bottom"/>
            <w:hideMark/>
          </w:tcPr>
          <w:p w:rsidRPr="00FC2616" w:rsidR="00851BFC" w:rsidP="001F6236" w:rsidRDefault="00851BFC" w14:paraId="7DE60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600</w:t>
            </w:r>
          </w:p>
        </w:tc>
        <w:tc>
          <w:tcPr>
            <w:tcW w:w="1849" w:type="dxa"/>
            <w:tcBorders>
              <w:left w:val="nil"/>
              <w:bottom w:val="nil"/>
              <w:right w:val="nil"/>
            </w:tcBorders>
            <w:shd w:val="clear" w:color="auto" w:fill="auto"/>
            <w:noWrap/>
            <w:vAlign w:val="bottom"/>
            <w:hideMark/>
          </w:tcPr>
          <w:p w:rsidRPr="00FC2616" w:rsidR="00851BFC" w:rsidP="001F6236" w:rsidRDefault="00851BFC" w14:paraId="7DFAF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1000</w:t>
            </w:r>
          </w:p>
        </w:tc>
        <w:tc>
          <w:tcPr>
            <w:tcW w:w="2033" w:type="dxa"/>
            <w:tcBorders>
              <w:left w:val="nil"/>
              <w:bottom w:val="nil"/>
              <w:right w:val="nil"/>
            </w:tcBorders>
            <w:shd w:val="clear" w:color="auto" w:fill="auto"/>
            <w:noWrap/>
            <w:vAlign w:val="bottom"/>
            <w:hideMark/>
          </w:tcPr>
          <w:p w:rsidRPr="00FC2616" w:rsidR="00851BFC" w:rsidP="001F6236" w:rsidRDefault="00851BFC" w14:paraId="1F8608F8" w14:textId="127487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1</w:t>
            </w:r>
            <w:r w:rsidR="001C3D6B">
              <w:rPr>
                <w:rFonts w:ascii="Times New Roman" w:hAnsi="Times New Roman" w:eastAsia="Times New Roman" w:cs="Times New Roman"/>
                <w:color w:val="000000"/>
                <w:kern w:val="0"/>
                <w:sz w:val="22"/>
                <w:szCs w:val="22"/>
                <w:lang w:eastAsia="sv-SE"/>
                <w14:numSpacing w14:val="default"/>
              </w:rPr>
              <w:t xml:space="preserve"> </w:t>
            </w:r>
            <w:r w:rsidRPr="00FC2616">
              <w:rPr>
                <w:rFonts w:ascii="Times New Roman" w:hAnsi="Times New Roman" w:eastAsia="Times New Roman" w:cs="Times New Roman"/>
                <w:color w:val="000000"/>
                <w:kern w:val="0"/>
                <w:sz w:val="22"/>
                <w:szCs w:val="22"/>
                <w:lang w:eastAsia="sv-SE"/>
                <w14:numSpacing w14:val="default"/>
              </w:rPr>
              <w:t>200</w:t>
            </w:r>
          </w:p>
        </w:tc>
      </w:tr>
      <w:tr w:rsidRPr="00FC2616" w:rsidR="00851BFC" w:rsidTr="003522C8" w14:paraId="5E3B3DBE" w14:textId="77777777">
        <w:trPr>
          <w:cantSplit/>
        </w:trPr>
        <w:tc>
          <w:tcPr>
            <w:tcW w:w="2959" w:type="dxa"/>
            <w:tcBorders>
              <w:top w:val="nil"/>
              <w:left w:val="nil"/>
              <w:bottom w:val="nil"/>
              <w:right w:val="nil"/>
            </w:tcBorders>
            <w:shd w:val="clear" w:color="auto" w:fill="auto"/>
            <w:noWrap/>
            <w:vAlign w:val="bottom"/>
            <w:hideMark/>
          </w:tcPr>
          <w:p w:rsidRPr="00FC2616" w:rsidR="00851BFC" w:rsidP="001F6236" w:rsidRDefault="00851BFC" w14:paraId="0FD8F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59 000</w:t>
            </w:r>
          </w:p>
        </w:tc>
        <w:tc>
          <w:tcPr>
            <w:tcW w:w="1664" w:type="dxa"/>
            <w:tcBorders>
              <w:top w:val="nil"/>
              <w:left w:val="nil"/>
              <w:bottom w:val="nil"/>
              <w:right w:val="nil"/>
            </w:tcBorders>
            <w:shd w:val="clear" w:color="auto" w:fill="auto"/>
            <w:noWrap/>
            <w:vAlign w:val="bottom"/>
            <w:hideMark/>
          </w:tcPr>
          <w:p w:rsidRPr="00FC2616" w:rsidR="00851BFC" w:rsidP="001F6236" w:rsidRDefault="00851BFC" w14:paraId="12507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402</w:t>
            </w:r>
          </w:p>
        </w:tc>
        <w:tc>
          <w:tcPr>
            <w:tcW w:w="1849" w:type="dxa"/>
            <w:tcBorders>
              <w:top w:val="nil"/>
              <w:left w:val="nil"/>
              <w:bottom w:val="nil"/>
              <w:right w:val="nil"/>
            </w:tcBorders>
            <w:shd w:val="clear" w:color="auto" w:fill="auto"/>
            <w:noWrap/>
            <w:vAlign w:val="bottom"/>
            <w:hideMark/>
          </w:tcPr>
          <w:p w:rsidRPr="00FC2616" w:rsidR="00851BFC" w:rsidP="001F6236" w:rsidRDefault="00851BFC" w14:paraId="33855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670</w:t>
            </w:r>
          </w:p>
        </w:tc>
        <w:tc>
          <w:tcPr>
            <w:tcW w:w="2033" w:type="dxa"/>
            <w:tcBorders>
              <w:top w:val="nil"/>
              <w:left w:val="nil"/>
              <w:bottom w:val="nil"/>
              <w:right w:val="nil"/>
            </w:tcBorders>
            <w:shd w:val="clear" w:color="auto" w:fill="auto"/>
            <w:noWrap/>
            <w:vAlign w:val="bottom"/>
            <w:hideMark/>
          </w:tcPr>
          <w:p w:rsidRPr="00FC2616" w:rsidR="00851BFC" w:rsidP="001F6236" w:rsidRDefault="00851BFC" w14:paraId="1CD624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804</w:t>
            </w:r>
          </w:p>
        </w:tc>
      </w:tr>
      <w:tr w:rsidRPr="00FC2616" w:rsidR="00851BFC" w:rsidTr="003522C8" w14:paraId="58321413" w14:textId="77777777">
        <w:trPr>
          <w:cantSplit/>
        </w:trPr>
        <w:tc>
          <w:tcPr>
            <w:tcW w:w="2959" w:type="dxa"/>
            <w:tcBorders>
              <w:top w:val="nil"/>
              <w:left w:val="nil"/>
              <w:right w:val="nil"/>
            </w:tcBorders>
            <w:shd w:val="clear" w:color="auto" w:fill="auto"/>
            <w:noWrap/>
            <w:vAlign w:val="bottom"/>
            <w:hideMark/>
          </w:tcPr>
          <w:p w:rsidRPr="00FC2616" w:rsidR="00851BFC" w:rsidP="001F6236" w:rsidRDefault="00851BFC" w14:paraId="21BC7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69 000</w:t>
            </w:r>
          </w:p>
        </w:tc>
        <w:tc>
          <w:tcPr>
            <w:tcW w:w="1664" w:type="dxa"/>
            <w:tcBorders>
              <w:top w:val="nil"/>
              <w:left w:val="nil"/>
              <w:right w:val="nil"/>
            </w:tcBorders>
            <w:shd w:val="clear" w:color="auto" w:fill="auto"/>
            <w:noWrap/>
            <w:vAlign w:val="bottom"/>
            <w:hideMark/>
          </w:tcPr>
          <w:p w:rsidRPr="00FC2616" w:rsidR="00851BFC" w:rsidP="001F6236" w:rsidRDefault="00851BFC" w14:paraId="56FF9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102</w:t>
            </w:r>
          </w:p>
        </w:tc>
        <w:tc>
          <w:tcPr>
            <w:tcW w:w="1849" w:type="dxa"/>
            <w:tcBorders>
              <w:top w:val="nil"/>
              <w:left w:val="nil"/>
              <w:right w:val="nil"/>
            </w:tcBorders>
            <w:shd w:val="clear" w:color="auto" w:fill="auto"/>
            <w:noWrap/>
            <w:vAlign w:val="bottom"/>
            <w:hideMark/>
          </w:tcPr>
          <w:p w:rsidRPr="00FC2616" w:rsidR="00851BFC" w:rsidP="001F6236" w:rsidRDefault="00851BFC" w14:paraId="275A4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170</w:t>
            </w:r>
          </w:p>
        </w:tc>
        <w:tc>
          <w:tcPr>
            <w:tcW w:w="2033" w:type="dxa"/>
            <w:tcBorders>
              <w:top w:val="nil"/>
              <w:left w:val="nil"/>
              <w:right w:val="nil"/>
            </w:tcBorders>
            <w:shd w:val="clear" w:color="auto" w:fill="auto"/>
            <w:noWrap/>
            <w:vAlign w:val="bottom"/>
            <w:hideMark/>
          </w:tcPr>
          <w:p w:rsidRPr="00FC2616" w:rsidR="00851BFC" w:rsidP="001F6236" w:rsidRDefault="00851BFC" w14:paraId="4D29D0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204</w:t>
            </w:r>
          </w:p>
        </w:tc>
      </w:tr>
      <w:tr w:rsidRPr="00FC2616" w:rsidR="00851BFC" w:rsidTr="003522C8" w14:paraId="1CCF6B77" w14:textId="77777777">
        <w:trPr>
          <w:cantSplit/>
        </w:trPr>
        <w:tc>
          <w:tcPr>
            <w:tcW w:w="2959" w:type="dxa"/>
            <w:tcBorders>
              <w:top w:val="nil"/>
              <w:left w:val="nil"/>
              <w:bottom w:val="single" w:color="auto" w:sz="4" w:space="0"/>
              <w:right w:val="nil"/>
            </w:tcBorders>
            <w:shd w:val="clear" w:color="auto" w:fill="auto"/>
            <w:noWrap/>
            <w:vAlign w:val="bottom"/>
            <w:hideMark/>
          </w:tcPr>
          <w:p w:rsidRPr="00FC2616" w:rsidR="00851BFC" w:rsidP="001F6236" w:rsidRDefault="00851BFC" w14:paraId="143903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79 000</w:t>
            </w:r>
          </w:p>
        </w:tc>
        <w:tc>
          <w:tcPr>
            <w:tcW w:w="1664" w:type="dxa"/>
            <w:tcBorders>
              <w:top w:val="nil"/>
              <w:left w:val="nil"/>
              <w:bottom w:val="single" w:color="auto" w:sz="4" w:space="0"/>
              <w:right w:val="nil"/>
            </w:tcBorders>
            <w:shd w:val="clear" w:color="auto" w:fill="auto"/>
            <w:noWrap/>
            <w:vAlign w:val="bottom"/>
            <w:hideMark/>
          </w:tcPr>
          <w:p w:rsidRPr="00FC2616" w:rsidR="00851BFC" w:rsidP="001F6236" w:rsidRDefault="00851BFC" w14:paraId="6A55B2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0</w:t>
            </w:r>
          </w:p>
        </w:tc>
        <w:tc>
          <w:tcPr>
            <w:tcW w:w="1849" w:type="dxa"/>
            <w:tcBorders>
              <w:top w:val="nil"/>
              <w:left w:val="nil"/>
              <w:bottom w:val="single" w:color="auto" w:sz="4" w:space="0"/>
              <w:right w:val="nil"/>
            </w:tcBorders>
            <w:shd w:val="clear" w:color="auto" w:fill="auto"/>
            <w:noWrap/>
            <w:vAlign w:val="bottom"/>
            <w:hideMark/>
          </w:tcPr>
          <w:p w:rsidRPr="00FC2616" w:rsidR="00851BFC" w:rsidP="001F6236" w:rsidRDefault="00851BFC" w14:paraId="749CF0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0</w:t>
            </w:r>
          </w:p>
        </w:tc>
        <w:tc>
          <w:tcPr>
            <w:tcW w:w="2033" w:type="dxa"/>
            <w:tcBorders>
              <w:top w:val="nil"/>
              <w:left w:val="nil"/>
              <w:bottom w:val="single" w:color="auto" w:sz="4" w:space="0"/>
              <w:right w:val="nil"/>
            </w:tcBorders>
            <w:shd w:val="clear" w:color="auto" w:fill="auto"/>
            <w:noWrap/>
            <w:vAlign w:val="bottom"/>
            <w:hideMark/>
          </w:tcPr>
          <w:p w:rsidRPr="00FC2616" w:rsidR="00851BFC" w:rsidP="001F6236" w:rsidRDefault="00851BFC" w14:paraId="43D350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sz w:val="22"/>
                <w:szCs w:val="22"/>
                <w:lang w:eastAsia="sv-SE"/>
              </w:rPr>
            </w:pPr>
            <w:r w:rsidRPr="00FC2616">
              <w:rPr>
                <w:rFonts w:ascii="Times New Roman" w:hAnsi="Times New Roman" w:eastAsia="Times New Roman" w:cs="Times New Roman"/>
                <w:color w:val="000000"/>
                <w:kern w:val="0"/>
                <w:sz w:val="22"/>
                <w:szCs w:val="22"/>
                <w:lang w:eastAsia="sv-SE"/>
                <w14:numSpacing w14:val="default"/>
              </w:rPr>
              <w:t>0</w:t>
            </w:r>
          </w:p>
        </w:tc>
      </w:tr>
    </w:tbl>
    <w:p w:rsidRPr="00FC2616" w:rsidR="00851BFC" w:rsidP="001F6236" w:rsidRDefault="00851BFC" w14:paraId="3F212F19" w14:textId="6D631195">
      <w:pPr>
        <w:pStyle w:val="Normalutanindragellerluft"/>
        <w:spacing w:before="150"/>
        <w:rPr>
          <w:rFonts w:eastAsia="Times New Roman"/>
          <w:lang w:eastAsia="sv-SE"/>
        </w:rPr>
      </w:pPr>
      <w:r w:rsidRPr="00FC2616">
        <w:rPr>
          <w:rFonts w:eastAsia="Times New Roman"/>
          <w:lang w:eastAsia="sv-SE"/>
        </w:rPr>
        <w:t xml:space="preserve">Till följd av förslaget får omkring 320 000 hushåll sänkt </w:t>
      </w:r>
      <w:proofErr w:type="spellStart"/>
      <w:r w:rsidRPr="00FC2616">
        <w:rPr>
          <w:rFonts w:eastAsia="Times New Roman"/>
          <w:lang w:eastAsia="sv-SE"/>
        </w:rPr>
        <w:t>förskoleavgift</w:t>
      </w:r>
      <w:proofErr w:type="spellEnd"/>
      <w:r w:rsidRPr="00FC2616">
        <w:rPr>
          <w:rFonts w:eastAsia="Times New Roman"/>
          <w:lang w:eastAsia="sv-SE"/>
        </w:rPr>
        <w:t>. Det kostar staten omkring 1,4 miljarder kronor per år.</w:t>
      </w:r>
      <w:r w:rsidRPr="00FC2616">
        <w:rPr>
          <w:rFonts w:eastAsia="Times New Roman"/>
          <w:vertAlign w:val="superscript"/>
          <w:lang w:eastAsia="sv-SE"/>
        </w:rPr>
        <w:footnoteReference w:id="89"/>
      </w:r>
    </w:p>
    <w:p w:rsidRPr="00ED0C04" w:rsidR="00851BFC" w:rsidP="00ED0C04" w:rsidRDefault="00851BFC" w14:paraId="2E3E2FE8" w14:textId="77777777">
      <w:pPr>
        <w:pStyle w:val="Normalutanindragellerluft"/>
        <w:spacing w:before="240"/>
        <w:rPr>
          <w:rFonts w:eastAsia="Times New Roman"/>
          <w:b/>
          <w:bCs/>
          <w:lang w:eastAsia="sv-SE"/>
        </w:rPr>
      </w:pPr>
      <w:r w:rsidRPr="00ED0C04">
        <w:rPr>
          <w:rFonts w:eastAsia="Times New Roman"/>
          <w:b/>
          <w:bCs/>
          <w:lang w:eastAsia="sv-SE"/>
        </w:rPr>
        <w:t>Vänsterpartiets förslag:</w:t>
      </w:r>
    </w:p>
    <w:p w:rsidRPr="00FC2616" w:rsidR="00851BFC" w:rsidP="001F6236" w:rsidRDefault="003B350B" w14:paraId="543570FF" w14:textId="2B9101FA">
      <w:pPr>
        <w:pStyle w:val="ListaPunkt"/>
        <w:ind w:left="340" w:hanging="340"/>
        <w:rPr>
          <w:lang w:eastAsia="sv-SE"/>
        </w:rPr>
      </w:pPr>
      <w:r w:rsidRPr="00FC2616">
        <w:rPr>
          <w:lang w:eastAsia="sv-SE"/>
        </w:rPr>
        <w:t xml:space="preserve">Inför ett statligt finansierat fribelopp i </w:t>
      </w:r>
      <w:proofErr w:type="spellStart"/>
      <w:r w:rsidRPr="00FC2616">
        <w:rPr>
          <w:lang w:eastAsia="sv-SE"/>
        </w:rPr>
        <w:t>förskoleavgiften</w:t>
      </w:r>
      <w:proofErr w:type="spellEnd"/>
      <w:r w:rsidRPr="00FC2616">
        <w:rPr>
          <w:lang w:eastAsia="sv-SE"/>
        </w:rPr>
        <w:t xml:space="preserve">. </w:t>
      </w:r>
    </w:p>
    <w:p w:rsidRPr="00FC2616" w:rsidR="00851BFC" w:rsidP="001E7D9B" w:rsidRDefault="00851BFC" w14:paraId="213CBA42" w14:textId="5E3B3196">
      <w:pPr>
        <w:pStyle w:val="Rubrik2numrerat"/>
      </w:pPr>
      <w:bookmarkStart w:name="_Toc111201331" w:id="136"/>
      <w:bookmarkStart w:name="_Toc111542858" w:id="137"/>
      <w:bookmarkStart w:name="_Toc115271207" w:id="138"/>
      <w:bookmarkStart w:name="_Toc149814568" w:id="139"/>
      <w:r w:rsidRPr="00FC2616">
        <w:rPr>
          <w:lang w:eastAsia="sv-SE"/>
        </w:rPr>
        <w:t>Gör</w:t>
      </w:r>
      <w:r w:rsidRPr="00FC2616">
        <w:t xml:space="preserve"> förskolans resurstilldelning kompensatorisk</w:t>
      </w:r>
      <w:bookmarkEnd w:id="136"/>
      <w:bookmarkEnd w:id="137"/>
      <w:bookmarkEnd w:id="138"/>
      <w:bookmarkEnd w:id="139"/>
    </w:p>
    <w:p w:rsidRPr="00FC2616" w:rsidR="00851BFC" w:rsidP="003B350B" w:rsidRDefault="00851BFC" w14:paraId="31C244BA" w14:textId="04005EC1">
      <w:pPr>
        <w:pStyle w:val="Normalutanindragellerluft"/>
        <w:rPr>
          <w:rFonts w:eastAsia="Times New Roman"/>
          <w:lang w:eastAsia="sv-SE"/>
        </w:rPr>
      </w:pPr>
      <w:r w:rsidRPr="00FC2616">
        <w:rPr>
          <w:rFonts w:eastAsia="Times New Roman"/>
          <w:lang w:eastAsia="sv-SE"/>
        </w:rPr>
        <w:t xml:space="preserve">För att fler barn ska få möjlighet att gå i </w:t>
      </w:r>
      <w:r w:rsidR="006B648A">
        <w:rPr>
          <w:rFonts w:eastAsia="Times New Roman"/>
          <w:lang w:eastAsia="sv-SE"/>
        </w:rPr>
        <w:t xml:space="preserve">en </w:t>
      </w:r>
      <w:r w:rsidRPr="00FC2616">
        <w:rPr>
          <w:rFonts w:eastAsia="Times New Roman"/>
          <w:lang w:eastAsia="sv-SE"/>
        </w:rPr>
        <w:t>förskola med hög kvalitet krävs att betydande resurser tillförs förskolan</w:t>
      </w:r>
      <w:r w:rsidRPr="00FC2616" w:rsidR="00860F22">
        <w:rPr>
          <w:rFonts w:eastAsia="Times New Roman"/>
          <w:lang w:eastAsia="sv-SE"/>
        </w:rPr>
        <w:t xml:space="preserve">. De ökade resurserna behövs för att </w:t>
      </w:r>
      <w:r w:rsidRPr="00FC2616">
        <w:rPr>
          <w:rFonts w:eastAsia="Times New Roman"/>
          <w:lang w:eastAsia="sv-SE"/>
        </w:rPr>
        <w:t>öka personaltätheten och minska ojämlikheten i</w:t>
      </w:r>
      <w:r w:rsidR="00214E1F">
        <w:rPr>
          <w:rFonts w:eastAsia="Times New Roman"/>
          <w:lang w:eastAsia="sv-SE"/>
        </w:rPr>
        <w:t xml:space="preserve"> fråga om</w:t>
      </w:r>
      <w:r w:rsidRPr="00FC2616">
        <w:rPr>
          <w:rFonts w:eastAsia="Times New Roman"/>
          <w:lang w:eastAsia="sv-SE"/>
        </w:rPr>
        <w:t xml:space="preserve"> barns förutsättningar. </w:t>
      </w:r>
    </w:p>
    <w:p w:rsidRPr="00FC2616" w:rsidR="003B350B" w:rsidP="003B350B" w:rsidRDefault="00851BFC" w14:paraId="67F7BAE2" w14:textId="358DBA15">
      <w:pPr>
        <w:rPr>
          <w:rFonts w:eastAsia="Times New Roman"/>
          <w:lang w:eastAsia="sv-SE"/>
        </w:rPr>
      </w:pPr>
      <w:r w:rsidRPr="00FC2616">
        <w:rPr>
          <w:rFonts w:eastAsia="Times New Roman"/>
          <w:lang w:eastAsia="sv-SE"/>
        </w:rPr>
        <w:t>Skolverkets statistik visar att andelen anställda med förskollärarexamen har minskat under de senaste tio åren. Samtidigt har andelen utan utbildning för förskola ökat. Det finns också skillnader mellan fristående och kommunala förskolor, och mellan olika kommuner i landet. Störst brist på förskollärare är det i storstäder och glesbygds</w:t>
      </w:r>
      <w:r w:rsidR="00ED0C04">
        <w:rPr>
          <w:rFonts w:eastAsia="Times New Roman"/>
          <w:lang w:eastAsia="sv-SE"/>
        </w:rPr>
        <w:softHyphen/>
      </w:r>
      <w:r w:rsidRPr="00FC2616">
        <w:rPr>
          <w:rFonts w:eastAsia="Times New Roman"/>
          <w:lang w:eastAsia="sv-SE"/>
        </w:rPr>
        <w:t>kommuner. Det kan variera så mycket som mellan 17 och 70 procent.</w:t>
      </w:r>
      <w:r w:rsidRPr="00FC2616">
        <w:rPr>
          <w:rFonts w:eastAsia="Times New Roman"/>
          <w:vertAlign w:val="superscript"/>
          <w:lang w:eastAsia="sv-SE"/>
        </w:rPr>
        <w:footnoteReference w:id="90"/>
      </w:r>
      <w:r w:rsidRPr="00FC2616">
        <w:rPr>
          <w:rFonts w:eastAsia="Times New Roman"/>
          <w:lang w:eastAsia="sv-SE"/>
        </w:rPr>
        <w:t xml:space="preserve"> </w:t>
      </w:r>
    </w:p>
    <w:p w:rsidRPr="00FC2616" w:rsidR="003B350B" w:rsidP="003B350B" w:rsidRDefault="00851BFC" w14:paraId="50395946" w14:textId="1928821C">
      <w:pPr>
        <w:rPr>
          <w:rFonts w:eastAsia="Times New Roman"/>
          <w:lang w:eastAsia="sv-SE"/>
        </w:rPr>
      </w:pPr>
      <w:r w:rsidRPr="00FC2616">
        <w:rPr>
          <w:rFonts w:eastAsia="Times New Roman"/>
          <w:lang w:eastAsia="sv-SE"/>
        </w:rPr>
        <w:t>För att förskolan ska kunna leva upp till sitt kompensatoriska uppdrag krävs en resurstilldelning som tar hänsyn till de varierande förutsättningar som råder i olika delar av landet och på olika förskolor. Vänsterpartiet vill tillsätta en utredning med uppdrag att ta fram en ny resursfördelningsmodell som innebär att resurserna fördelas kompensa</w:t>
      </w:r>
      <w:r w:rsidR="00ED0C04">
        <w:rPr>
          <w:rFonts w:eastAsia="Times New Roman"/>
          <w:lang w:eastAsia="sv-SE"/>
        </w:rPr>
        <w:softHyphen/>
      </w:r>
      <w:r w:rsidRPr="00FC2616">
        <w:rPr>
          <w:rFonts w:eastAsia="Times New Roman"/>
          <w:lang w:eastAsia="sv-SE"/>
        </w:rPr>
        <w:t>toriskt. Förskolans strukturpengar ska avskaffas och inkluderas i den nya modellen. Utredningens förslag ska börja genomföras 2025 och vara fullt genomförda 2026. Vänsterpartiet avsätter 2</w:t>
      </w:r>
      <w:r w:rsidR="005C42D8">
        <w:rPr>
          <w:rFonts w:eastAsia="Times New Roman"/>
          <w:lang w:eastAsia="sv-SE"/>
        </w:rPr>
        <w:t> </w:t>
      </w:r>
      <w:r w:rsidRPr="00FC2616">
        <w:rPr>
          <w:rFonts w:eastAsia="Times New Roman"/>
          <w:lang w:eastAsia="sv-SE"/>
        </w:rPr>
        <w:t>miljarder kronor 2025 och 3</w:t>
      </w:r>
      <w:r w:rsidR="005C42D8">
        <w:rPr>
          <w:rFonts w:eastAsia="Times New Roman"/>
          <w:lang w:eastAsia="sv-SE"/>
        </w:rPr>
        <w:t> </w:t>
      </w:r>
      <w:r w:rsidRPr="00FC2616">
        <w:rPr>
          <w:rFonts w:eastAsia="Times New Roman"/>
          <w:lang w:eastAsia="sv-SE"/>
        </w:rPr>
        <w:t>miljarder kronor 2026.</w:t>
      </w:r>
    </w:p>
    <w:p w:rsidR="0046589C" w:rsidP="0046589C" w:rsidRDefault="00851BFC" w14:paraId="0BB1B186" w14:textId="421434C7">
      <w:pPr>
        <w:rPr>
          <w:rFonts w:eastAsia="Times New Roman"/>
          <w:lang w:eastAsia="sv-SE"/>
        </w:rPr>
      </w:pPr>
      <w:r w:rsidRPr="00FC2616">
        <w:rPr>
          <w:rFonts w:eastAsia="Times New Roman"/>
          <w:lang w:eastAsia="sv-SE"/>
        </w:rPr>
        <w:t>Vidare anser Vänsterpartiet att rätten till förskola ska utökas från dagens 15 till 30</w:t>
      </w:r>
      <w:r w:rsidR="007342C0">
        <w:rPr>
          <w:rFonts w:eastAsia="Times New Roman"/>
          <w:lang w:eastAsia="sv-SE"/>
        </w:rPr>
        <w:t> </w:t>
      </w:r>
      <w:r w:rsidRPr="00FC2616">
        <w:rPr>
          <w:rFonts w:eastAsia="Times New Roman"/>
          <w:lang w:eastAsia="sv-SE"/>
        </w:rPr>
        <w:t>timmar för alla barn i hela landet. En del kommuner erbjuder redan 30</w:t>
      </w:r>
      <w:r w:rsidR="007342C0">
        <w:rPr>
          <w:rFonts w:eastAsia="Times New Roman"/>
          <w:lang w:eastAsia="sv-SE"/>
        </w:rPr>
        <w:t> </w:t>
      </w:r>
      <w:r w:rsidRPr="00FC2616">
        <w:rPr>
          <w:rFonts w:eastAsia="Times New Roman"/>
          <w:lang w:eastAsia="sv-SE"/>
        </w:rPr>
        <w:t xml:space="preserve">timmar, men Vänsterpartiet anser att förskolan är för viktig för att det ska råda så stora skillnader mellan kommunerna avseende vad barn har rätt till. Hur det ska genomföras och finansieras bör utredas tillsammans med resursfördelningsmodellen. Samma utredning bör även undersöka hur personalförstärkningar och hårdare regler </w:t>
      </w:r>
      <w:r w:rsidR="00EC1191">
        <w:rPr>
          <w:rFonts w:eastAsia="Times New Roman"/>
          <w:lang w:eastAsia="sv-SE"/>
        </w:rPr>
        <w:t xml:space="preserve">i fråga </w:t>
      </w:r>
      <w:r w:rsidRPr="00FC2616">
        <w:rPr>
          <w:rFonts w:eastAsia="Times New Roman"/>
          <w:lang w:eastAsia="sv-SE"/>
        </w:rPr>
        <w:t>om barn</w:t>
      </w:r>
      <w:r w:rsidR="00ED0C04">
        <w:rPr>
          <w:rFonts w:eastAsia="Times New Roman"/>
          <w:lang w:eastAsia="sv-SE"/>
        </w:rPr>
        <w:softHyphen/>
      </w:r>
      <w:r w:rsidRPr="00FC2616">
        <w:rPr>
          <w:rFonts w:eastAsia="Times New Roman"/>
          <w:lang w:eastAsia="sv-SE"/>
        </w:rPr>
        <w:t>gruppernas storlek kan genomföras samt hur rätten till barnomsorg för föräldrar som arbetar på obekväm arbetstid ska stärkas och hur det ska bli obligatoriskt för kommunerna att erbjuda öppen förskola.</w:t>
      </w:r>
    </w:p>
    <w:p w:rsidRPr="00ED0C04" w:rsidR="00851BFC" w:rsidP="00ED0C04" w:rsidRDefault="00851BFC" w14:paraId="720C2F5D" w14:textId="3AF42A36">
      <w:pPr>
        <w:pStyle w:val="Normalutanindragellerluft"/>
        <w:spacing w:before="240"/>
        <w:rPr>
          <w:rFonts w:eastAsia="Times New Roman"/>
          <w:b/>
          <w:bCs/>
          <w:lang w:eastAsia="sv-SE"/>
        </w:rPr>
      </w:pPr>
      <w:r w:rsidRPr="00ED0C04">
        <w:rPr>
          <w:rFonts w:eastAsia="Times New Roman"/>
          <w:b/>
          <w:bCs/>
          <w:lang w:eastAsia="sv-SE"/>
        </w:rPr>
        <w:lastRenderedPageBreak/>
        <w:t>Vänsterpartiets förslag:</w:t>
      </w:r>
    </w:p>
    <w:p w:rsidRPr="00FC2616" w:rsidR="00851BFC" w:rsidP="009340AA" w:rsidRDefault="00851BFC" w14:paraId="5881F5A6" w14:textId="77777777">
      <w:pPr>
        <w:pStyle w:val="ListaPunkt"/>
        <w:ind w:left="340" w:hanging="340"/>
        <w:rPr>
          <w:rFonts w:eastAsia="Calibri"/>
        </w:rPr>
      </w:pPr>
      <w:r w:rsidRPr="00FC2616">
        <w:rPr>
          <w:rFonts w:eastAsia="Calibri"/>
        </w:rPr>
        <w:t>Tillsätt en statlig utredning med följande uppdrag:</w:t>
      </w:r>
    </w:p>
    <w:p w:rsidRPr="00FC2616" w:rsidR="00851BFC" w:rsidP="00BD6874" w:rsidRDefault="00851BFC" w14:paraId="0CB9CCAE" w14:textId="0C1F54F3">
      <w:pPr>
        <w:pStyle w:val="ListaLinje"/>
        <w:tabs>
          <w:tab w:val="left" w:pos="454"/>
        </w:tabs>
        <w:ind w:left="567" w:hanging="227"/>
        <w:rPr>
          <w:rFonts w:eastAsia="Calibri"/>
        </w:rPr>
      </w:pPr>
      <w:r w:rsidRPr="00FC2616">
        <w:rPr>
          <w:rFonts w:eastAsia="Calibri"/>
        </w:rPr>
        <w:t>Ta fram en ny kompensatorisk resursfördelningsmodell enligt samma principer</w:t>
      </w:r>
      <w:r w:rsidRPr="00FC2616" w:rsidR="00B027D3">
        <w:rPr>
          <w:rFonts w:eastAsia="Calibri"/>
        </w:rPr>
        <w:t xml:space="preserve"> som</w:t>
      </w:r>
      <w:r w:rsidRPr="00FC2616">
        <w:rPr>
          <w:rFonts w:eastAsia="Calibri"/>
        </w:rPr>
        <w:t xml:space="preserve"> vi vill se i grundskolan. Förskolans strukturpengar ska avskaffas och inkluderas i den nya modellen.</w:t>
      </w:r>
    </w:p>
    <w:p w:rsidRPr="00FC2616" w:rsidR="00851BFC" w:rsidP="00BD6874" w:rsidRDefault="00851BFC" w14:paraId="4EEDEDDA" w14:textId="6FD64C18">
      <w:pPr>
        <w:pStyle w:val="ListaLinje"/>
        <w:tabs>
          <w:tab w:val="left" w:pos="454"/>
        </w:tabs>
        <w:ind w:left="567" w:hanging="227"/>
        <w:rPr>
          <w:rFonts w:eastAsia="Calibri"/>
        </w:rPr>
      </w:pPr>
      <w:bookmarkStart w:name="_Hlk111546414" w:id="140"/>
      <w:r w:rsidRPr="00FC2616">
        <w:rPr>
          <w:rFonts w:eastAsia="Times New Roman"/>
          <w:lang w:eastAsia="sv-SE"/>
        </w:rPr>
        <w:t>Utredningens förslag ska börja genomföras 2025 och vara fullt genomförda 2026. Vänsterpartiet avsätter 2</w:t>
      </w:r>
      <w:r w:rsidR="00587975">
        <w:rPr>
          <w:rFonts w:eastAsia="Times New Roman"/>
          <w:lang w:eastAsia="sv-SE"/>
        </w:rPr>
        <w:t> </w:t>
      </w:r>
      <w:r w:rsidRPr="00FC2616">
        <w:rPr>
          <w:rFonts w:eastAsia="Times New Roman"/>
          <w:lang w:eastAsia="sv-SE"/>
        </w:rPr>
        <w:t>miljarder kronor 2025 och 3</w:t>
      </w:r>
      <w:r w:rsidR="00587975">
        <w:rPr>
          <w:rFonts w:eastAsia="Times New Roman"/>
          <w:lang w:eastAsia="sv-SE"/>
        </w:rPr>
        <w:t> </w:t>
      </w:r>
      <w:r w:rsidRPr="00FC2616">
        <w:rPr>
          <w:rFonts w:eastAsia="Times New Roman"/>
          <w:lang w:eastAsia="sv-SE"/>
        </w:rPr>
        <w:t>miljarder kronor 2026.</w:t>
      </w:r>
    </w:p>
    <w:bookmarkEnd w:id="140"/>
    <w:p w:rsidRPr="00FC2616" w:rsidR="00851BFC" w:rsidP="00BD6874" w:rsidRDefault="00851BFC" w14:paraId="18CA9858" w14:textId="0B3E5A9B">
      <w:pPr>
        <w:pStyle w:val="ListaLinje"/>
        <w:tabs>
          <w:tab w:val="left" w:pos="454"/>
        </w:tabs>
        <w:ind w:left="567" w:hanging="227"/>
        <w:rPr>
          <w:rFonts w:eastAsia="Calibri"/>
        </w:rPr>
      </w:pPr>
      <w:r w:rsidRPr="00FC2616">
        <w:rPr>
          <w:rFonts w:eastAsia="Calibri"/>
        </w:rPr>
        <w:t>Ta fram förslag på genomförande och finansiering av rätt till 30</w:t>
      </w:r>
      <w:r w:rsidR="00156D2C">
        <w:rPr>
          <w:rFonts w:eastAsia="Calibri"/>
        </w:rPr>
        <w:t> </w:t>
      </w:r>
      <w:r w:rsidRPr="00FC2616">
        <w:rPr>
          <w:rFonts w:eastAsia="Calibri"/>
        </w:rPr>
        <w:t>timmars förskola för alla barn från 1</w:t>
      </w:r>
      <w:r w:rsidR="00156D2C">
        <w:rPr>
          <w:rFonts w:eastAsia="Calibri"/>
        </w:rPr>
        <w:t> </w:t>
      </w:r>
      <w:r w:rsidRPr="00FC2616">
        <w:rPr>
          <w:rFonts w:eastAsia="Calibri"/>
        </w:rPr>
        <w:t xml:space="preserve">års ålder. </w:t>
      </w:r>
    </w:p>
    <w:p w:rsidRPr="00FC2616" w:rsidR="00851BFC" w:rsidP="00BD6874" w:rsidRDefault="00851BFC" w14:paraId="2F431AC5" w14:textId="77777777">
      <w:pPr>
        <w:pStyle w:val="ListaLinje"/>
        <w:tabs>
          <w:tab w:val="left" w:pos="454"/>
        </w:tabs>
        <w:ind w:left="567" w:hanging="227"/>
        <w:rPr>
          <w:rFonts w:eastAsia="Calibri"/>
        </w:rPr>
      </w:pPr>
      <w:r w:rsidRPr="00FC2616">
        <w:rPr>
          <w:rFonts w:eastAsia="Calibri"/>
        </w:rPr>
        <w:t xml:space="preserve">Ta fram förslag på lagstiftning om rätt till barnomsorg på obekväm arbetstid. </w:t>
      </w:r>
    </w:p>
    <w:p w:rsidRPr="00FC2616" w:rsidR="00851BFC" w:rsidP="00BD6874" w:rsidRDefault="00851BFC" w14:paraId="505C8A5D" w14:textId="1D2E251F">
      <w:pPr>
        <w:pStyle w:val="ListaLinje"/>
        <w:tabs>
          <w:tab w:val="left" w:pos="454"/>
        </w:tabs>
        <w:ind w:left="567" w:hanging="227"/>
        <w:rPr>
          <w:rFonts w:eastAsia="Times New Roman"/>
          <w:b/>
          <w:bCs/>
          <w:lang w:eastAsia="sv-SE"/>
        </w:rPr>
      </w:pPr>
      <w:r w:rsidRPr="00FC2616">
        <w:rPr>
          <w:rFonts w:eastAsia="Calibri"/>
        </w:rPr>
        <w:t xml:space="preserve">Ta fram förslag på lagstiftning </w:t>
      </w:r>
      <w:r w:rsidRPr="00FC2616" w:rsidR="00B027D3">
        <w:rPr>
          <w:rFonts w:eastAsia="Calibri"/>
        </w:rPr>
        <w:t xml:space="preserve">om </w:t>
      </w:r>
      <w:r w:rsidRPr="00FC2616">
        <w:rPr>
          <w:rFonts w:eastAsia="Calibri"/>
        </w:rPr>
        <w:t xml:space="preserve">att införa en skyldighet för kommuner att erbjuda öppen förskola. </w:t>
      </w:r>
    </w:p>
    <w:p w:rsidRPr="00FC2616" w:rsidR="00851BFC" w:rsidP="0092368C" w:rsidRDefault="00851BFC" w14:paraId="09350301" w14:textId="1FEA2874">
      <w:pPr>
        <w:pStyle w:val="Rubrik2numrerat"/>
      </w:pPr>
      <w:bookmarkStart w:name="_Toc115271208" w:id="141"/>
      <w:bookmarkStart w:name="_Toc149814569" w:id="142"/>
      <w:r w:rsidRPr="00FC2616">
        <w:t>Inför en ny kompensatorisk resursfördelningsmodell i grundskolan</w:t>
      </w:r>
      <w:bookmarkEnd w:id="141"/>
      <w:bookmarkEnd w:id="142"/>
    </w:p>
    <w:p w:rsidRPr="00FC2616" w:rsidR="00851BFC" w:rsidP="003B350B" w:rsidRDefault="00851BFC" w14:paraId="51C10272" w14:textId="2A1CC04A">
      <w:pPr>
        <w:pStyle w:val="Normalutanindragellerluft"/>
        <w:rPr>
          <w:rFonts w:eastAsia="Calibri"/>
        </w:rPr>
      </w:pPr>
      <w:r w:rsidRPr="00FC2616">
        <w:rPr>
          <w:rFonts w:eastAsia="Calibri"/>
        </w:rPr>
        <w:t>Vänsterpartiet vill se en ny resursfördelningsmodell för grundskolan och förskoleklass som är mer kompensatorisk</w:t>
      </w:r>
      <w:r w:rsidRPr="00FC2616" w:rsidR="0048434C">
        <w:rPr>
          <w:rFonts w:eastAsia="Calibri"/>
        </w:rPr>
        <w:t>. D</w:t>
      </w:r>
      <w:r w:rsidRPr="00FC2616">
        <w:rPr>
          <w:rFonts w:eastAsia="Calibri"/>
        </w:rPr>
        <w:t>et likvärdighetsbidrag som finns i</w:t>
      </w:r>
      <w:r w:rsidRPr="00FC2616" w:rsidR="00B027D3">
        <w:rPr>
          <w:rFonts w:eastAsia="Calibri"/>
        </w:rPr>
        <w:t xml:space="preserve"> </w:t>
      </w:r>
      <w:r w:rsidRPr="00FC2616">
        <w:rPr>
          <w:rFonts w:eastAsia="Calibri"/>
        </w:rPr>
        <w:t xml:space="preserve">dag </w:t>
      </w:r>
      <w:r w:rsidRPr="00FC2616" w:rsidR="0048434C">
        <w:rPr>
          <w:rFonts w:eastAsia="Calibri"/>
        </w:rPr>
        <w:t xml:space="preserve">behöver stärkas </w:t>
      </w:r>
      <w:r w:rsidRPr="00FC2616">
        <w:rPr>
          <w:rFonts w:eastAsia="Calibri"/>
        </w:rPr>
        <w:t>och möjligheterna för skolans huvudmän att motverka likvärdighetsbidragets kompensatoriska effekt</w:t>
      </w:r>
      <w:r w:rsidRPr="00FC2616" w:rsidR="00D515BC">
        <w:rPr>
          <w:rFonts w:eastAsia="Calibri"/>
        </w:rPr>
        <w:t xml:space="preserve"> behöver minska</w:t>
      </w:r>
      <w:r w:rsidRPr="00FC2616">
        <w:rPr>
          <w:rFonts w:eastAsia="Calibri"/>
        </w:rPr>
        <w:t xml:space="preserve">. Den exakta utformningen av den nya modellen behöver utredas tillsammans med andra reformer för att stärka skolans kompensatoriska uppdrag. </w:t>
      </w:r>
    </w:p>
    <w:p w:rsidRPr="00FC2616" w:rsidR="003B350B" w:rsidP="003B350B" w:rsidRDefault="00851BFC" w14:paraId="73EAB27D" w14:textId="3A406BE3">
      <w:pPr>
        <w:rPr>
          <w:rFonts w:eastAsia="Calibri"/>
        </w:rPr>
      </w:pPr>
      <w:r w:rsidRPr="00FC2616">
        <w:rPr>
          <w:rFonts w:eastAsia="Calibri"/>
        </w:rPr>
        <w:t>Dagens modell där en viss summa pengar följer med varje elev skapar incitament för stora klasser eftersom kostnaderna för att bedriva undervisning i stort sett är desamma oavsett klassens storlek. Stora klasser innebär därmed ekonomiska överskott och mindre klasser leder till underskott. Skolor på landsbygd</w:t>
      </w:r>
      <w:r w:rsidR="0046745D">
        <w:rPr>
          <w:rFonts w:eastAsia="Calibri"/>
        </w:rPr>
        <w:t>en</w:t>
      </w:r>
      <w:r w:rsidRPr="00FC2616">
        <w:rPr>
          <w:rFonts w:eastAsia="Calibri"/>
        </w:rPr>
        <w:t xml:space="preserve"> och skolor med elever med behov av mindre undervisningsgrupper missgynnas. Klasstorlek och lärartäthet har betydelse för elevers kunskapsinlärning. Tydligast är det för elever som går de första åren i grund</w:t>
      </w:r>
      <w:r w:rsidR="007C340E">
        <w:rPr>
          <w:rFonts w:eastAsia="Calibri"/>
        </w:rPr>
        <w:softHyphen/>
      </w:r>
      <w:r w:rsidRPr="00FC2616">
        <w:rPr>
          <w:rFonts w:eastAsia="Calibri"/>
        </w:rPr>
        <w:t xml:space="preserve">skolan </w:t>
      </w:r>
      <w:r w:rsidR="000618A5">
        <w:rPr>
          <w:rFonts w:eastAsia="Calibri"/>
        </w:rPr>
        <w:t xml:space="preserve">och för </w:t>
      </w:r>
      <w:r w:rsidRPr="00FC2616">
        <w:rPr>
          <w:rFonts w:eastAsia="Calibri"/>
        </w:rPr>
        <w:t xml:space="preserve">elever som inte får så mycket stöd i sina studier hemifrån. Utredningen ska därför </w:t>
      </w:r>
      <w:r w:rsidRPr="00FC2616" w:rsidR="00B027D3">
        <w:rPr>
          <w:rFonts w:eastAsia="Calibri"/>
        </w:rPr>
        <w:t>bl.a.</w:t>
      </w:r>
      <w:r w:rsidRPr="00FC2616">
        <w:rPr>
          <w:rFonts w:eastAsia="Calibri"/>
        </w:rPr>
        <w:t xml:space="preserve"> ta fram förslag om hur det nuvarande skolfinansieringssystemet med skolpeng kan avskaffas till förmån för en klasspeng.</w:t>
      </w:r>
    </w:p>
    <w:p w:rsidRPr="00FC2616" w:rsidR="003B350B" w:rsidP="003B350B" w:rsidRDefault="00851BFC" w14:paraId="6ED70EF3" w14:textId="5477C4B9">
      <w:pPr>
        <w:rPr>
          <w:rFonts w:eastAsia="Times New Roman"/>
          <w:lang w:eastAsia="sv-SE"/>
        </w:rPr>
      </w:pPr>
      <w:r w:rsidRPr="00FC2616">
        <w:rPr>
          <w:rFonts w:eastAsia="Times New Roman"/>
          <w:lang w:eastAsia="sv-SE"/>
        </w:rPr>
        <w:t>Utredningen ska också säkerställa att den nya modellen inte medför ökade kostnader för kommuner med sämre ekonomi, och undanträngning av annan kommunal service, samt att resursfördelningen inte blir mindre kompensatorisk i någon kommun. Modellen ska också utformas så att resurser fokuseras till de lägre årskurserna där de kompensa</w:t>
      </w:r>
      <w:r w:rsidR="007C340E">
        <w:rPr>
          <w:rFonts w:eastAsia="Times New Roman"/>
          <w:lang w:eastAsia="sv-SE"/>
        </w:rPr>
        <w:softHyphen/>
      </w:r>
      <w:r w:rsidRPr="00FC2616">
        <w:rPr>
          <w:rFonts w:eastAsia="Times New Roman"/>
          <w:lang w:eastAsia="sv-SE"/>
        </w:rPr>
        <w:t xml:space="preserve">toriska insatserna har störst effekt. </w:t>
      </w:r>
    </w:p>
    <w:p w:rsidRPr="00FC2616" w:rsidR="003B350B" w:rsidP="003B350B" w:rsidRDefault="00851BFC" w14:paraId="0D36BF23" w14:textId="503D69BE">
      <w:pPr>
        <w:rPr>
          <w:rFonts w:eastAsia="Calibri"/>
        </w:rPr>
      </w:pPr>
      <w:r w:rsidRPr="00FC2616">
        <w:rPr>
          <w:rFonts w:eastAsia="Calibri"/>
        </w:rPr>
        <w:t>Lärarna behöver mer stöd och avlastning i sitt arbete av andra personalkategorier. Därför ska utredningen också se över hur nyckeltal för skolläkare, speciallärare, specialpedagog</w:t>
      </w:r>
      <w:r w:rsidR="004A14D2">
        <w:rPr>
          <w:rFonts w:eastAsia="Calibri"/>
        </w:rPr>
        <w:t>er</w:t>
      </w:r>
      <w:r w:rsidRPr="00FC2616">
        <w:rPr>
          <w:rFonts w:eastAsia="Calibri"/>
        </w:rPr>
        <w:t>, skolskötersk</w:t>
      </w:r>
      <w:r w:rsidR="004A14D2">
        <w:rPr>
          <w:rFonts w:eastAsia="Calibri"/>
        </w:rPr>
        <w:t>or</w:t>
      </w:r>
      <w:r w:rsidRPr="00FC2616">
        <w:rPr>
          <w:rFonts w:eastAsia="Calibri"/>
        </w:rPr>
        <w:t>, skolkurator</w:t>
      </w:r>
      <w:r w:rsidR="004A14D2">
        <w:rPr>
          <w:rFonts w:eastAsia="Calibri"/>
        </w:rPr>
        <w:t>er</w:t>
      </w:r>
      <w:r w:rsidRPr="00FC2616">
        <w:rPr>
          <w:rFonts w:eastAsia="Calibri"/>
        </w:rPr>
        <w:t>, skolpsykolog</w:t>
      </w:r>
      <w:r w:rsidR="004A14D2">
        <w:rPr>
          <w:rFonts w:eastAsia="Calibri"/>
        </w:rPr>
        <w:t>er</w:t>
      </w:r>
      <w:r w:rsidRPr="00FC2616">
        <w:rPr>
          <w:rFonts w:eastAsia="Calibri"/>
        </w:rPr>
        <w:t xml:space="preserve"> samt studie- och yrkesvägledare vid varje skolenhet kan införas och finansieras. Vänsterpartiet anser att alla elever ska garanteras rätten till tryckta läromedel av hög kvalitet. Vi vill därför omsätta förslagen </w:t>
      </w:r>
      <w:bookmarkStart w:name="_Hlk115358879" w:id="143"/>
      <w:r w:rsidRPr="00FC2616">
        <w:rPr>
          <w:rFonts w:eastAsia="Calibri"/>
        </w:rPr>
        <w:t xml:space="preserve">i Läromedelsutredningen (SOU 2021:70) </w:t>
      </w:r>
      <w:bookmarkEnd w:id="143"/>
      <w:r w:rsidRPr="00FC2616">
        <w:rPr>
          <w:rFonts w:eastAsia="Calibri"/>
        </w:rPr>
        <w:t>till lagstiftning.</w:t>
      </w:r>
    </w:p>
    <w:p w:rsidRPr="00FC2616" w:rsidR="00851BFC" w:rsidP="003B350B" w:rsidRDefault="00851BFC" w14:paraId="6C954960" w14:textId="38A9E02E">
      <w:pPr>
        <w:rPr>
          <w:rFonts w:eastAsia="Times New Roman"/>
          <w:lang w:eastAsia="sv-SE"/>
        </w:rPr>
      </w:pPr>
      <w:r w:rsidRPr="00FC2616">
        <w:rPr>
          <w:rFonts w:eastAsia="Times New Roman"/>
          <w:lang w:eastAsia="sv-SE"/>
        </w:rPr>
        <w:t xml:space="preserve">Utredningen ska också se över vilka nuvarande riktade statsbidrag som kan tas bort och införlivas i likvärdighetsbidraget. Utöver det avser vi </w:t>
      </w:r>
      <w:r w:rsidR="00286469">
        <w:rPr>
          <w:rFonts w:eastAsia="Times New Roman"/>
          <w:lang w:eastAsia="sv-SE"/>
        </w:rPr>
        <w:t xml:space="preserve">att </w:t>
      </w:r>
      <w:r w:rsidRPr="00FC2616">
        <w:rPr>
          <w:rFonts w:eastAsia="Times New Roman"/>
          <w:lang w:eastAsia="sv-SE"/>
        </w:rPr>
        <w:t>tillföra omkring 2</w:t>
      </w:r>
      <w:r w:rsidR="00286469">
        <w:rPr>
          <w:rFonts w:eastAsia="Times New Roman"/>
          <w:lang w:eastAsia="sv-SE"/>
        </w:rPr>
        <w:t> </w:t>
      </w:r>
      <w:r w:rsidRPr="00FC2616">
        <w:rPr>
          <w:rFonts w:eastAsia="Times New Roman"/>
          <w:lang w:eastAsia="sv-SE"/>
        </w:rPr>
        <w:t>miljarder kronor 2025 och 3</w:t>
      </w:r>
      <w:r w:rsidR="00286469">
        <w:rPr>
          <w:rFonts w:eastAsia="Times New Roman"/>
          <w:lang w:eastAsia="sv-SE"/>
        </w:rPr>
        <w:t> </w:t>
      </w:r>
      <w:r w:rsidRPr="00FC2616">
        <w:rPr>
          <w:rFonts w:eastAsia="Times New Roman"/>
          <w:lang w:eastAsia="sv-SE"/>
        </w:rPr>
        <w:t xml:space="preserve">miljarder kronor från 2026. Utredningen ska vara klar 2023, </w:t>
      </w:r>
      <w:r w:rsidR="00286469">
        <w:rPr>
          <w:rFonts w:eastAsia="Times New Roman"/>
          <w:lang w:eastAsia="sv-SE"/>
        </w:rPr>
        <w:t xml:space="preserve">och </w:t>
      </w:r>
      <w:r w:rsidRPr="00FC2616">
        <w:rPr>
          <w:rFonts w:eastAsia="Times New Roman"/>
          <w:lang w:eastAsia="sv-SE"/>
        </w:rPr>
        <w:t>reformerna ska börja genomföras 2025 och vara fullt genomförda 2026.</w:t>
      </w:r>
    </w:p>
    <w:p w:rsidRPr="007C340E" w:rsidR="00851BFC" w:rsidP="007C340E" w:rsidRDefault="00851BFC" w14:paraId="362CDC77" w14:textId="77777777">
      <w:pPr>
        <w:pStyle w:val="Normalutanindragellerluft"/>
        <w:spacing w:before="240"/>
        <w:rPr>
          <w:rFonts w:eastAsia="Calibri"/>
          <w:b/>
          <w:bCs/>
        </w:rPr>
      </w:pPr>
      <w:r w:rsidRPr="007C340E">
        <w:rPr>
          <w:rFonts w:eastAsia="Calibri"/>
          <w:b/>
          <w:bCs/>
        </w:rPr>
        <w:lastRenderedPageBreak/>
        <w:t>Vänsterpartiets förslag:</w:t>
      </w:r>
    </w:p>
    <w:p w:rsidRPr="00FC2616" w:rsidR="00851BFC" w:rsidP="003D6505" w:rsidRDefault="00851BFC" w14:paraId="72128CFB" w14:textId="77777777">
      <w:pPr>
        <w:pStyle w:val="ListaPunkt"/>
        <w:ind w:left="340" w:hanging="340"/>
        <w:rPr>
          <w:rFonts w:eastAsia="Calibri"/>
        </w:rPr>
      </w:pPr>
      <w:r w:rsidRPr="00FC2616">
        <w:rPr>
          <w:rFonts w:eastAsia="Calibri"/>
        </w:rPr>
        <w:t>Tillsätt en statlig utredning för att ta fram en ny kompensatorisk resursfördelningsmodell enligt följande principer:</w:t>
      </w:r>
    </w:p>
    <w:p w:rsidRPr="00FC2616" w:rsidR="00851BFC" w:rsidP="003D6505" w:rsidRDefault="00851BFC" w14:paraId="4CB76B86" w14:textId="0D89AEA1">
      <w:pPr>
        <w:pStyle w:val="ListaLinje"/>
        <w:ind w:left="567" w:hanging="170"/>
        <w:rPr>
          <w:rFonts w:eastAsia="Times New Roman"/>
          <w:lang w:eastAsia="sv-SE"/>
        </w:rPr>
      </w:pPr>
      <w:r w:rsidRPr="00FC2616">
        <w:rPr>
          <w:rFonts w:eastAsia="Times New Roman"/>
          <w:lang w:eastAsia="sv-SE"/>
        </w:rPr>
        <w:t>Skolpengen ska ers</w:t>
      </w:r>
      <w:r w:rsidR="0024542A">
        <w:rPr>
          <w:rFonts w:eastAsia="Times New Roman"/>
          <w:lang w:eastAsia="sv-SE"/>
        </w:rPr>
        <w:t>ä</w:t>
      </w:r>
      <w:r w:rsidRPr="00FC2616">
        <w:rPr>
          <w:rFonts w:eastAsia="Times New Roman"/>
          <w:lang w:eastAsia="sv-SE"/>
        </w:rPr>
        <w:t>ttas av en klasspeng som viktas utifrån lokala förutsättningar.</w:t>
      </w:r>
    </w:p>
    <w:p w:rsidRPr="00FC2616" w:rsidR="00851BFC" w:rsidP="003D6505" w:rsidRDefault="00851BFC" w14:paraId="33A4D4B7" w14:textId="21F5B1DC">
      <w:pPr>
        <w:pStyle w:val="ListaLinje"/>
        <w:ind w:left="567" w:hanging="170"/>
        <w:rPr>
          <w:rFonts w:eastAsia="Times New Roman"/>
          <w:lang w:eastAsia="sv-SE"/>
        </w:rPr>
      </w:pPr>
      <w:r w:rsidRPr="00FC2616">
        <w:rPr>
          <w:rFonts w:eastAsia="Times New Roman"/>
          <w:lang w:eastAsia="sv-SE"/>
        </w:rPr>
        <w:t>Likvärdighetsbidraget, som baseras på elevsammansättning</w:t>
      </w:r>
      <w:r w:rsidR="000A413E">
        <w:rPr>
          <w:rFonts w:eastAsia="Times New Roman"/>
          <w:lang w:eastAsia="sv-SE"/>
        </w:rPr>
        <w:t>,</w:t>
      </w:r>
      <w:r w:rsidRPr="00FC2616">
        <w:rPr>
          <w:rFonts w:eastAsia="Times New Roman"/>
          <w:lang w:eastAsia="sv-SE"/>
        </w:rPr>
        <w:t xml:space="preserve"> förstärks kraftigt och flera riktade statsbidrag avskaffas för att </w:t>
      </w:r>
      <w:r w:rsidR="0088735E">
        <w:rPr>
          <w:rFonts w:eastAsia="Times New Roman"/>
          <w:lang w:eastAsia="sv-SE"/>
        </w:rPr>
        <w:t xml:space="preserve">de </w:t>
      </w:r>
      <w:r w:rsidRPr="00FC2616">
        <w:rPr>
          <w:rFonts w:eastAsia="Times New Roman"/>
          <w:lang w:eastAsia="sv-SE"/>
        </w:rPr>
        <w:t>med</w:t>
      </w:r>
      <w:r w:rsidR="0088735E">
        <w:rPr>
          <w:rFonts w:eastAsia="Times New Roman"/>
          <w:lang w:eastAsia="sv-SE"/>
        </w:rPr>
        <w:t>e</w:t>
      </w:r>
      <w:r w:rsidRPr="00FC2616">
        <w:rPr>
          <w:rFonts w:eastAsia="Times New Roman"/>
          <w:lang w:eastAsia="sv-SE"/>
        </w:rPr>
        <w:t>l som är avsatta till dem ska tillskjutas likvärdighetsbid</w:t>
      </w:r>
      <w:r w:rsidRPr="00FC2616" w:rsidR="00BF3B3D">
        <w:rPr>
          <w:rFonts w:eastAsia="Times New Roman"/>
          <w:lang w:eastAsia="sv-SE"/>
        </w:rPr>
        <w:t>r</w:t>
      </w:r>
      <w:r w:rsidRPr="00FC2616">
        <w:rPr>
          <w:rFonts w:eastAsia="Times New Roman"/>
          <w:lang w:eastAsia="sv-SE"/>
        </w:rPr>
        <w:t>aget.</w:t>
      </w:r>
    </w:p>
    <w:p w:rsidRPr="00FC2616" w:rsidR="00851BFC" w:rsidP="003D6505" w:rsidRDefault="00851BFC" w14:paraId="55812C92" w14:textId="4CB27B63">
      <w:pPr>
        <w:pStyle w:val="ListaLinje"/>
        <w:ind w:left="567" w:hanging="170"/>
        <w:rPr>
          <w:rFonts w:eastAsia="Times New Roman"/>
          <w:lang w:eastAsia="sv-SE"/>
        </w:rPr>
      </w:pPr>
      <w:r w:rsidRPr="00FC2616">
        <w:rPr>
          <w:rFonts w:eastAsia="Calibri"/>
        </w:rPr>
        <w:t>Nyckeltal för skolläkare, speciallärare, specialpedagog</w:t>
      </w:r>
      <w:r w:rsidR="009C0377">
        <w:rPr>
          <w:rFonts w:eastAsia="Calibri"/>
        </w:rPr>
        <w:t>er</w:t>
      </w:r>
      <w:r w:rsidRPr="00FC2616">
        <w:rPr>
          <w:rFonts w:eastAsia="Calibri"/>
        </w:rPr>
        <w:t>, skolskötersk</w:t>
      </w:r>
      <w:r w:rsidR="009C0377">
        <w:rPr>
          <w:rFonts w:eastAsia="Calibri"/>
        </w:rPr>
        <w:t>or</w:t>
      </w:r>
      <w:r w:rsidRPr="00FC2616">
        <w:rPr>
          <w:rFonts w:eastAsia="Calibri"/>
        </w:rPr>
        <w:t>, skolkurator</w:t>
      </w:r>
      <w:r w:rsidR="009C0377">
        <w:rPr>
          <w:rFonts w:eastAsia="Calibri"/>
        </w:rPr>
        <w:t>er</w:t>
      </w:r>
      <w:r w:rsidRPr="00FC2616">
        <w:rPr>
          <w:rFonts w:eastAsia="Calibri"/>
        </w:rPr>
        <w:t xml:space="preserve"> och skolpsykolog</w:t>
      </w:r>
      <w:r w:rsidR="009C0377">
        <w:rPr>
          <w:rFonts w:eastAsia="Calibri"/>
        </w:rPr>
        <w:t>er</w:t>
      </w:r>
      <w:r w:rsidRPr="00FC2616">
        <w:rPr>
          <w:rFonts w:eastAsia="Calibri"/>
        </w:rPr>
        <w:t xml:space="preserve"> samt studie- och yrkesvägledare vid varje skolenhet ska införas</w:t>
      </w:r>
      <w:r w:rsidR="009C0377">
        <w:rPr>
          <w:rFonts w:eastAsia="Calibri"/>
        </w:rPr>
        <w:t>,</w:t>
      </w:r>
      <w:r w:rsidRPr="00FC2616">
        <w:rPr>
          <w:rFonts w:eastAsia="Calibri"/>
        </w:rPr>
        <w:t xml:space="preserve"> och resursfördelningsmodellen ska ta hänsyn till ökade kostnader till följd av det.</w:t>
      </w:r>
    </w:p>
    <w:p w:rsidRPr="00FC2616" w:rsidR="00851BFC" w:rsidP="003D6505" w:rsidRDefault="00851BFC" w14:paraId="5797D0CD" w14:textId="023037BB">
      <w:pPr>
        <w:pStyle w:val="ListaLinje"/>
        <w:ind w:left="567" w:hanging="170"/>
        <w:rPr>
          <w:rFonts w:eastAsia="Times New Roman"/>
          <w:lang w:eastAsia="sv-SE"/>
        </w:rPr>
      </w:pPr>
      <w:r w:rsidRPr="00FC2616">
        <w:rPr>
          <w:rFonts w:eastAsia="Times New Roman"/>
          <w:lang w:eastAsia="sv-SE"/>
        </w:rPr>
        <w:t xml:space="preserve">Utredningen ska vara klar 2023, </w:t>
      </w:r>
      <w:r w:rsidR="00D250AA">
        <w:rPr>
          <w:rFonts w:eastAsia="Times New Roman"/>
          <w:lang w:eastAsia="sv-SE"/>
        </w:rPr>
        <w:t xml:space="preserve">och </w:t>
      </w:r>
      <w:r w:rsidRPr="00FC2616">
        <w:rPr>
          <w:rFonts w:eastAsia="Times New Roman"/>
          <w:lang w:eastAsia="sv-SE"/>
        </w:rPr>
        <w:t>reformerna ska börja genomföras 2025 och vara fullt genomförda 2026.</w:t>
      </w:r>
      <w:r w:rsidRPr="00FC2616">
        <w:rPr>
          <w:rFonts w:eastAsia="Calibri"/>
        </w:rPr>
        <w:t xml:space="preserve"> </w:t>
      </w:r>
      <w:r w:rsidRPr="00FC2616">
        <w:rPr>
          <w:rFonts w:eastAsia="Times New Roman"/>
          <w:lang w:eastAsia="sv-SE"/>
        </w:rPr>
        <w:t>Vi tillför 2</w:t>
      </w:r>
      <w:r w:rsidR="00D250AA">
        <w:rPr>
          <w:rFonts w:eastAsia="Times New Roman"/>
          <w:lang w:eastAsia="sv-SE"/>
        </w:rPr>
        <w:t> </w:t>
      </w:r>
      <w:r w:rsidRPr="00FC2616">
        <w:rPr>
          <w:rFonts w:eastAsia="Times New Roman"/>
          <w:lang w:eastAsia="sv-SE"/>
        </w:rPr>
        <w:t>miljarder kronor 2025 och 3</w:t>
      </w:r>
      <w:r w:rsidR="00D250AA">
        <w:rPr>
          <w:rFonts w:eastAsia="Times New Roman"/>
          <w:lang w:eastAsia="sv-SE"/>
        </w:rPr>
        <w:t> </w:t>
      </w:r>
      <w:r w:rsidRPr="00FC2616">
        <w:rPr>
          <w:rFonts w:eastAsia="Times New Roman"/>
          <w:lang w:eastAsia="sv-SE"/>
        </w:rPr>
        <w:t xml:space="preserve">miljarder kronor från 2026. </w:t>
      </w:r>
    </w:p>
    <w:p w:rsidRPr="00FC2616" w:rsidR="00851BFC" w:rsidP="00946064" w:rsidRDefault="00851BFC" w14:paraId="00015EB5" w14:textId="68FB17AC">
      <w:pPr>
        <w:pStyle w:val="ListaPunkt"/>
        <w:ind w:left="340" w:hanging="340"/>
        <w:rPr>
          <w:rFonts w:eastAsia="Times New Roman"/>
          <w:lang w:eastAsia="sv-SE"/>
        </w:rPr>
      </w:pPr>
      <w:r w:rsidRPr="00FC2616">
        <w:rPr>
          <w:rFonts w:eastAsia="Calibri"/>
        </w:rPr>
        <w:t>Omsätt förslagen i Läromedelsutredningen (SOU 2021:70) till lagstiftning.</w:t>
      </w:r>
    </w:p>
    <w:p w:rsidRPr="00FC2616" w:rsidR="00851BFC" w:rsidP="0092368C" w:rsidRDefault="00851BFC" w14:paraId="4F9AFC3A" w14:textId="73B42941">
      <w:pPr>
        <w:pStyle w:val="Rubrik2numrerat"/>
      </w:pPr>
      <w:bookmarkStart w:name="_Toc111201333" w:id="144"/>
      <w:bookmarkStart w:name="_Toc111542860" w:id="145"/>
      <w:bookmarkStart w:name="_Toc115271209" w:id="146"/>
      <w:bookmarkStart w:name="_Toc149814570" w:id="147"/>
      <w:r w:rsidRPr="00FC2616">
        <w:t>Stärk de kompensatoriska insatserna i gymnasieskolan</w:t>
      </w:r>
      <w:bookmarkEnd w:id="144"/>
      <w:bookmarkEnd w:id="145"/>
      <w:bookmarkEnd w:id="146"/>
      <w:bookmarkEnd w:id="147"/>
    </w:p>
    <w:p w:rsidRPr="00FC2616" w:rsidR="00851BFC" w:rsidP="003B350B" w:rsidRDefault="00851BFC" w14:paraId="07CB18F0" w14:textId="7CFC02C6">
      <w:pPr>
        <w:pStyle w:val="Normalutanindragellerluft"/>
        <w:rPr>
          <w:rFonts w:eastAsia="Times New Roman"/>
          <w:lang w:eastAsia="sv-SE"/>
        </w:rPr>
      </w:pPr>
      <w:r w:rsidRPr="00FC2616">
        <w:rPr>
          <w:rFonts w:eastAsia="Times New Roman"/>
          <w:lang w:eastAsia="sv-SE"/>
        </w:rPr>
        <w:t xml:space="preserve">Den svenska grundskolans oförmåga att kompensera för de olika förutsättningar </w:t>
      </w:r>
      <w:r w:rsidR="00052D68">
        <w:rPr>
          <w:rFonts w:eastAsia="Times New Roman"/>
          <w:lang w:eastAsia="sv-SE"/>
        </w:rPr>
        <w:t xml:space="preserve">som </w:t>
      </w:r>
      <w:r w:rsidRPr="00FC2616">
        <w:rPr>
          <w:rFonts w:eastAsia="Times New Roman"/>
          <w:lang w:eastAsia="sv-SE"/>
        </w:rPr>
        <w:t xml:space="preserve">elever har, som beskrivs ovan, tycks även gälla för gymnasieskolan. I betänkandet I mål </w:t>
      </w:r>
      <w:r w:rsidRPr="00FC2616" w:rsidR="00C15C69">
        <w:rPr>
          <w:rFonts w:eastAsia="Times New Roman"/>
          <w:lang w:eastAsia="sv-SE"/>
        </w:rPr>
        <w:t>–</w:t>
      </w:r>
      <w:r w:rsidRPr="00FC2616">
        <w:rPr>
          <w:rFonts w:eastAsia="Times New Roman"/>
          <w:lang w:eastAsia="sv-SE"/>
        </w:rPr>
        <w:t xml:space="preserve"> vägar vidare för att fler unga ska nå målen med sin gymnasieutbildning konstateras att det sedan länge är väl känt att elever i gymnasieskolan når olika studieresultat beroende på deras bakgrund.</w:t>
      </w:r>
      <w:r w:rsidRPr="00FC2616">
        <w:rPr>
          <w:rFonts w:eastAsia="Times New Roman"/>
          <w:vertAlign w:val="superscript"/>
          <w:lang w:eastAsia="sv-SE"/>
        </w:rPr>
        <w:footnoteReference w:id="91"/>
      </w:r>
    </w:p>
    <w:p w:rsidRPr="00FC2616" w:rsidR="003B350B" w:rsidP="00D515BC" w:rsidRDefault="00851BFC" w14:paraId="048939EC" w14:textId="2C09A3B0">
      <w:pPr>
        <w:rPr>
          <w:rFonts w:eastAsia="Times New Roman"/>
          <w:lang w:eastAsia="sv-SE"/>
        </w:rPr>
      </w:pPr>
      <w:r w:rsidRPr="00FC2616">
        <w:rPr>
          <w:rFonts w:eastAsia="Calibri"/>
        </w:rPr>
        <w:t>Gymnasieskolan är en frivillig skolform men samtidigt är en gymnasieexamen en avgörande nyckel till arbetsmarknaden och ett vuxenliv med egen försörjning och god hälsa. Därför behöver gymnasieskolans uppdrag och arbetssätt tydligt utgå från mål</w:t>
      </w:r>
      <w:r w:rsidR="00BD6874">
        <w:rPr>
          <w:rFonts w:eastAsia="Calibri"/>
        </w:rPr>
        <w:softHyphen/>
      </w:r>
      <w:r w:rsidRPr="00FC2616">
        <w:rPr>
          <w:rFonts w:eastAsia="Calibri"/>
        </w:rPr>
        <w:t xml:space="preserve">sättningen att alla ska slutföra en gymnasieutbildning eller motsvarande inom andra skolformer. Betydligt större insatser behöver göras för att få alla unga att påbörja och slutföra en gymnasieutbildning. </w:t>
      </w:r>
    </w:p>
    <w:p w:rsidRPr="00FC2616" w:rsidR="003B350B" w:rsidP="00D515BC" w:rsidRDefault="00851BFC" w14:paraId="3C6AA476" w14:textId="08D95163">
      <w:pPr>
        <w:rPr>
          <w:rFonts w:eastAsia="Times New Roman"/>
          <w:lang w:eastAsia="sv-SE"/>
        </w:rPr>
      </w:pPr>
      <w:r w:rsidRPr="00FC2616">
        <w:rPr>
          <w:rFonts w:eastAsia="Calibri"/>
        </w:rPr>
        <w:t>Gymnasieskolan behöver, precis som övriga skolformer, en resurstilldelningsmodell som är mer kompensatorisk än den nuvarande. Gymnasieskolan skiljer sig från grund</w:t>
      </w:r>
      <w:r w:rsidR="00BD6874">
        <w:rPr>
          <w:rFonts w:eastAsia="Calibri"/>
        </w:rPr>
        <w:softHyphen/>
      </w:r>
      <w:r w:rsidRPr="00FC2616">
        <w:rPr>
          <w:rFonts w:eastAsia="Calibri"/>
        </w:rPr>
        <w:t>skolan på så vis att det sker en annan selektering av eleverna genom betygsintagningen, samtidigt som avstånd</w:t>
      </w:r>
      <w:r w:rsidR="00AA5F9C">
        <w:rPr>
          <w:rFonts w:eastAsia="Calibri"/>
        </w:rPr>
        <w:t>et</w:t>
      </w:r>
      <w:r w:rsidRPr="00FC2616">
        <w:rPr>
          <w:rFonts w:eastAsia="Calibri"/>
        </w:rPr>
        <w:t xml:space="preserve"> mellan hem</w:t>
      </w:r>
      <w:r w:rsidR="00AA5F9C">
        <w:rPr>
          <w:rFonts w:eastAsia="Calibri"/>
        </w:rPr>
        <w:t>met</w:t>
      </w:r>
      <w:r w:rsidRPr="00FC2616">
        <w:rPr>
          <w:rFonts w:eastAsia="Calibri"/>
        </w:rPr>
        <w:t xml:space="preserve"> och skola</w:t>
      </w:r>
      <w:r w:rsidR="00AA5F9C">
        <w:rPr>
          <w:rFonts w:eastAsia="Calibri"/>
        </w:rPr>
        <w:t>n</w:t>
      </w:r>
      <w:r w:rsidRPr="00FC2616">
        <w:rPr>
          <w:rFonts w:eastAsia="Calibri"/>
        </w:rPr>
        <w:t xml:space="preserve"> spelar mindre roll i gymnasieåldern än i grundskolan. Därför behöver en ny resurstilldelningsmodell för gymnasieskolan se något annorlunda ut än den för grundskolan. </w:t>
      </w:r>
    </w:p>
    <w:p w:rsidRPr="00FC2616" w:rsidR="00851BFC" w:rsidP="00D515BC" w:rsidRDefault="00851BFC" w14:paraId="1FCCB25F" w14:textId="1413EA28">
      <w:pPr>
        <w:rPr>
          <w:rFonts w:eastAsia="Times New Roman"/>
          <w:lang w:eastAsia="sv-SE"/>
        </w:rPr>
      </w:pPr>
      <w:r w:rsidRPr="00FC2616">
        <w:rPr>
          <w:rFonts w:eastAsia="Calibri"/>
        </w:rPr>
        <w:t xml:space="preserve">Vänsterpartiet vill att det införs ett likvärdighetsbidrag för gymnasieskolan liknande det i grundskolan men utformat så att det tar hänsyn till gymnasieskolans utformning. Hur ett sådant likvärdighetsbidrag ska utformas behöver utredas tillsammans med en ny resurstilldelningsmodell. I en sådan utredning bör </w:t>
      </w:r>
      <w:r w:rsidR="00C03F66">
        <w:rPr>
          <w:rFonts w:eastAsia="Calibri"/>
        </w:rPr>
        <w:t xml:space="preserve">det </w:t>
      </w:r>
      <w:r w:rsidRPr="00FC2616">
        <w:rPr>
          <w:rFonts w:eastAsia="Calibri"/>
        </w:rPr>
        <w:t xml:space="preserve">förslag om ett </w:t>
      </w:r>
      <w:proofErr w:type="spellStart"/>
      <w:r w:rsidRPr="00FC2616">
        <w:rPr>
          <w:rFonts w:eastAsia="Calibri"/>
        </w:rPr>
        <w:t>sektor</w:t>
      </w:r>
      <w:r w:rsidR="00C03F66">
        <w:rPr>
          <w:rFonts w:eastAsia="Calibri"/>
        </w:rPr>
        <w:t>s</w:t>
      </w:r>
      <w:r w:rsidRPr="00FC2616">
        <w:rPr>
          <w:rFonts w:eastAsia="Calibri"/>
        </w:rPr>
        <w:t>bidrag</w:t>
      </w:r>
      <w:proofErr w:type="spellEnd"/>
      <w:r w:rsidRPr="00FC2616">
        <w:rPr>
          <w:rFonts w:eastAsia="Calibri"/>
        </w:rPr>
        <w:t xml:space="preserve"> för gymnasieskolan som presenterats av Lärarnas Riksförbund övervägas, och möjligheten att omvandla befintliga riktade statsbidrag till ett nytt likvärdighetsbidrag eller </w:t>
      </w:r>
      <w:proofErr w:type="spellStart"/>
      <w:r w:rsidRPr="00FC2616">
        <w:rPr>
          <w:rFonts w:eastAsia="Calibri"/>
        </w:rPr>
        <w:t>sektor</w:t>
      </w:r>
      <w:r w:rsidR="004343F4">
        <w:rPr>
          <w:rFonts w:eastAsia="Calibri"/>
        </w:rPr>
        <w:t>s</w:t>
      </w:r>
      <w:r w:rsidR="00BD6874">
        <w:rPr>
          <w:rFonts w:eastAsia="Calibri"/>
        </w:rPr>
        <w:softHyphen/>
      </w:r>
      <w:r w:rsidRPr="00FC2616">
        <w:rPr>
          <w:rFonts w:eastAsia="Calibri"/>
        </w:rPr>
        <w:t>bidrag</w:t>
      </w:r>
      <w:proofErr w:type="spellEnd"/>
      <w:r w:rsidRPr="00FC2616">
        <w:rPr>
          <w:rFonts w:eastAsia="Calibri"/>
        </w:rPr>
        <w:t xml:space="preserve"> bör utredas. Vänsterpartiet avser </w:t>
      </w:r>
      <w:r w:rsidR="006F47EC">
        <w:rPr>
          <w:rFonts w:eastAsia="Calibri"/>
        </w:rPr>
        <w:t xml:space="preserve">att </w:t>
      </w:r>
      <w:r w:rsidRPr="00FC2616">
        <w:rPr>
          <w:rFonts w:eastAsia="Calibri"/>
        </w:rPr>
        <w:t>tillskjuta omkring ytterligare 1</w:t>
      </w:r>
      <w:r w:rsidR="006F47EC">
        <w:rPr>
          <w:rFonts w:eastAsia="Calibri"/>
        </w:rPr>
        <w:t> </w:t>
      </w:r>
      <w:r w:rsidRPr="00FC2616">
        <w:rPr>
          <w:rFonts w:eastAsia="Calibri"/>
        </w:rPr>
        <w:t xml:space="preserve">miljard kronor till gymnasieskolan från 2025. </w:t>
      </w:r>
      <w:r w:rsidRPr="00FC2616">
        <w:rPr>
          <w:rFonts w:eastAsia="Times New Roman"/>
          <w:lang w:eastAsia="sv-SE"/>
        </w:rPr>
        <w:t xml:space="preserve">Utredningen ska vara klar 2023, </w:t>
      </w:r>
      <w:r w:rsidR="00FB185D">
        <w:rPr>
          <w:rFonts w:eastAsia="Times New Roman"/>
          <w:lang w:eastAsia="sv-SE"/>
        </w:rPr>
        <w:t xml:space="preserve">och </w:t>
      </w:r>
      <w:r w:rsidRPr="00FC2616">
        <w:rPr>
          <w:rFonts w:eastAsia="Times New Roman"/>
          <w:lang w:eastAsia="sv-SE"/>
        </w:rPr>
        <w:t>reformerna ska börja genomföras 2025 och vara fullt genomförda 2026.</w:t>
      </w:r>
    </w:p>
    <w:p w:rsidRPr="008E4BD2" w:rsidR="00851BFC" w:rsidP="00AC11A6" w:rsidRDefault="00851BFC" w14:paraId="5A4F1CCB" w14:textId="77777777">
      <w:pPr>
        <w:pStyle w:val="Normalutanindragellerluft"/>
        <w:spacing w:before="240"/>
        <w:rPr>
          <w:rFonts w:eastAsia="Calibri"/>
          <w:b/>
          <w:bCs/>
        </w:rPr>
      </w:pPr>
      <w:r w:rsidRPr="008E4BD2">
        <w:rPr>
          <w:rFonts w:eastAsia="Calibri"/>
          <w:b/>
          <w:bCs/>
        </w:rPr>
        <w:lastRenderedPageBreak/>
        <w:t>Vänsterpartiets förslag:</w:t>
      </w:r>
    </w:p>
    <w:p w:rsidRPr="00FC2616" w:rsidR="003B350B" w:rsidP="00946064" w:rsidRDefault="00851BFC" w14:paraId="751A3054" w14:textId="354E00E8">
      <w:pPr>
        <w:pStyle w:val="ListaPunkt"/>
        <w:ind w:left="340" w:hanging="340"/>
        <w:rPr>
          <w:rFonts w:eastAsia="Times New Roman"/>
          <w:lang w:eastAsia="sv-SE"/>
        </w:rPr>
      </w:pPr>
      <w:r w:rsidRPr="00FC2616">
        <w:rPr>
          <w:rFonts w:eastAsia="Calibri"/>
        </w:rPr>
        <w:t>Tillskjut omkring ytterligare 1</w:t>
      </w:r>
      <w:r w:rsidR="008A4E34">
        <w:rPr>
          <w:rFonts w:eastAsia="Calibri"/>
        </w:rPr>
        <w:t> </w:t>
      </w:r>
      <w:r w:rsidRPr="00FC2616">
        <w:rPr>
          <w:rFonts w:eastAsia="Calibri"/>
        </w:rPr>
        <w:t>miljard kronor till gymnasieskolan från 2025.</w:t>
      </w:r>
    </w:p>
    <w:p w:rsidRPr="00FC2616" w:rsidR="00851BFC" w:rsidP="00946064" w:rsidRDefault="00851BFC" w14:paraId="035A88B5" w14:textId="5B0AB3EE">
      <w:pPr>
        <w:pStyle w:val="ListaPunkt"/>
        <w:ind w:left="340" w:hanging="340"/>
        <w:rPr>
          <w:rFonts w:eastAsia="Times New Roman"/>
          <w:lang w:eastAsia="sv-SE"/>
        </w:rPr>
      </w:pPr>
      <w:r w:rsidRPr="00FC2616">
        <w:rPr>
          <w:rFonts w:eastAsia="Calibri"/>
        </w:rPr>
        <w:t>Tillsätt en statlig utredning för att ta fram en ny kompensatorisk resurstilldelnings</w:t>
      </w:r>
      <w:r w:rsidR="00BD6874">
        <w:rPr>
          <w:rFonts w:eastAsia="Calibri"/>
        </w:rPr>
        <w:softHyphen/>
      </w:r>
      <w:r w:rsidRPr="00FC2616">
        <w:rPr>
          <w:rFonts w:eastAsia="Calibri"/>
        </w:rPr>
        <w:t xml:space="preserve">modell för gymnasieskolan enligt samma principer som vi föreslår för grundskolan, men utifrån gymnasieskolans särskilda förutsättningar. </w:t>
      </w:r>
    </w:p>
    <w:p w:rsidRPr="00FC2616" w:rsidR="00851BFC" w:rsidP="00A32D63" w:rsidRDefault="00851BFC" w14:paraId="105A31D5" w14:textId="306ADEA0">
      <w:pPr>
        <w:pStyle w:val="Rubrik2numrerat"/>
        <w:rPr>
          <w:rFonts w:eastAsia="Calibri"/>
        </w:rPr>
      </w:pPr>
      <w:bookmarkStart w:name="_Toc111201335" w:id="148"/>
      <w:bookmarkStart w:name="_Toc111542862" w:id="149"/>
      <w:bookmarkStart w:name="_Toc115271215" w:id="150"/>
      <w:bookmarkStart w:name="_Toc149814571" w:id="151"/>
      <w:r w:rsidRPr="00FC2616">
        <w:rPr>
          <w:rFonts w:eastAsia="Calibri"/>
        </w:rPr>
        <w:t>Främja ökat deltagande i fritidshemmen</w:t>
      </w:r>
      <w:bookmarkEnd w:id="148"/>
      <w:bookmarkEnd w:id="149"/>
      <w:bookmarkEnd w:id="150"/>
      <w:bookmarkEnd w:id="151"/>
    </w:p>
    <w:p w:rsidRPr="00FC2616" w:rsidR="00851BFC" w:rsidP="00A32D63" w:rsidRDefault="00851BFC" w14:paraId="6F3683FB" w14:textId="77777777">
      <w:pPr>
        <w:pStyle w:val="Normalutanindragellerluft"/>
        <w:rPr>
          <w:rFonts w:eastAsia="Calibri"/>
        </w:rPr>
      </w:pPr>
      <w:r w:rsidRPr="00FC2616">
        <w:rPr>
          <w:rFonts w:eastAsia="Calibri"/>
        </w:rPr>
        <w:t xml:space="preserve">Fritidshemmen är en del av en samlad skoldag och ska därför hålla lika hög kvalitet som skolan. Många barn börjar och slutar sin dag på fritidshemmet. Fritidshemmen har också en viktig roll vad gäller informellt lärande. För att främja jämlikhet och jämställdhet är det viktigt att uppmärksamma skillnader i nyttjandet av fritidshem. Det kan röra sig om föräldrarnas utbildning, födelseland, civilstånd och även bostadsort. </w:t>
      </w:r>
    </w:p>
    <w:p w:rsidRPr="00FC2616" w:rsidR="00851BFC" w:rsidP="00A32D63" w:rsidRDefault="00851BFC" w14:paraId="49261B9E" w14:textId="44A5A287">
      <w:pPr>
        <w:rPr>
          <w:rFonts w:eastAsia="Times New Roman"/>
          <w:lang w:eastAsia="sv-SE"/>
        </w:rPr>
      </w:pPr>
      <w:r w:rsidRPr="00FC2616">
        <w:rPr>
          <w:rFonts w:eastAsia="Calibri"/>
        </w:rPr>
        <w:t xml:space="preserve">Barn till högutbildade går betydligt oftare på fritidshem än barn vars föräldrar har kortare utbildning. Dessutom vet vi att barn i ekonomiskt utsatta hushåll deltar i mindre utsträckning i organiserade fritidsaktiviteter. Detsamma gäller </w:t>
      </w:r>
      <w:r w:rsidR="004B3910">
        <w:rPr>
          <w:rFonts w:eastAsia="Calibri"/>
        </w:rPr>
        <w:t xml:space="preserve">för </w:t>
      </w:r>
      <w:r w:rsidRPr="00FC2616">
        <w:rPr>
          <w:rFonts w:eastAsia="Calibri"/>
        </w:rPr>
        <w:t>barn med ensam</w:t>
      </w:r>
      <w:r w:rsidR="00BD6874">
        <w:rPr>
          <w:rFonts w:eastAsia="Calibri"/>
        </w:rPr>
        <w:softHyphen/>
      </w:r>
      <w:r w:rsidRPr="00FC2616">
        <w:rPr>
          <w:rFonts w:eastAsia="Calibri"/>
        </w:rPr>
        <w:t>stående föräldrar, varav de flesta är kvinnor, barn i arbetarhushåll och barn vars föräldrar är födda utomlands. För dessa barn är rätten till bra fritidshem än viktigare. För att fler barn ska kunna ta del av fritidshemmens viktiga verksamhet föreslår Vänsterpartiet att ett fribelopp införs för fritidshemsavgiften så</w:t>
      </w:r>
      <w:r w:rsidRPr="00FC2616">
        <w:rPr>
          <w:rFonts w:eastAsia="Times New Roman"/>
          <w:lang w:eastAsia="sv-SE"/>
        </w:rPr>
        <w:t xml:space="preserve"> att de med låga inkomster betalar en lägre avgift än i</w:t>
      </w:r>
      <w:r w:rsidRPr="00FC2616" w:rsidR="006E1956">
        <w:rPr>
          <w:rFonts w:eastAsia="Times New Roman"/>
          <w:lang w:eastAsia="sv-SE"/>
        </w:rPr>
        <w:t xml:space="preserve"> </w:t>
      </w:r>
      <w:r w:rsidRPr="00FC2616">
        <w:rPr>
          <w:rFonts w:eastAsia="Times New Roman"/>
          <w:lang w:eastAsia="sv-SE"/>
        </w:rPr>
        <w:t xml:space="preserve">dag. </w:t>
      </w:r>
    </w:p>
    <w:p w:rsidRPr="00FC2616" w:rsidR="00851BFC" w:rsidP="00A32D63" w:rsidRDefault="00851BFC" w14:paraId="18565E4F" w14:textId="04BFD455">
      <w:pPr>
        <w:rPr>
          <w:rFonts w:eastAsia="Times New Roman"/>
          <w:lang w:eastAsia="sv-SE"/>
        </w:rPr>
      </w:pPr>
      <w:r w:rsidRPr="00FC2616">
        <w:rPr>
          <w:rFonts w:eastAsia="Times New Roman"/>
          <w:lang w:eastAsia="sv-SE"/>
        </w:rPr>
        <w:t>Förslaget innebär att det införs ett fribelopp om 20 000 kronor per månad och att den nuvarande gränsen för när maxtaxan börjar gälla höjs med 20 000 kronor per månad. Fribeloppet gör att nivån på maxtaxan inte påverkas.</w:t>
      </w:r>
    </w:p>
    <w:p w:rsidRPr="00FC2616" w:rsidR="00851BFC" w:rsidP="00A32D63" w:rsidRDefault="00851BFC" w14:paraId="1CA6325F" w14:textId="15E15106">
      <w:pPr>
        <w:rPr>
          <w:rFonts w:eastAsia="Times New Roman"/>
          <w:lang w:eastAsia="sv-SE"/>
        </w:rPr>
      </w:pPr>
      <w:r w:rsidRPr="00FC2616">
        <w:rPr>
          <w:rFonts w:eastAsia="Times New Roman"/>
          <w:lang w:eastAsia="sv-SE"/>
        </w:rPr>
        <w:t>Förslaget kommer att innebära att hushåll med inkomster upp till 20 000 per månad inte betalar någon avgift alls. Hushåll med inkomster mellan 20 000 och 72 400 kronor får sänkt avgift och hushåll med inkomster över 72 400 kronor per månad får samma avgift som i</w:t>
      </w:r>
      <w:r w:rsidRPr="00FC2616" w:rsidR="006E1956">
        <w:rPr>
          <w:rFonts w:eastAsia="Times New Roman"/>
          <w:lang w:eastAsia="sv-SE"/>
        </w:rPr>
        <w:t xml:space="preserve"> </w:t>
      </w:r>
      <w:r w:rsidRPr="00FC2616">
        <w:rPr>
          <w:rFonts w:eastAsia="Times New Roman"/>
          <w:lang w:eastAsia="sv-SE"/>
        </w:rPr>
        <w:t xml:space="preserve">dag. </w:t>
      </w:r>
    </w:p>
    <w:p w:rsidRPr="003430A0" w:rsidR="00851BFC" w:rsidP="003430A0" w:rsidRDefault="00851BFC" w14:paraId="73416C0E" w14:textId="021F4F38">
      <w:pPr>
        <w:pStyle w:val="Tabellrubrik"/>
      </w:pPr>
      <w:r w:rsidRPr="003430A0">
        <w:t xml:space="preserve">Tabell </w:t>
      </w:r>
      <w:r w:rsidRPr="003430A0" w:rsidR="0008121C">
        <w:t>5</w:t>
      </w:r>
      <w:r w:rsidRPr="003430A0">
        <w:t xml:space="preserve"> Skillnad </w:t>
      </w:r>
      <w:r w:rsidRPr="003430A0" w:rsidR="002E4BBB">
        <w:t xml:space="preserve">i </w:t>
      </w:r>
      <w:r w:rsidRPr="003430A0">
        <w:t>fritidshemsavgift per månad i kr</w:t>
      </w:r>
      <w:r w:rsidRPr="003430A0" w:rsidR="002E4BBB">
        <w:t>onor</w:t>
      </w:r>
    </w:p>
    <w:tbl>
      <w:tblPr>
        <w:tblW w:w="8505" w:type="dxa"/>
        <w:tblLayout w:type="fixed"/>
        <w:tblCellMar>
          <w:left w:w="28" w:type="dxa"/>
          <w:right w:w="28" w:type="dxa"/>
        </w:tblCellMar>
        <w:tblLook w:val="04A0" w:firstRow="1" w:lastRow="0" w:firstColumn="1" w:lastColumn="0" w:noHBand="0" w:noVBand="1"/>
      </w:tblPr>
      <w:tblGrid>
        <w:gridCol w:w="2959"/>
        <w:gridCol w:w="1848"/>
        <w:gridCol w:w="1849"/>
        <w:gridCol w:w="1849"/>
      </w:tblGrid>
      <w:tr w:rsidRPr="00690D07" w:rsidR="00851BFC" w:rsidTr="00AC11A6" w14:paraId="75C9675B" w14:textId="77777777">
        <w:trPr>
          <w:trHeight w:val="300"/>
        </w:trPr>
        <w:tc>
          <w:tcPr>
            <w:tcW w:w="2959" w:type="dxa"/>
            <w:tcBorders>
              <w:top w:val="single" w:color="auto" w:sz="4" w:space="0"/>
              <w:left w:val="nil"/>
              <w:bottom w:val="single" w:color="auto" w:sz="4" w:space="0"/>
              <w:right w:val="nil"/>
            </w:tcBorders>
            <w:shd w:val="clear" w:color="auto" w:fill="auto"/>
            <w:noWrap/>
            <w:vAlign w:val="bottom"/>
            <w:hideMark/>
          </w:tcPr>
          <w:p w:rsidRPr="00690D07" w:rsidR="00851BFC" w:rsidP="00690D07" w:rsidRDefault="00851BFC" w14:paraId="2FDB3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themeColor="text1"/>
                <w:sz w:val="20"/>
                <w:szCs w:val="20"/>
                <w:lang w:eastAsia="sv-SE"/>
              </w:rPr>
            </w:pPr>
            <w:r w:rsidRPr="00690D07">
              <w:rPr>
                <w:rFonts w:ascii="Times New Roman" w:hAnsi="Times New Roman" w:eastAsia="Times New Roman" w:cs="Times New Roman"/>
                <w:b/>
                <w:bCs/>
                <w:kern w:val="0"/>
                <w:sz w:val="20"/>
                <w:szCs w:val="20"/>
                <w:lang w:eastAsia="sv-SE"/>
                <w14:numSpacing w14:val="default"/>
              </w:rPr>
              <w:t>Hushållsinkomst</w:t>
            </w:r>
            <w:r w:rsidRPr="000D0387">
              <w:rPr>
                <w:rFonts w:ascii="Times New Roman" w:hAnsi="Times New Roman" w:eastAsia="Times New Roman" w:cs="Times New Roman"/>
                <w:kern w:val="0"/>
                <w:sz w:val="20"/>
                <w:szCs w:val="20"/>
                <w:vertAlign w:val="superscript"/>
                <w:lang w:eastAsia="sv-SE"/>
                <w14:numSpacing w14:val="default"/>
              </w:rPr>
              <w:footnoteReference w:id="92"/>
            </w:r>
          </w:p>
        </w:tc>
        <w:tc>
          <w:tcPr>
            <w:tcW w:w="1848" w:type="dxa"/>
            <w:tcBorders>
              <w:top w:val="single" w:color="auto" w:sz="4" w:space="0"/>
              <w:left w:val="nil"/>
              <w:bottom w:val="single" w:color="auto" w:sz="4" w:space="0"/>
              <w:right w:val="nil"/>
            </w:tcBorders>
            <w:shd w:val="clear" w:color="auto" w:fill="auto"/>
            <w:noWrap/>
            <w:vAlign w:val="bottom"/>
            <w:hideMark/>
          </w:tcPr>
          <w:p w:rsidRPr="00690D07" w:rsidR="00851BFC" w:rsidP="00690D07" w:rsidRDefault="00851BFC" w14:paraId="07F45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themeColor="text1"/>
                <w:sz w:val="20"/>
                <w:szCs w:val="20"/>
                <w:lang w:eastAsia="sv-SE"/>
              </w:rPr>
            </w:pPr>
            <w:r w:rsidRPr="00690D07">
              <w:rPr>
                <w:rFonts w:ascii="Times New Roman" w:hAnsi="Times New Roman" w:eastAsia="Times New Roman" w:cs="Times New Roman"/>
                <w:b/>
                <w:bCs/>
                <w:kern w:val="0"/>
                <w:sz w:val="20"/>
                <w:szCs w:val="20"/>
                <w:lang w:eastAsia="sv-SE"/>
                <w14:numSpacing w14:val="default"/>
              </w:rPr>
              <w:t>1 barn</w:t>
            </w:r>
          </w:p>
        </w:tc>
        <w:tc>
          <w:tcPr>
            <w:tcW w:w="1849" w:type="dxa"/>
            <w:tcBorders>
              <w:top w:val="single" w:color="auto" w:sz="4" w:space="0"/>
              <w:left w:val="nil"/>
              <w:bottom w:val="single" w:color="auto" w:sz="4" w:space="0"/>
              <w:right w:val="nil"/>
            </w:tcBorders>
            <w:shd w:val="clear" w:color="auto" w:fill="auto"/>
            <w:noWrap/>
            <w:vAlign w:val="bottom"/>
            <w:hideMark/>
          </w:tcPr>
          <w:p w:rsidRPr="00690D07" w:rsidR="00851BFC" w:rsidP="00690D07" w:rsidRDefault="00851BFC" w14:paraId="4492C3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themeColor="text1"/>
                <w:sz w:val="20"/>
                <w:szCs w:val="20"/>
                <w:lang w:eastAsia="sv-SE"/>
              </w:rPr>
            </w:pPr>
            <w:r w:rsidRPr="00690D07">
              <w:rPr>
                <w:rFonts w:ascii="Times New Roman" w:hAnsi="Times New Roman" w:eastAsia="Times New Roman" w:cs="Times New Roman"/>
                <w:b/>
                <w:bCs/>
                <w:kern w:val="0"/>
                <w:sz w:val="20"/>
                <w:szCs w:val="20"/>
                <w:lang w:eastAsia="sv-SE"/>
                <w14:numSpacing w14:val="default"/>
              </w:rPr>
              <w:t>2 barn</w:t>
            </w:r>
          </w:p>
        </w:tc>
        <w:tc>
          <w:tcPr>
            <w:tcW w:w="1849" w:type="dxa"/>
            <w:tcBorders>
              <w:top w:val="single" w:color="auto" w:sz="4" w:space="0"/>
              <w:left w:val="nil"/>
              <w:bottom w:val="single" w:color="auto" w:sz="4" w:space="0"/>
              <w:right w:val="nil"/>
            </w:tcBorders>
            <w:shd w:val="clear" w:color="auto" w:fill="auto"/>
            <w:noWrap/>
            <w:vAlign w:val="bottom"/>
            <w:hideMark/>
          </w:tcPr>
          <w:p w:rsidRPr="00690D07" w:rsidR="00851BFC" w:rsidP="00690D07" w:rsidRDefault="00851BFC" w14:paraId="4D55F5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themeColor="text1"/>
                <w:sz w:val="20"/>
                <w:szCs w:val="20"/>
                <w:lang w:eastAsia="sv-SE"/>
              </w:rPr>
            </w:pPr>
            <w:r w:rsidRPr="00690D07">
              <w:rPr>
                <w:rFonts w:ascii="Times New Roman" w:hAnsi="Times New Roman" w:eastAsia="Times New Roman" w:cs="Times New Roman"/>
                <w:b/>
                <w:bCs/>
                <w:kern w:val="0"/>
                <w:sz w:val="20"/>
                <w:szCs w:val="20"/>
                <w:lang w:eastAsia="sv-SE"/>
                <w14:numSpacing w14:val="default"/>
              </w:rPr>
              <w:t>3 barn</w:t>
            </w:r>
          </w:p>
        </w:tc>
      </w:tr>
      <w:tr w:rsidRPr="00690D07" w:rsidR="00851BFC" w:rsidTr="00AC11A6" w14:paraId="11B679F8" w14:textId="77777777">
        <w:trPr>
          <w:trHeight w:val="300"/>
        </w:trPr>
        <w:tc>
          <w:tcPr>
            <w:tcW w:w="2959" w:type="dxa"/>
            <w:tcBorders>
              <w:top w:val="single" w:color="auto" w:sz="4" w:space="0"/>
              <w:left w:val="nil"/>
              <w:bottom w:val="nil"/>
              <w:right w:val="nil"/>
            </w:tcBorders>
            <w:shd w:val="clear" w:color="auto" w:fill="auto"/>
            <w:noWrap/>
            <w:vAlign w:val="bottom"/>
            <w:hideMark/>
          </w:tcPr>
          <w:p w:rsidRPr="00690D07" w:rsidR="00851BFC" w:rsidP="00690D07" w:rsidRDefault="00851BFC" w14:paraId="4A8F06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19 000</w:t>
            </w:r>
          </w:p>
        </w:tc>
        <w:tc>
          <w:tcPr>
            <w:tcW w:w="1848" w:type="dxa"/>
            <w:tcBorders>
              <w:top w:val="single" w:color="auto" w:sz="4" w:space="0"/>
              <w:left w:val="nil"/>
              <w:bottom w:val="nil"/>
              <w:right w:val="nil"/>
            </w:tcBorders>
            <w:shd w:val="clear" w:color="auto" w:fill="auto"/>
            <w:noWrap/>
            <w:vAlign w:val="bottom"/>
            <w:hideMark/>
          </w:tcPr>
          <w:p w:rsidRPr="00690D07" w:rsidR="00851BFC" w:rsidP="00690D07" w:rsidRDefault="00851BFC" w14:paraId="6BF7FF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380</w:t>
            </w:r>
          </w:p>
        </w:tc>
        <w:tc>
          <w:tcPr>
            <w:tcW w:w="1849" w:type="dxa"/>
            <w:tcBorders>
              <w:top w:val="single" w:color="auto" w:sz="4" w:space="0"/>
              <w:left w:val="nil"/>
              <w:bottom w:val="nil"/>
              <w:right w:val="nil"/>
            </w:tcBorders>
            <w:shd w:val="clear" w:color="auto" w:fill="auto"/>
            <w:noWrap/>
            <w:vAlign w:val="bottom"/>
            <w:hideMark/>
          </w:tcPr>
          <w:p w:rsidRPr="00690D07" w:rsidR="00851BFC" w:rsidP="00690D07" w:rsidRDefault="00851BFC" w14:paraId="241311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570</w:t>
            </w:r>
          </w:p>
        </w:tc>
        <w:tc>
          <w:tcPr>
            <w:tcW w:w="1849" w:type="dxa"/>
            <w:tcBorders>
              <w:top w:val="single" w:color="auto" w:sz="4" w:space="0"/>
              <w:left w:val="nil"/>
              <w:bottom w:val="nil"/>
              <w:right w:val="nil"/>
            </w:tcBorders>
            <w:shd w:val="clear" w:color="auto" w:fill="auto"/>
            <w:noWrap/>
            <w:vAlign w:val="bottom"/>
            <w:hideMark/>
          </w:tcPr>
          <w:p w:rsidRPr="00690D07" w:rsidR="00851BFC" w:rsidP="00690D07" w:rsidRDefault="00851BFC" w14:paraId="0A9BA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760</w:t>
            </w:r>
          </w:p>
        </w:tc>
      </w:tr>
      <w:tr w:rsidRPr="00690D07" w:rsidR="00851BFC" w:rsidTr="00AC11A6" w14:paraId="3DCC680E" w14:textId="77777777">
        <w:trPr>
          <w:trHeight w:val="300"/>
        </w:trPr>
        <w:tc>
          <w:tcPr>
            <w:tcW w:w="2959" w:type="dxa"/>
            <w:tcBorders>
              <w:top w:val="nil"/>
              <w:left w:val="nil"/>
              <w:bottom w:val="nil"/>
              <w:right w:val="nil"/>
            </w:tcBorders>
            <w:shd w:val="clear" w:color="auto" w:fill="auto"/>
            <w:noWrap/>
            <w:vAlign w:val="bottom"/>
            <w:hideMark/>
          </w:tcPr>
          <w:p w:rsidRPr="00690D07" w:rsidR="00851BFC" w:rsidP="00690D07" w:rsidRDefault="00851BFC" w14:paraId="2071D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29 000</w:t>
            </w:r>
          </w:p>
        </w:tc>
        <w:tc>
          <w:tcPr>
            <w:tcW w:w="1848" w:type="dxa"/>
            <w:tcBorders>
              <w:top w:val="nil"/>
              <w:left w:val="nil"/>
              <w:bottom w:val="nil"/>
              <w:right w:val="nil"/>
            </w:tcBorders>
            <w:shd w:val="clear" w:color="auto" w:fill="auto"/>
            <w:noWrap/>
            <w:vAlign w:val="bottom"/>
            <w:hideMark/>
          </w:tcPr>
          <w:p w:rsidRPr="00690D07" w:rsidR="00851BFC" w:rsidP="00690D07" w:rsidRDefault="00851BFC" w14:paraId="4AC1B0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400</w:t>
            </w:r>
          </w:p>
        </w:tc>
        <w:tc>
          <w:tcPr>
            <w:tcW w:w="1849" w:type="dxa"/>
            <w:tcBorders>
              <w:top w:val="nil"/>
              <w:left w:val="nil"/>
              <w:bottom w:val="nil"/>
              <w:right w:val="nil"/>
            </w:tcBorders>
            <w:shd w:val="clear" w:color="auto" w:fill="auto"/>
            <w:noWrap/>
            <w:vAlign w:val="bottom"/>
            <w:hideMark/>
          </w:tcPr>
          <w:p w:rsidRPr="00690D07" w:rsidR="00851BFC" w:rsidP="00690D07" w:rsidRDefault="00851BFC" w14:paraId="038B34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600</w:t>
            </w:r>
          </w:p>
        </w:tc>
        <w:tc>
          <w:tcPr>
            <w:tcW w:w="1849" w:type="dxa"/>
            <w:tcBorders>
              <w:top w:val="nil"/>
              <w:left w:val="nil"/>
              <w:bottom w:val="nil"/>
              <w:right w:val="nil"/>
            </w:tcBorders>
            <w:shd w:val="clear" w:color="auto" w:fill="auto"/>
            <w:noWrap/>
            <w:vAlign w:val="bottom"/>
            <w:hideMark/>
          </w:tcPr>
          <w:p w:rsidRPr="00690D07" w:rsidR="00851BFC" w:rsidP="00690D07" w:rsidRDefault="00851BFC" w14:paraId="0E751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800</w:t>
            </w:r>
          </w:p>
        </w:tc>
      </w:tr>
      <w:tr w:rsidRPr="00690D07" w:rsidR="00851BFC" w:rsidTr="00AC11A6" w14:paraId="50A31C8E" w14:textId="77777777">
        <w:trPr>
          <w:trHeight w:val="300"/>
        </w:trPr>
        <w:tc>
          <w:tcPr>
            <w:tcW w:w="2959" w:type="dxa"/>
            <w:tcBorders>
              <w:top w:val="nil"/>
              <w:left w:val="nil"/>
              <w:bottom w:val="nil"/>
              <w:right w:val="nil"/>
            </w:tcBorders>
            <w:shd w:val="clear" w:color="auto" w:fill="auto"/>
            <w:noWrap/>
            <w:vAlign w:val="bottom"/>
            <w:hideMark/>
          </w:tcPr>
          <w:p w:rsidRPr="00690D07" w:rsidR="00851BFC" w:rsidP="00690D07" w:rsidRDefault="00851BFC" w14:paraId="65C0BA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39 000</w:t>
            </w:r>
          </w:p>
        </w:tc>
        <w:tc>
          <w:tcPr>
            <w:tcW w:w="1848" w:type="dxa"/>
            <w:tcBorders>
              <w:top w:val="nil"/>
              <w:left w:val="nil"/>
              <w:bottom w:val="nil"/>
              <w:right w:val="nil"/>
            </w:tcBorders>
            <w:shd w:val="clear" w:color="auto" w:fill="auto"/>
            <w:noWrap/>
            <w:vAlign w:val="bottom"/>
            <w:hideMark/>
          </w:tcPr>
          <w:p w:rsidRPr="00690D07" w:rsidR="00851BFC" w:rsidP="00690D07" w:rsidRDefault="00851BFC" w14:paraId="2DD2C7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400</w:t>
            </w:r>
          </w:p>
        </w:tc>
        <w:tc>
          <w:tcPr>
            <w:tcW w:w="1849" w:type="dxa"/>
            <w:tcBorders>
              <w:top w:val="nil"/>
              <w:left w:val="nil"/>
              <w:bottom w:val="nil"/>
              <w:right w:val="nil"/>
            </w:tcBorders>
            <w:shd w:val="clear" w:color="auto" w:fill="auto"/>
            <w:noWrap/>
            <w:vAlign w:val="bottom"/>
            <w:hideMark/>
          </w:tcPr>
          <w:p w:rsidRPr="00690D07" w:rsidR="00851BFC" w:rsidP="00690D07" w:rsidRDefault="00851BFC" w14:paraId="0A41B3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600</w:t>
            </w:r>
          </w:p>
        </w:tc>
        <w:tc>
          <w:tcPr>
            <w:tcW w:w="1849" w:type="dxa"/>
            <w:tcBorders>
              <w:top w:val="nil"/>
              <w:left w:val="nil"/>
              <w:bottom w:val="nil"/>
              <w:right w:val="nil"/>
            </w:tcBorders>
            <w:shd w:val="clear" w:color="auto" w:fill="auto"/>
            <w:noWrap/>
            <w:vAlign w:val="bottom"/>
            <w:hideMark/>
          </w:tcPr>
          <w:p w:rsidRPr="00690D07" w:rsidR="00851BFC" w:rsidP="00690D07" w:rsidRDefault="00851BFC" w14:paraId="159D5A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800</w:t>
            </w:r>
          </w:p>
        </w:tc>
      </w:tr>
      <w:tr w:rsidRPr="00690D07" w:rsidR="00851BFC" w:rsidTr="00AC11A6" w14:paraId="6F011EDF" w14:textId="77777777">
        <w:trPr>
          <w:trHeight w:val="300"/>
        </w:trPr>
        <w:tc>
          <w:tcPr>
            <w:tcW w:w="2959" w:type="dxa"/>
            <w:tcBorders>
              <w:top w:val="nil"/>
              <w:left w:val="nil"/>
              <w:bottom w:val="nil"/>
              <w:right w:val="nil"/>
            </w:tcBorders>
            <w:shd w:val="clear" w:color="auto" w:fill="auto"/>
            <w:noWrap/>
            <w:vAlign w:val="bottom"/>
            <w:hideMark/>
          </w:tcPr>
          <w:p w:rsidRPr="00690D07" w:rsidR="00851BFC" w:rsidP="00690D07" w:rsidRDefault="00851BFC" w14:paraId="1C8B51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49 000</w:t>
            </w:r>
          </w:p>
        </w:tc>
        <w:tc>
          <w:tcPr>
            <w:tcW w:w="1848" w:type="dxa"/>
            <w:tcBorders>
              <w:top w:val="nil"/>
              <w:left w:val="nil"/>
              <w:bottom w:val="nil"/>
              <w:right w:val="nil"/>
            </w:tcBorders>
            <w:shd w:val="clear" w:color="auto" w:fill="auto"/>
            <w:noWrap/>
            <w:vAlign w:val="bottom"/>
            <w:hideMark/>
          </w:tcPr>
          <w:p w:rsidRPr="00690D07" w:rsidR="00851BFC" w:rsidP="00690D07" w:rsidRDefault="00851BFC" w14:paraId="27BB99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400</w:t>
            </w:r>
          </w:p>
        </w:tc>
        <w:tc>
          <w:tcPr>
            <w:tcW w:w="1849" w:type="dxa"/>
            <w:tcBorders>
              <w:top w:val="nil"/>
              <w:left w:val="nil"/>
              <w:bottom w:val="nil"/>
              <w:right w:val="nil"/>
            </w:tcBorders>
            <w:shd w:val="clear" w:color="auto" w:fill="auto"/>
            <w:noWrap/>
            <w:vAlign w:val="bottom"/>
            <w:hideMark/>
          </w:tcPr>
          <w:p w:rsidRPr="00690D07" w:rsidR="00851BFC" w:rsidP="00690D07" w:rsidRDefault="00851BFC" w14:paraId="62FE52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600</w:t>
            </w:r>
          </w:p>
        </w:tc>
        <w:tc>
          <w:tcPr>
            <w:tcW w:w="1849" w:type="dxa"/>
            <w:tcBorders>
              <w:top w:val="nil"/>
              <w:left w:val="nil"/>
              <w:bottom w:val="nil"/>
              <w:right w:val="nil"/>
            </w:tcBorders>
            <w:shd w:val="clear" w:color="auto" w:fill="auto"/>
            <w:noWrap/>
            <w:vAlign w:val="bottom"/>
            <w:hideMark/>
          </w:tcPr>
          <w:p w:rsidRPr="00690D07" w:rsidR="00851BFC" w:rsidP="00690D07" w:rsidRDefault="00851BFC" w14:paraId="51BA3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800</w:t>
            </w:r>
          </w:p>
        </w:tc>
      </w:tr>
      <w:tr w:rsidRPr="00690D07" w:rsidR="00851BFC" w:rsidTr="00AC11A6" w14:paraId="4DC90406" w14:textId="77777777">
        <w:trPr>
          <w:trHeight w:val="300"/>
        </w:trPr>
        <w:tc>
          <w:tcPr>
            <w:tcW w:w="2959" w:type="dxa"/>
            <w:tcBorders>
              <w:top w:val="nil"/>
              <w:left w:val="nil"/>
              <w:right w:val="nil"/>
            </w:tcBorders>
            <w:shd w:val="clear" w:color="auto" w:fill="auto"/>
            <w:noWrap/>
            <w:vAlign w:val="bottom"/>
            <w:hideMark/>
          </w:tcPr>
          <w:p w:rsidRPr="00690D07" w:rsidR="00851BFC" w:rsidP="00690D07" w:rsidRDefault="00851BFC" w14:paraId="190A4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59 000</w:t>
            </w:r>
          </w:p>
        </w:tc>
        <w:tc>
          <w:tcPr>
            <w:tcW w:w="1848" w:type="dxa"/>
            <w:tcBorders>
              <w:top w:val="nil"/>
              <w:left w:val="nil"/>
              <w:right w:val="nil"/>
            </w:tcBorders>
            <w:shd w:val="clear" w:color="auto" w:fill="auto"/>
            <w:noWrap/>
            <w:vAlign w:val="bottom"/>
            <w:hideMark/>
          </w:tcPr>
          <w:p w:rsidRPr="00690D07" w:rsidR="00851BFC" w:rsidP="00690D07" w:rsidRDefault="00851BFC" w14:paraId="3A2E30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268</w:t>
            </w:r>
          </w:p>
        </w:tc>
        <w:tc>
          <w:tcPr>
            <w:tcW w:w="1849" w:type="dxa"/>
            <w:tcBorders>
              <w:top w:val="nil"/>
              <w:left w:val="nil"/>
              <w:right w:val="nil"/>
            </w:tcBorders>
            <w:shd w:val="clear" w:color="auto" w:fill="auto"/>
            <w:noWrap/>
            <w:vAlign w:val="bottom"/>
            <w:hideMark/>
          </w:tcPr>
          <w:p w:rsidRPr="00690D07" w:rsidR="00851BFC" w:rsidP="00690D07" w:rsidRDefault="00851BFC" w14:paraId="18F70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402</w:t>
            </w:r>
          </w:p>
        </w:tc>
        <w:tc>
          <w:tcPr>
            <w:tcW w:w="1849" w:type="dxa"/>
            <w:tcBorders>
              <w:top w:val="nil"/>
              <w:left w:val="nil"/>
              <w:right w:val="nil"/>
            </w:tcBorders>
            <w:shd w:val="clear" w:color="auto" w:fill="auto"/>
            <w:noWrap/>
            <w:vAlign w:val="bottom"/>
            <w:hideMark/>
          </w:tcPr>
          <w:p w:rsidRPr="00690D07" w:rsidR="00851BFC" w:rsidP="00690D07" w:rsidRDefault="00851BFC" w14:paraId="584AEF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536</w:t>
            </w:r>
          </w:p>
        </w:tc>
      </w:tr>
      <w:tr w:rsidRPr="00690D07" w:rsidR="00851BFC" w:rsidTr="00AC11A6" w14:paraId="7FCC4D28" w14:textId="77777777">
        <w:trPr>
          <w:trHeight w:val="300"/>
        </w:trPr>
        <w:tc>
          <w:tcPr>
            <w:tcW w:w="2959" w:type="dxa"/>
            <w:tcBorders>
              <w:top w:val="nil"/>
              <w:left w:val="nil"/>
              <w:right w:val="nil"/>
            </w:tcBorders>
            <w:shd w:val="clear" w:color="auto" w:fill="auto"/>
            <w:noWrap/>
            <w:vAlign w:val="bottom"/>
            <w:hideMark/>
          </w:tcPr>
          <w:p w:rsidRPr="00690D07" w:rsidR="00851BFC" w:rsidP="00690D07" w:rsidRDefault="00851BFC" w14:paraId="33AC4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69 000</w:t>
            </w:r>
          </w:p>
        </w:tc>
        <w:tc>
          <w:tcPr>
            <w:tcW w:w="1848" w:type="dxa"/>
            <w:tcBorders>
              <w:top w:val="nil"/>
              <w:left w:val="nil"/>
              <w:right w:val="nil"/>
            </w:tcBorders>
            <w:shd w:val="clear" w:color="auto" w:fill="auto"/>
            <w:noWrap/>
            <w:vAlign w:val="bottom"/>
            <w:hideMark/>
          </w:tcPr>
          <w:p w:rsidRPr="00690D07" w:rsidR="00851BFC" w:rsidP="00690D07" w:rsidRDefault="00851BFC" w14:paraId="731D5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68</w:t>
            </w:r>
          </w:p>
        </w:tc>
        <w:tc>
          <w:tcPr>
            <w:tcW w:w="1849" w:type="dxa"/>
            <w:tcBorders>
              <w:top w:val="nil"/>
              <w:left w:val="nil"/>
              <w:right w:val="nil"/>
            </w:tcBorders>
            <w:shd w:val="clear" w:color="auto" w:fill="auto"/>
            <w:noWrap/>
            <w:vAlign w:val="bottom"/>
            <w:hideMark/>
          </w:tcPr>
          <w:p w:rsidRPr="00690D07" w:rsidR="00851BFC" w:rsidP="00690D07" w:rsidRDefault="00851BFC" w14:paraId="4762A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102</w:t>
            </w:r>
          </w:p>
        </w:tc>
        <w:tc>
          <w:tcPr>
            <w:tcW w:w="1849" w:type="dxa"/>
            <w:tcBorders>
              <w:top w:val="nil"/>
              <w:left w:val="nil"/>
              <w:right w:val="nil"/>
            </w:tcBorders>
            <w:shd w:val="clear" w:color="auto" w:fill="auto"/>
            <w:noWrap/>
            <w:vAlign w:val="bottom"/>
            <w:hideMark/>
          </w:tcPr>
          <w:p w:rsidRPr="00690D07" w:rsidR="00851BFC" w:rsidP="00690D07" w:rsidRDefault="00851BFC" w14:paraId="2F3ADA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136</w:t>
            </w:r>
          </w:p>
        </w:tc>
      </w:tr>
      <w:tr w:rsidRPr="00690D07" w:rsidR="00851BFC" w:rsidTr="00AC11A6" w14:paraId="405CD960" w14:textId="77777777">
        <w:trPr>
          <w:trHeight w:val="300"/>
        </w:trPr>
        <w:tc>
          <w:tcPr>
            <w:tcW w:w="2959" w:type="dxa"/>
            <w:tcBorders>
              <w:left w:val="nil"/>
              <w:bottom w:val="single" w:color="auto" w:sz="4" w:space="0"/>
              <w:right w:val="nil"/>
            </w:tcBorders>
            <w:shd w:val="clear" w:color="auto" w:fill="auto"/>
            <w:noWrap/>
            <w:vAlign w:val="bottom"/>
            <w:hideMark/>
          </w:tcPr>
          <w:p w:rsidRPr="00690D07" w:rsidR="00851BFC" w:rsidP="00877A2B" w:rsidRDefault="00851BFC" w14:paraId="5BB90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79 000</w:t>
            </w:r>
          </w:p>
        </w:tc>
        <w:tc>
          <w:tcPr>
            <w:tcW w:w="1848" w:type="dxa"/>
            <w:tcBorders>
              <w:left w:val="nil"/>
              <w:bottom w:val="single" w:color="auto" w:sz="4" w:space="0"/>
              <w:right w:val="nil"/>
            </w:tcBorders>
            <w:shd w:val="clear" w:color="auto" w:fill="auto"/>
            <w:noWrap/>
            <w:vAlign w:val="bottom"/>
            <w:hideMark/>
          </w:tcPr>
          <w:p w:rsidRPr="00690D07" w:rsidR="00851BFC" w:rsidP="00690D07" w:rsidRDefault="00851BFC" w14:paraId="63E7A3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0</w:t>
            </w:r>
          </w:p>
        </w:tc>
        <w:tc>
          <w:tcPr>
            <w:tcW w:w="1849" w:type="dxa"/>
            <w:tcBorders>
              <w:left w:val="nil"/>
              <w:bottom w:val="single" w:color="auto" w:sz="4" w:space="0"/>
              <w:right w:val="nil"/>
            </w:tcBorders>
            <w:shd w:val="clear" w:color="auto" w:fill="auto"/>
            <w:noWrap/>
            <w:vAlign w:val="bottom"/>
            <w:hideMark/>
          </w:tcPr>
          <w:p w:rsidRPr="00690D07" w:rsidR="00851BFC" w:rsidP="00690D07" w:rsidRDefault="00851BFC" w14:paraId="48713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0</w:t>
            </w:r>
          </w:p>
        </w:tc>
        <w:tc>
          <w:tcPr>
            <w:tcW w:w="1849" w:type="dxa"/>
            <w:tcBorders>
              <w:left w:val="nil"/>
              <w:bottom w:val="single" w:color="auto" w:sz="4" w:space="0"/>
              <w:right w:val="nil"/>
            </w:tcBorders>
            <w:shd w:val="clear" w:color="auto" w:fill="auto"/>
            <w:noWrap/>
            <w:vAlign w:val="bottom"/>
            <w:hideMark/>
          </w:tcPr>
          <w:p w:rsidRPr="00690D07" w:rsidR="00851BFC" w:rsidP="00690D07" w:rsidRDefault="00851BFC" w14:paraId="3AA3FE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themeColor="text1"/>
                <w:sz w:val="20"/>
                <w:szCs w:val="20"/>
                <w:lang w:eastAsia="sv-SE"/>
              </w:rPr>
            </w:pPr>
            <w:r w:rsidRPr="00690D07">
              <w:rPr>
                <w:rFonts w:ascii="Times New Roman" w:hAnsi="Times New Roman" w:eastAsia="Times New Roman" w:cs="Times New Roman"/>
                <w:kern w:val="0"/>
                <w:sz w:val="20"/>
                <w:szCs w:val="20"/>
                <w:lang w:eastAsia="sv-SE"/>
                <w14:numSpacing w14:val="default"/>
              </w:rPr>
              <w:t>0</w:t>
            </w:r>
          </w:p>
        </w:tc>
      </w:tr>
    </w:tbl>
    <w:p w:rsidRPr="00FC2616" w:rsidR="00851BFC" w:rsidP="00877A2B" w:rsidRDefault="00851BFC" w14:paraId="7CDC5675" w14:textId="77777777">
      <w:pPr>
        <w:pStyle w:val="Normalutanindragellerluft"/>
        <w:spacing w:before="150"/>
        <w:rPr>
          <w:rFonts w:eastAsia="Times New Roman"/>
          <w:lang w:eastAsia="sv-SE"/>
        </w:rPr>
      </w:pPr>
      <w:r w:rsidRPr="00FC2616">
        <w:rPr>
          <w:rFonts w:eastAsia="Times New Roman"/>
          <w:lang w:eastAsia="sv-SE"/>
        </w:rPr>
        <w:t>Till följd av förslaget får omkring 260 000 hushåll sänkt fritidshemsavgift. Det kostar staten omkring 650 miljoner kronor per år.</w:t>
      </w:r>
      <w:r w:rsidRPr="00FC2616">
        <w:rPr>
          <w:rFonts w:eastAsia="Times New Roman"/>
          <w:vertAlign w:val="superscript"/>
          <w:lang w:eastAsia="sv-SE"/>
        </w:rPr>
        <w:footnoteReference w:id="93"/>
      </w:r>
    </w:p>
    <w:p w:rsidRPr="00FC2616" w:rsidR="00DA3ED8" w:rsidP="006E1956" w:rsidRDefault="00851BFC" w14:paraId="0121390D" w14:textId="77777777">
      <w:pPr>
        <w:rPr>
          <w:rFonts w:eastAsia="Calibri"/>
        </w:rPr>
      </w:pPr>
      <w:r w:rsidRPr="00FC2616">
        <w:rPr>
          <w:rFonts w:eastAsia="Calibri"/>
        </w:rPr>
        <w:t xml:space="preserve">Precis som inom förskolan behövs personalförstärkningar och staten behöver gå in med mer resurser som fördelas efter behov. Det skulle förbättra möjligheterna att bedriva en meningsfull verksamhet med hög pedagogisk kvalitet. Vänsterpartiet vill se </w:t>
      </w:r>
      <w:r w:rsidRPr="00FC2616">
        <w:rPr>
          <w:rFonts w:eastAsia="Calibri"/>
        </w:rPr>
        <w:lastRenderedPageBreak/>
        <w:t>en särskild satsning på ökad personaltäthet där behoven är som störst. För det avsätter vi 250 miljoner kronor per år.</w:t>
      </w:r>
    </w:p>
    <w:p w:rsidRPr="00AC11A6" w:rsidR="00851BFC" w:rsidP="00AC11A6" w:rsidRDefault="00851BFC" w14:paraId="3938E103" w14:textId="271238FE">
      <w:pPr>
        <w:pStyle w:val="Normalutanindragellerluft"/>
        <w:spacing w:before="240"/>
        <w:rPr>
          <w:rFonts w:eastAsia="Calibri"/>
          <w:b/>
          <w:bCs/>
        </w:rPr>
      </w:pPr>
      <w:r w:rsidRPr="00AC11A6">
        <w:rPr>
          <w:rFonts w:eastAsia="Calibri"/>
          <w:b/>
          <w:bCs/>
        </w:rPr>
        <w:t>Vänsterpartiets förslag:</w:t>
      </w:r>
    </w:p>
    <w:p w:rsidRPr="00FC2616" w:rsidR="00851BFC" w:rsidP="00877A2B" w:rsidRDefault="00851BFC" w14:paraId="561CFA58" w14:textId="77777777">
      <w:pPr>
        <w:pStyle w:val="ListaPunkt"/>
        <w:ind w:left="340" w:hanging="340"/>
        <w:rPr>
          <w:rFonts w:eastAsia="Calibri"/>
        </w:rPr>
      </w:pPr>
      <w:bookmarkStart w:name="_Hlk111463593" w:id="152"/>
      <w:r w:rsidRPr="00FC2616">
        <w:rPr>
          <w:rFonts w:eastAsia="Calibri"/>
        </w:rPr>
        <w:t xml:space="preserve">Inför ett statligt finansierat fribelopp i fritidshemsavgiften. </w:t>
      </w:r>
    </w:p>
    <w:p w:rsidRPr="00FC2616" w:rsidR="00851BFC" w:rsidP="00877A2B" w:rsidRDefault="00851BFC" w14:paraId="5852057B" w14:textId="4A25DE5B">
      <w:pPr>
        <w:pStyle w:val="ListaPunkt"/>
        <w:ind w:left="340" w:hanging="340"/>
        <w:rPr>
          <w:rFonts w:eastAsia="Times New Roman"/>
          <w:lang w:eastAsia="sv-SE"/>
        </w:rPr>
      </w:pPr>
      <w:r w:rsidRPr="00FC2616">
        <w:rPr>
          <w:rFonts w:eastAsia="Calibri"/>
        </w:rPr>
        <w:t xml:space="preserve">En statligt finansierad satsning på ökad personaltäthet där behoven är som störst. </w:t>
      </w:r>
      <w:bookmarkEnd w:id="152"/>
    </w:p>
    <w:p w:rsidRPr="00FC2616" w:rsidR="00851BFC" w:rsidP="00A32D63" w:rsidRDefault="00851BFC" w14:paraId="676567A4" w14:textId="706472DA">
      <w:pPr>
        <w:pStyle w:val="Rubrik2numrerat"/>
        <w:rPr>
          <w:rFonts w:eastAsia="Times New Roman"/>
          <w:lang w:eastAsia="sv-SE"/>
        </w:rPr>
      </w:pPr>
      <w:bookmarkStart w:name="_Toc111201336" w:id="153"/>
      <w:bookmarkStart w:name="_Toc111542863" w:id="154"/>
      <w:bookmarkStart w:name="_Toc115271217" w:id="155"/>
      <w:bookmarkStart w:name="_Hlk111463857" w:id="156"/>
      <w:bookmarkStart w:name="_Toc149814572" w:id="157"/>
      <w:r w:rsidRPr="00FC2616">
        <w:rPr>
          <w:rFonts w:eastAsia="Times New Roman"/>
          <w:lang w:eastAsia="sv-SE"/>
        </w:rPr>
        <w:t>Minska studente</w:t>
      </w:r>
      <w:r w:rsidRPr="00FC2616" w:rsidR="00F055B4">
        <w:rPr>
          <w:rFonts w:eastAsia="Times New Roman"/>
          <w:lang w:eastAsia="sv-SE"/>
        </w:rPr>
        <w:t>rna</w:t>
      </w:r>
      <w:r w:rsidRPr="00FC2616">
        <w:rPr>
          <w:rFonts w:eastAsia="Times New Roman"/>
          <w:lang w:eastAsia="sv-SE"/>
        </w:rPr>
        <w:t>s ekonomiska risk vid högre utbildning</w:t>
      </w:r>
      <w:bookmarkEnd w:id="153"/>
      <w:bookmarkEnd w:id="154"/>
      <w:bookmarkEnd w:id="155"/>
      <w:bookmarkEnd w:id="157"/>
    </w:p>
    <w:bookmarkEnd w:id="156"/>
    <w:p w:rsidRPr="00FC2616" w:rsidR="00851BFC" w:rsidP="00A32D63" w:rsidRDefault="00851BFC" w14:paraId="3845E53B" w14:textId="77777777">
      <w:pPr>
        <w:pStyle w:val="Normalutanindragellerluft"/>
        <w:rPr>
          <w:rFonts w:eastAsia="Times New Roman"/>
          <w:lang w:eastAsia="sv-SE"/>
        </w:rPr>
      </w:pPr>
      <w:r w:rsidRPr="00FC2616">
        <w:rPr>
          <w:rFonts w:eastAsia="Times New Roman"/>
          <w:lang w:eastAsia="sv-SE"/>
        </w:rPr>
        <w:t xml:space="preserve">Vänsterpartiets syn på kunskap som en demokratisk rättighet innebär att vi ser en breddad rekrytering till högskolan som en viktig målsättning. Det ökar också den sociala rörligheten och gör det möjligt för fler att t.ex. vidareutbilda sig eller byta bana om så krävs. </w:t>
      </w:r>
    </w:p>
    <w:p w:rsidRPr="00FC2616" w:rsidR="00851BFC" w:rsidP="00A32D63" w:rsidRDefault="00851BFC" w14:paraId="4D503330" w14:textId="46E039A3">
      <w:pPr>
        <w:rPr>
          <w:rFonts w:eastAsia="Times New Roman"/>
          <w:lang w:eastAsia="sv-SE"/>
        </w:rPr>
      </w:pPr>
      <w:r w:rsidRPr="00FC2616">
        <w:rPr>
          <w:rFonts w:eastAsia="Times New Roman"/>
          <w:lang w:eastAsia="sv-SE"/>
        </w:rPr>
        <w:t xml:space="preserve">En av de viktigaste förutsättningarna för att göra kunskap och utbildning tillgänglig för fler människor är ett studiestödssystem som ger social och ekonomisk trygghet för studerande på allt från vuxenutbildning till högskola. Studiemedlen är en viktig orsak till att den sociala snedrekryteringen till högre utbildning har minskat. Samtidigt är personer från studieovana hem mindre benägna att ta lån och börja studera. Vänsterpartiet vill därför se över och ändra lånevillkoren för att överbygga de hinder </w:t>
      </w:r>
      <w:r w:rsidR="00AD3C28">
        <w:rPr>
          <w:rFonts w:eastAsia="Times New Roman"/>
          <w:lang w:eastAsia="sv-SE"/>
        </w:rPr>
        <w:t xml:space="preserve">som </w:t>
      </w:r>
      <w:r w:rsidRPr="00FC2616">
        <w:rPr>
          <w:rFonts w:eastAsia="Times New Roman"/>
          <w:lang w:eastAsia="sv-SE"/>
        </w:rPr>
        <w:t>de</w:t>
      </w:r>
      <w:r w:rsidRPr="00FC2616" w:rsidR="00320169">
        <w:rPr>
          <w:rFonts w:eastAsia="Times New Roman"/>
          <w:lang w:eastAsia="sv-SE"/>
        </w:rPr>
        <w:t>t</w:t>
      </w:r>
      <w:r w:rsidRPr="00FC2616">
        <w:rPr>
          <w:rFonts w:eastAsia="Times New Roman"/>
          <w:lang w:eastAsia="sv-SE"/>
        </w:rPr>
        <w:t xml:space="preserve"> kan innebära. Vi vill också återinföra studerandevillkoret i a-kassan, vilket beskrivs närmare i avsnitt </w:t>
      </w:r>
      <w:r w:rsidRPr="00FC2616" w:rsidR="002E676C">
        <w:rPr>
          <w:rFonts w:eastAsia="Times New Roman"/>
          <w:lang w:eastAsia="sv-SE"/>
        </w:rPr>
        <w:t>7.6</w:t>
      </w:r>
      <w:r w:rsidRPr="00FC2616">
        <w:rPr>
          <w:rFonts w:eastAsia="Times New Roman"/>
          <w:lang w:eastAsia="sv-SE"/>
        </w:rPr>
        <w:t xml:space="preserve">. </w:t>
      </w:r>
    </w:p>
    <w:p w:rsidRPr="00FC2616" w:rsidR="00851BFC" w:rsidP="00A32D63" w:rsidRDefault="00851BFC" w14:paraId="156674AE" w14:textId="41C0DFA3">
      <w:pPr>
        <w:rPr>
          <w:rFonts w:eastAsia="Times New Roman"/>
          <w:lang w:eastAsia="sv-SE"/>
        </w:rPr>
      </w:pPr>
      <w:r w:rsidRPr="00FC2616">
        <w:rPr>
          <w:rFonts w:eastAsia="Times New Roman"/>
          <w:lang w:eastAsia="sv-SE"/>
        </w:rPr>
        <w:t>Studiestödssystemet har ändrats flera gånger genom åren, vilket har medfört att den ekonomiska risken flyttats från staten till individen, i fler steg. I januari 2023 tas ytterligare ett steg i den riktningen då räntan på studielånen höjs, delvis för att finansiera nya och äldre kreditförluster på studielån. Vänsterpartiet är emot denna utveckling och rös</w:t>
      </w:r>
      <w:r w:rsidRPr="00FC2616" w:rsidR="00F055B4">
        <w:rPr>
          <w:rFonts w:eastAsia="Times New Roman"/>
          <w:lang w:eastAsia="sv-SE"/>
        </w:rPr>
        <w:t>t</w:t>
      </w:r>
      <w:r w:rsidRPr="00FC2616">
        <w:rPr>
          <w:rFonts w:eastAsia="Times New Roman"/>
          <w:lang w:eastAsia="sv-SE"/>
        </w:rPr>
        <w:t>ade emot den förändring som genomförs 2023. Vänsterpartiet vill att den modell som gäller för studielån tagna före 1989 ska gälla för alla studielån. Det innebär att den som under 2022 tjänar under 169</w:t>
      </w:r>
      <w:r w:rsidRPr="00FC2616" w:rsidR="00320169">
        <w:rPr>
          <w:rFonts w:eastAsia="Times New Roman"/>
          <w:lang w:eastAsia="sv-SE"/>
        </w:rPr>
        <w:t> </w:t>
      </w:r>
      <w:r w:rsidRPr="00FC2616">
        <w:rPr>
          <w:rFonts w:eastAsia="Times New Roman"/>
          <w:lang w:eastAsia="sv-SE"/>
        </w:rPr>
        <w:t>000 kronor (3,5</w:t>
      </w:r>
      <w:r w:rsidR="007A3686">
        <w:rPr>
          <w:rFonts w:eastAsia="Times New Roman"/>
          <w:lang w:eastAsia="sv-SE"/>
        </w:rPr>
        <w:t> </w:t>
      </w:r>
      <w:r w:rsidRPr="00FC2616">
        <w:rPr>
          <w:rFonts w:eastAsia="Times New Roman"/>
          <w:lang w:eastAsia="sv-SE"/>
        </w:rPr>
        <w:t>prisbasbelopp) per år inte behöver betala tillbaka på sitt studielån. För den som har barn under 10</w:t>
      </w:r>
      <w:r w:rsidR="007A3686">
        <w:rPr>
          <w:rFonts w:eastAsia="Times New Roman"/>
          <w:lang w:eastAsia="sv-SE"/>
        </w:rPr>
        <w:t> </w:t>
      </w:r>
      <w:r w:rsidRPr="00FC2616">
        <w:rPr>
          <w:rFonts w:eastAsia="Times New Roman"/>
          <w:lang w:eastAsia="sv-SE"/>
        </w:rPr>
        <w:t>år ligger gränsen för 2022 i</w:t>
      </w:r>
      <w:r w:rsidRPr="00FC2616" w:rsidR="00320169">
        <w:rPr>
          <w:rFonts w:eastAsia="Times New Roman"/>
          <w:lang w:eastAsia="sv-SE"/>
        </w:rPr>
        <w:t xml:space="preserve"> </w:t>
      </w:r>
      <w:r w:rsidRPr="00FC2616">
        <w:rPr>
          <w:rFonts w:eastAsia="Times New Roman"/>
          <w:lang w:eastAsia="sv-SE"/>
        </w:rPr>
        <w:t>stället på 217</w:t>
      </w:r>
      <w:r w:rsidRPr="00FC2616" w:rsidR="00320169">
        <w:rPr>
          <w:rFonts w:eastAsia="Times New Roman"/>
          <w:lang w:eastAsia="sv-SE"/>
        </w:rPr>
        <w:t> </w:t>
      </w:r>
      <w:r w:rsidRPr="00FC2616">
        <w:rPr>
          <w:rFonts w:eastAsia="Times New Roman"/>
          <w:lang w:eastAsia="sv-SE"/>
        </w:rPr>
        <w:t>300 kronor (4,5</w:t>
      </w:r>
      <w:r w:rsidR="007A3686">
        <w:rPr>
          <w:rFonts w:eastAsia="Times New Roman"/>
          <w:lang w:eastAsia="sv-SE"/>
        </w:rPr>
        <w:t> </w:t>
      </w:r>
      <w:r w:rsidRPr="00FC2616">
        <w:rPr>
          <w:rFonts w:eastAsia="Times New Roman"/>
          <w:lang w:eastAsia="sv-SE"/>
        </w:rPr>
        <w:t>prisbasbelopp) per år. Enligt reglerna från före 1989 skrivs skulderna av vid 65</w:t>
      </w:r>
      <w:r w:rsidR="007A3686">
        <w:rPr>
          <w:rFonts w:eastAsia="Times New Roman"/>
          <w:lang w:eastAsia="sv-SE"/>
        </w:rPr>
        <w:t> </w:t>
      </w:r>
      <w:r w:rsidRPr="00FC2616">
        <w:rPr>
          <w:rFonts w:eastAsia="Times New Roman"/>
          <w:lang w:eastAsia="sv-SE"/>
        </w:rPr>
        <w:t xml:space="preserve">års ålder, en sänkning med sju år jämfört med den nuvarande modellen. Statens kostnader för förslaget uppstår i de fall låntagarna inte kan betala tillbaka lånen. Över tid väntas därmed statens kostnader till följd av förslaget växa, men för kommande år uppskattas de uppgå till omkring 100 miljoner kronor. Vänsterpartiet anser vidare att en större del av studiemedlet bör utgöras av studiebidrag, och att andelen lån bör minska. På sikt bör målet vara ett renodlat studiebidrag utan lån. </w:t>
      </w:r>
    </w:p>
    <w:p w:rsidR="001A758E" w:rsidP="001A758E" w:rsidRDefault="00851BFC" w14:paraId="77231ECC" w14:textId="77777777">
      <w:pPr>
        <w:rPr>
          <w:rFonts w:eastAsia="Times New Roman"/>
          <w:lang w:eastAsia="sv-SE"/>
        </w:rPr>
      </w:pPr>
      <w:r w:rsidRPr="00FC2616">
        <w:rPr>
          <w:rFonts w:eastAsia="Times New Roman"/>
          <w:lang w:eastAsia="sv-SE"/>
        </w:rPr>
        <w:t>Studiestartsstöd är ett bidrag som vissa arbetslösa kan få under en kortare tid för att läsa in en</w:t>
      </w:r>
      <w:r w:rsidRPr="00FC2616" w:rsidR="00A32D63">
        <w:rPr>
          <w:rFonts w:eastAsia="Times New Roman"/>
          <w:lang w:eastAsia="sv-SE"/>
        </w:rPr>
        <w:t xml:space="preserve"> </w:t>
      </w:r>
      <w:r w:rsidRPr="00FC2616">
        <w:rPr>
          <w:rFonts w:eastAsia="Times New Roman"/>
          <w:lang w:eastAsia="sv-SE"/>
        </w:rPr>
        <w:t>gymnasieutbildning och öka chanserna till jobb. Vänsterpartiet är positiva till studiestartsstödet och föreslår därför en utökning av det för att ge fler möjlighet att ta del av det. Vi vill avsätta ytterligare 250 miljoner kronor till studiestartsstödet.</w:t>
      </w:r>
    </w:p>
    <w:p w:rsidRPr="00AC11A6" w:rsidR="00851BFC" w:rsidP="00AC11A6" w:rsidRDefault="00851BFC" w14:paraId="69B45BFD" w14:textId="19616DE6">
      <w:pPr>
        <w:pStyle w:val="Normalutanindragellerluft"/>
        <w:spacing w:before="240"/>
        <w:rPr>
          <w:rFonts w:eastAsia="Calibri"/>
          <w:b/>
          <w:bCs/>
        </w:rPr>
      </w:pPr>
      <w:r w:rsidRPr="00AC11A6">
        <w:rPr>
          <w:rFonts w:eastAsia="Calibri"/>
          <w:b/>
          <w:bCs/>
        </w:rPr>
        <w:t>Vänsterpartiets förslag:</w:t>
      </w:r>
    </w:p>
    <w:p w:rsidRPr="00FC2616" w:rsidR="00851BFC" w:rsidP="001A758E" w:rsidRDefault="00851BFC" w14:paraId="4739FB23" w14:textId="601AD4F3">
      <w:pPr>
        <w:pStyle w:val="ListaPunkt"/>
        <w:ind w:left="340" w:hanging="340"/>
        <w:rPr>
          <w:rFonts w:eastAsia="Times New Roman"/>
          <w:lang w:eastAsia="sv-SE"/>
        </w:rPr>
      </w:pPr>
      <w:bookmarkStart w:name="_Hlk111463630" w:id="158"/>
      <w:bookmarkStart w:name="_Hlk115775642" w:id="159"/>
      <w:r w:rsidRPr="00FC2616">
        <w:rPr>
          <w:rFonts w:eastAsia="Times New Roman"/>
          <w:lang w:eastAsia="sv-SE"/>
        </w:rPr>
        <w:t xml:space="preserve">De återbetalningsregler för studielån som gällde före 1989 ska gälla </w:t>
      </w:r>
      <w:r w:rsidR="001F0971">
        <w:rPr>
          <w:rFonts w:eastAsia="Times New Roman"/>
          <w:lang w:eastAsia="sv-SE"/>
        </w:rPr>
        <w:t xml:space="preserve">för </w:t>
      </w:r>
      <w:r w:rsidRPr="00FC2616">
        <w:rPr>
          <w:rFonts w:eastAsia="Times New Roman"/>
          <w:lang w:eastAsia="sv-SE"/>
        </w:rPr>
        <w:t xml:space="preserve">alla studielån. </w:t>
      </w:r>
    </w:p>
    <w:p w:rsidRPr="00FC2616" w:rsidR="00851BFC" w:rsidP="001A758E" w:rsidRDefault="00851BFC" w14:paraId="16643BB8" w14:textId="77777777">
      <w:pPr>
        <w:pStyle w:val="ListaPunkt"/>
        <w:ind w:left="340" w:hanging="340"/>
        <w:rPr>
          <w:rFonts w:eastAsia="Times New Roman"/>
          <w:lang w:eastAsia="sv-SE"/>
        </w:rPr>
      </w:pPr>
      <w:r w:rsidRPr="00FC2616">
        <w:rPr>
          <w:rFonts w:eastAsia="Times New Roman"/>
          <w:lang w:eastAsia="sv-SE"/>
        </w:rPr>
        <w:t>Förstärk studiestartsstödet.</w:t>
      </w:r>
    </w:p>
    <w:p w:rsidRPr="00FC2616" w:rsidR="00851BFC" w:rsidP="001A758E" w:rsidRDefault="00851BFC" w14:paraId="0CE136A5" w14:textId="3E990BA2">
      <w:pPr>
        <w:pStyle w:val="ListaPunkt"/>
        <w:ind w:left="340" w:hanging="340"/>
        <w:rPr>
          <w:rFonts w:eastAsia="Times New Roman"/>
          <w:lang w:eastAsia="sv-SE"/>
        </w:rPr>
      </w:pPr>
      <w:r w:rsidRPr="00FC2616">
        <w:rPr>
          <w:rFonts w:eastAsia="Times New Roman"/>
          <w:lang w:eastAsia="sv-SE"/>
        </w:rPr>
        <w:t>Återinför studerandevillkoret i a-kassan.</w:t>
      </w:r>
      <w:bookmarkEnd w:id="158"/>
    </w:p>
    <w:p w:rsidRPr="00FC2616" w:rsidR="00851BFC" w:rsidP="00A32D63" w:rsidRDefault="00851BFC" w14:paraId="36FA1156" w14:textId="266DBD3A">
      <w:pPr>
        <w:pStyle w:val="Rubrik2numrerat"/>
        <w:rPr>
          <w:rFonts w:eastAsia="Times New Roman"/>
          <w:lang w:eastAsia="sv-SE"/>
        </w:rPr>
      </w:pPr>
      <w:bookmarkStart w:name="_Toc111201338" w:id="160"/>
      <w:bookmarkStart w:name="_Toc111542865" w:id="161"/>
      <w:bookmarkStart w:name="_Toc115271218" w:id="162"/>
      <w:bookmarkStart w:name="_Hlk110946435" w:id="163"/>
      <w:bookmarkStart w:name="_Toc149814573" w:id="164"/>
      <w:bookmarkEnd w:id="159"/>
      <w:r w:rsidRPr="00FC2616">
        <w:rPr>
          <w:rFonts w:eastAsia="Times New Roman"/>
          <w:lang w:eastAsia="sv-SE"/>
        </w:rPr>
        <w:lastRenderedPageBreak/>
        <w:t xml:space="preserve">Öka satsningarna på högre utbildning </w:t>
      </w:r>
      <w:r w:rsidR="00467F96">
        <w:rPr>
          <w:rFonts w:eastAsia="Times New Roman"/>
          <w:lang w:eastAsia="sv-SE"/>
        </w:rPr>
        <w:t xml:space="preserve">vid </w:t>
      </w:r>
      <w:r w:rsidRPr="00FC2616">
        <w:rPr>
          <w:rFonts w:eastAsia="Times New Roman"/>
          <w:lang w:eastAsia="sv-SE"/>
        </w:rPr>
        <w:t>universitet och högskol</w:t>
      </w:r>
      <w:bookmarkEnd w:id="160"/>
      <w:bookmarkEnd w:id="161"/>
      <w:bookmarkEnd w:id="162"/>
      <w:r w:rsidR="00467F96">
        <w:rPr>
          <w:rFonts w:eastAsia="Times New Roman"/>
          <w:lang w:eastAsia="sv-SE"/>
        </w:rPr>
        <w:t>or</w:t>
      </w:r>
      <w:bookmarkEnd w:id="164"/>
    </w:p>
    <w:bookmarkEnd w:id="163"/>
    <w:p w:rsidRPr="00FC2616" w:rsidR="00851BFC" w:rsidP="00A32D63" w:rsidRDefault="00851BFC" w14:paraId="3277EF54" w14:textId="50C88C85">
      <w:pPr>
        <w:pStyle w:val="Normalutanindragellerluft"/>
        <w:rPr>
          <w:rFonts w:eastAsia="Times New Roman"/>
          <w:lang w:eastAsia="sv-SE"/>
        </w:rPr>
      </w:pPr>
      <w:r w:rsidRPr="00FC2616">
        <w:rPr>
          <w:rFonts w:eastAsia="Times New Roman"/>
          <w:lang w:eastAsia="sv-SE"/>
        </w:rPr>
        <w:t>Nuvarande resursfördelningssystem för högre utbildning har snart funnits i 30</w:t>
      </w:r>
      <w:r w:rsidR="00467F96">
        <w:rPr>
          <w:rFonts w:eastAsia="Times New Roman"/>
          <w:lang w:eastAsia="sv-SE"/>
        </w:rPr>
        <w:t> </w:t>
      </w:r>
      <w:r w:rsidRPr="00FC2616">
        <w:rPr>
          <w:rFonts w:eastAsia="Times New Roman"/>
          <w:lang w:eastAsia="sv-SE"/>
        </w:rPr>
        <w:t xml:space="preserve">år. I dag får utbildningarna en finansiering som styrs av en prislapp där olika utbildningar får olika anslag. </w:t>
      </w:r>
    </w:p>
    <w:p w:rsidRPr="00FC2616" w:rsidR="00851BFC" w:rsidP="00A32D63" w:rsidRDefault="00851BFC" w14:paraId="33B8CCB6" w14:textId="46EC0D3F">
      <w:pPr>
        <w:rPr>
          <w:rFonts w:eastAsia="Times New Roman"/>
          <w:lang w:eastAsia="sv-SE"/>
        </w:rPr>
      </w:pPr>
      <w:r w:rsidRPr="00FC2616">
        <w:rPr>
          <w:rFonts w:eastAsia="Times New Roman"/>
          <w:lang w:eastAsia="sv-SE"/>
        </w:rPr>
        <w:t xml:space="preserve">Sedan prislappssystemet infördes 1993 har visserligen vissa justeringar </w:t>
      </w:r>
      <w:r w:rsidR="00467F96">
        <w:rPr>
          <w:rFonts w:eastAsia="Times New Roman"/>
          <w:lang w:eastAsia="sv-SE"/>
        </w:rPr>
        <w:t>av</w:t>
      </w:r>
      <w:r w:rsidRPr="00FC2616">
        <w:rPr>
          <w:rFonts w:eastAsia="Times New Roman"/>
          <w:lang w:eastAsia="sv-SE"/>
        </w:rPr>
        <w:t xml:space="preserve"> beloppen gjorts men modellen bygger på utbildningarnas kostnader i början på 1990-talet. Vänsterpartiet menar att dessa prislappar behöver ses över och finansieringssystemet göras om så att finansieringen följer högskolans och utbildningarnas behov och förändringar i kostnader. I väntan på en mer genomgripande förändring föreslår Vänsterpartiet en höjning av samtliga prislappar med </w:t>
      </w:r>
      <w:r w:rsidRPr="00FC2616" w:rsidR="00A201B5">
        <w:rPr>
          <w:rFonts w:eastAsia="Times New Roman"/>
          <w:lang w:eastAsia="sv-SE"/>
        </w:rPr>
        <w:t>1</w:t>
      </w:r>
      <w:r w:rsidRPr="00FC2616">
        <w:rPr>
          <w:rFonts w:eastAsia="Times New Roman"/>
          <w:lang w:eastAsia="sv-SE"/>
        </w:rPr>
        <w:t> 000 kr per helårsstudent</w:t>
      </w:r>
      <w:r w:rsidRPr="00FC2616" w:rsidR="00A201B5">
        <w:rPr>
          <w:rFonts w:eastAsia="Times New Roman"/>
          <w:lang w:eastAsia="sv-SE"/>
        </w:rPr>
        <w:t xml:space="preserve"> från 2023 och 2 000 kronor per helårsstudent från 2024</w:t>
      </w:r>
      <w:r w:rsidRPr="00FC2616">
        <w:rPr>
          <w:rFonts w:eastAsia="Times New Roman"/>
          <w:lang w:eastAsia="sv-SE"/>
        </w:rPr>
        <w:t xml:space="preserve">. Förslaget beräknas öka statens utgifter med omkring </w:t>
      </w:r>
      <w:r w:rsidRPr="00FC2616" w:rsidR="00A201B5">
        <w:rPr>
          <w:rFonts w:eastAsia="Times New Roman"/>
          <w:lang w:eastAsia="sv-SE"/>
        </w:rPr>
        <w:t>325</w:t>
      </w:r>
      <w:r w:rsidRPr="00FC2616">
        <w:rPr>
          <w:rFonts w:eastAsia="Times New Roman"/>
          <w:lang w:eastAsia="sv-SE"/>
        </w:rPr>
        <w:t xml:space="preserve"> miljoner kronor </w:t>
      </w:r>
      <w:r w:rsidRPr="00FC2616" w:rsidR="00A201B5">
        <w:rPr>
          <w:rFonts w:eastAsia="Times New Roman"/>
          <w:lang w:eastAsia="sv-SE"/>
        </w:rPr>
        <w:t xml:space="preserve">2023 och </w:t>
      </w:r>
      <w:r w:rsidRPr="00FC2616">
        <w:rPr>
          <w:rFonts w:eastAsia="Times New Roman"/>
          <w:lang w:eastAsia="sv-SE"/>
        </w:rPr>
        <w:t>6</w:t>
      </w:r>
      <w:r w:rsidRPr="00FC2616" w:rsidR="00A201B5">
        <w:rPr>
          <w:rFonts w:eastAsia="Times New Roman"/>
          <w:lang w:eastAsia="sv-SE"/>
        </w:rPr>
        <w:t>50</w:t>
      </w:r>
      <w:r w:rsidRPr="00FC2616">
        <w:rPr>
          <w:rFonts w:eastAsia="Times New Roman"/>
          <w:lang w:eastAsia="sv-SE"/>
        </w:rPr>
        <w:t xml:space="preserve"> miljoner kronor </w:t>
      </w:r>
      <w:r w:rsidRPr="00FC2616" w:rsidR="00A201B5">
        <w:rPr>
          <w:rFonts w:eastAsia="Times New Roman"/>
          <w:lang w:eastAsia="sv-SE"/>
        </w:rPr>
        <w:t>från 2024</w:t>
      </w:r>
      <w:r w:rsidRPr="00FC2616">
        <w:rPr>
          <w:rFonts w:eastAsia="Times New Roman"/>
          <w:lang w:eastAsia="sv-SE"/>
        </w:rPr>
        <w:t xml:space="preserve">. </w:t>
      </w:r>
    </w:p>
    <w:p w:rsidRPr="00FC2616" w:rsidR="00851BFC" w:rsidP="00A32D63" w:rsidRDefault="00851BFC" w14:paraId="2883C0AC" w14:textId="2158F28E">
      <w:pPr>
        <w:rPr>
          <w:rFonts w:eastAsia="Times New Roman"/>
          <w:lang w:eastAsia="sv-SE"/>
        </w:rPr>
      </w:pPr>
      <w:r w:rsidRPr="00FC2616">
        <w:rPr>
          <w:rFonts w:eastAsia="Times New Roman"/>
          <w:lang w:eastAsia="sv-SE"/>
        </w:rPr>
        <w:t>Styr- och resursutredningen (SOU 2019:6) föreslog en förändrad finansiering av högre utbildning. Utredningen konstaterade bl.a. att det prestationsbaserade resurs</w:t>
      </w:r>
      <w:r w:rsidR="00BD6874">
        <w:rPr>
          <w:rFonts w:eastAsia="Times New Roman"/>
          <w:lang w:eastAsia="sv-SE"/>
        </w:rPr>
        <w:softHyphen/>
      </w:r>
      <w:r w:rsidRPr="00FC2616">
        <w:rPr>
          <w:rFonts w:eastAsia="Times New Roman"/>
          <w:lang w:eastAsia="sv-SE"/>
        </w:rPr>
        <w:t xml:space="preserve">tilldelningssystemet medför att utbildningar på grundnivå och avancerad nivå som på olika sätt är flexibla för studenten ofta är ekonomiskt ofördelaktiga för lärosätena att erbjuda. </w:t>
      </w:r>
    </w:p>
    <w:p w:rsidRPr="00FC2616" w:rsidR="00851BFC" w:rsidP="00A32D63" w:rsidRDefault="00851BFC" w14:paraId="084F7F1D" w14:textId="03D7BFBD">
      <w:pPr>
        <w:rPr>
          <w:rFonts w:eastAsia="Times New Roman"/>
          <w:lang w:eastAsia="sv-SE"/>
        </w:rPr>
      </w:pPr>
      <w:r w:rsidRPr="00FC2616">
        <w:rPr>
          <w:rFonts w:eastAsia="Times New Roman"/>
          <w:lang w:eastAsia="sv-SE"/>
        </w:rPr>
        <w:t>Vänsterpartiet var redan vid införandet av ett prislappssystem kritiskt till att en del av pengarna fördelades genom en prestationsdel baserad på poängproduktion. För att öka möjligheten för fler att studera och för att trygga lärosätenas finansiering och möjlighet till utveckling anser Vänsterpartiet att prestationsdelen i högskolans finansieringssystem bör avskaffas.</w:t>
      </w:r>
    </w:p>
    <w:p w:rsidRPr="00FC2616" w:rsidR="00851BFC" w:rsidP="00A32D63" w:rsidRDefault="00851BFC" w14:paraId="6EAA897A" w14:textId="2B208528">
      <w:pPr>
        <w:rPr>
          <w:rFonts w:eastAsia="Times New Roman"/>
          <w:lang w:eastAsia="sv-SE"/>
        </w:rPr>
      </w:pPr>
      <w:r w:rsidRPr="00FC2616">
        <w:rPr>
          <w:rFonts w:eastAsia="Times New Roman"/>
          <w:lang w:eastAsia="sv-SE"/>
        </w:rPr>
        <w:t xml:space="preserve">Universiteten och högskolorna tillhör den statliga sektorn och omfattas därmed av den pris- och löneomräkningsmodell som styr uppräkningen av de medel som tilldelas dem. Modellen innehåller ett </w:t>
      </w:r>
      <w:r w:rsidRPr="00FC2616" w:rsidR="00E05BEE">
        <w:rPr>
          <w:rFonts w:eastAsia="Times New Roman"/>
          <w:lang w:eastAsia="sv-SE"/>
        </w:rPr>
        <w:t>s.k.</w:t>
      </w:r>
      <w:r w:rsidRPr="00FC2616">
        <w:rPr>
          <w:rFonts w:eastAsia="Times New Roman"/>
          <w:lang w:eastAsia="sv-SE"/>
        </w:rPr>
        <w:t xml:space="preserve"> produktivitetsavdrag – en årlig generell besparing. Vänsterpartiet vill avskaffa detta avdrag, vilket skulle leda till ökade anslag till universiteten och högskolorna. Över tid blir ökningen betydande. Förslaget </w:t>
      </w:r>
      <w:r w:rsidR="00932F4B">
        <w:rPr>
          <w:rFonts w:eastAsia="Times New Roman"/>
          <w:lang w:eastAsia="sv-SE"/>
        </w:rPr>
        <w:t xml:space="preserve">om </w:t>
      </w:r>
      <w:r w:rsidRPr="00FC2616">
        <w:rPr>
          <w:rFonts w:eastAsia="Times New Roman"/>
          <w:lang w:eastAsia="sv-SE"/>
        </w:rPr>
        <w:t>att avskaffa produktivitetsavdraget beskrivs närmare i kapitel</w:t>
      </w:r>
      <w:r w:rsidR="00F26CA9">
        <w:rPr>
          <w:rFonts w:eastAsia="Times New Roman"/>
          <w:lang w:eastAsia="sv-SE"/>
        </w:rPr>
        <w:t> </w:t>
      </w:r>
      <w:r w:rsidRPr="00FC2616">
        <w:rPr>
          <w:rFonts w:eastAsia="Times New Roman"/>
          <w:lang w:eastAsia="sv-SE"/>
        </w:rPr>
        <w:t>3.</w:t>
      </w:r>
    </w:p>
    <w:p w:rsidRPr="00FC2616" w:rsidR="00851BFC" w:rsidP="00A32D63" w:rsidRDefault="00851BFC" w14:paraId="1A8972D4" w14:textId="2655F564">
      <w:pPr>
        <w:rPr>
          <w:rFonts w:eastAsia="Times New Roman"/>
          <w:lang w:eastAsia="sv-SE"/>
        </w:rPr>
      </w:pPr>
      <w:r w:rsidRPr="00FC2616">
        <w:rPr>
          <w:rFonts w:eastAsia="Times New Roman"/>
          <w:lang w:eastAsia="sv-SE"/>
        </w:rPr>
        <w:t>Vänsterpartiet vill även se en utbyggnad av antalet basår och basårsplatser</w:t>
      </w:r>
      <w:r w:rsidRPr="00FC2616" w:rsidR="00A201B5">
        <w:rPr>
          <w:rFonts w:eastAsia="Times New Roman"/>
          <w:lang w:eastAsia="sv-SE"/>
        </w:rPr>
        <w:t xml:space="preserve"> från 2024</w:t>
      </w:r>
      <w:r w:rsidRPr="00FC2616">
        <w:rPr>
          <w:rFonts w:eastAsia="Times New Roman"/>
          <w:lang w:eastAsia="sv-SE"/>
        </w:rPr>
        <w:t xml:space="preserve">. Basåren fyller en viktig funktion i att erbjuda behörighetsgivande studier i en högskolemiljö. Erfarenheten från lärosätena visar också att de som gått ett basår klarar efterföljande utbildning bättre än de som kommer direkt från gymnasiet. Vänsterpartiet avsätter </w:t>
      </w:r>
      <w:r w:rsidRPr="00FC2616" w:rsidR="000C69AE">
        <w:rPr>
          <w:rFonts w:eastAsia="Times New Roman"/>
          <w:lang w:eastAsia="sv-SE"/>
        </w:rPr>
        <w:t>2</w:t>
      </w:r>
      <w:r w:rsidRPr="00FC2616">
        <w:rPr>
          <w:rFonts w:eastAsia="Times New Roman"/>
          <w:lang w:eastAsia="sv-SE"/>
        </w:rPr>
        <w:t>00 miljoner kronor per år till ändamålet</w:t>
      </w:r>
      <w:r w:rsidRPr="00FC2616" w:rsidR="00A201B5">
        <w:rPr>
          <w:rFonts w:eastAsia="Times New Roman"/>
          <w:lang w:eastAsia="sv-SE"/>
        </w:rPr>
        <w:t xml:space="preserve"> 2024</w:t>
      </w:r>
      <w:r w:rsidRPr="00FC2616" w:rsidR="000C69AE">
        <w:rPr>
          <w:rFonts w:eastAsia="Times New Roman"/>
          <w:lang w:eastAsia="sv-SE"/>
        </w:rPr>
        <w:t xml:space="preserve"> och 400 miljoner kronor från 2025</w:t>
      </w:r>
      <w:r w:rsidRPr="00FC2616">
        <w:rPr>
          <w:rFonts w:eastAsia="Times New Roman"/>
          <w:lang w:eastAsia="sv-SE"/>
        </w:rPr>
        <w:t xml:space="preserve">. </w:t>
      </w:r>
    </w:p>
    <w:p w:rsidRPr="00FC2616" w:rsidR="00851BFC" w:rsidP="00A32D63" w:rsidRDefault="00851BFC" w14:paraId="72CC9AB1" w14:textId="77777777">
      <w:pPr>
        <w:rPr>
          <w:rFonts w:eastAsia="Times New Roman"/>
          <w:lang w:eastAsia="sv-SE"/>
        </w:rPr>
      </w:pPr>
      <w:r w:rsidRPr="00FC2616">
        <w:rPr>
          <w:rFonts w:eastAsia="Times New Roman"/>
          <w:lang w:eastAsia="sv-SE"/>
        </w:rPr>
        <w:t xml:space="preserve">Vänsterpartiet vill även införa en modell liknande Dalamodellen i nationell skala för att möta personalbristen inom utbildningssektorns yrken, såsom lärare, förskollärare och lärare mot fritidshem. </w:t>
      </w:r>
      <w:bookmarkStart w:name="_Hlk112330326" w:id="165"/>
      <w:r w:rsidRPr="00FC2616">
        <w:rPr>
          <w:rFonts w:eastAsia="Times New Roman"/>
          <w:lang w:eastAsia="sv-SE"/>
        </w:rPr>
        <w:t>Modellen innebär att studier till lärare kombineras med arbete på en skola.</w:t>
      </w:r>
      <w:bookmarkEnd w:id="165"/>
    </w:p>
    <w:p w:rsidRPr="00AC11A6" w:rsidR="00851BFC" w:rsidP="00AC11A6" w:rsidRDefault="00851BFC" w14:paraId="6955859C" w14:textId="77777777">
      <w:pPr>
        <w:pStyle w:val="Normalutanindragellerluft"/>
        <w:spacing w:before="240"/>
        <w:rPr>
          <w:rFonts w:eastAsia="Times New Roman"/>
          <w:b/>
          <w:bCs/>
          <w:lang w:eastAsia="sv-SE"/>
        </w:rPr>
      </w:pPr>
      <w:r w:rsidRPr="00AC11A6">
        <w:rPr>
          <w:rFonts w:eastAsia="Times New Roman"/>
          <w:b/>
          <w:bCs/>
          <w:lang w:eastAsia="sv-SE"/>
        </w:rPr>
        <w:t>Vänsterpartiets förslag:</w:t>
      </w:r>
    </w:p>
    <w:p w:rsidRPr="00FC2616" w:rsidR="00851BFC" w:rsidP="001A758E" w:rsidRDefault="00851BFC" w14:paraId="10F3A5D0" w14:textId="7878DC96">
      <w:pPr>
        <w:pStyle w:val="ListaPunkt"/>
        <w:ind w:left="340" w:hanging="340"/>
        <w:rPr>
          <w:rFonts w:eastAsia="Times New Roman"/>
          <w:lang w:eastAsia="sv-SE"/>
        </w:rPr>
      </w:pPr>
      <w:bookmarkStart w:name="_Hlk111463804" w:id="166"/>
      <w:r w:rsidRPr="00FC2616">
        <w:rPr>
          <w:rFonts w:eastAsia="Times New Roman"/>
          <w:lang w:eastAsia="sv-SE"/>
        </w:rPr>
        <w:t xml:space="preserve">Höj ersättningen till lärosätena per helårsstudent med </w:t>
      </w:r>
      <w:r w:rsidRPr="00FC2616" w:rsidR="00A201B5">
        <w:rPr>
          <w:rFonts w:eastAsia="Times New Roman"/>
          <w:lang w:eastAsia="sv-SE"/>
        </w:rPr>
        <w:t>1</w:t>
      </w:r>
      <w:r w:rsidRPr="00FC2616">
        <w:rPr>
          <w:rFonts w:eastAsia="Times New Roman"/>
          <w:lang w:eastAsia="sv-SE"/>
        </w:rPr>
        <w:t> 000 kr</w:t>
      </w:r>
      <w:r w:rsidRPr="00FC2616" w:rsidR="00E05BEE">
        <w:rPr>
          <w:rFonts w:eastAsia="Times New Roman"/>
          <w:lang w:eastAsia="sv-SE"/>
        </w:rPr>
        <w:t>onor</w:t>
      </w:r>
      <w:r w:rsidRPr="00FC2616">
        <w:rPr>
          <w:rFonts w:eastAsia="Times New Roman"/>
          <w:lang w:eastAsia="sv-SE"/>
        </w:rPr>
        <w:t xml:space="preserve"> per helårsekvivalent</w:t>
      </w:r>
      <w:r w:rsidRPr="00FC2616" w:rsidR="00A201B5">
        <w:rPr>
          <w:rFonts w:eastAsia="Times New Roman"/>
          <w:lang w:eastAsia="sv-SE"/>
        </w:rPr>
        <w:t xml:space="preserve"> 2023 och </w:t>
      </w:r>
      <w:r w:rsidRPr="00FC2616">
        <w:rPr>
          <w:rFonts w:eastAsia="Times New Roman"/>
          <w:lang w:eastAsia="sv-SE"/>
        </w:rPr>
        <w:t>2 000 kr</w:t>
      </w:r>
      <w:r w:rsidR="00E4799D">
        <w:rPr>
          <w:rFonts w:eastAsia="Times New Roman"/>
          <w:lang w:eastAsia="sv-SE"/>
        </w:rPr>
        <w:t>onor</w:t>
      </w:r>
      <w:r w:rsidRPr="00FC2616">
        <w:rPr>
          <w:rFonts w:eastAsia="Times New Roman"/>
          <w:lang w:eastAsia="sv-SE"/>
        </w:rPr>
        <w:t xml:space="preserve"> per helårsekvivalent</w:t>
      </w:r>
      <w:r w:rsidRPr="00FC2616" w:rsidR="00A201B5">
        <w:rPr>
          <w:rFonts w:eastAsia="Times New Roman"/>
          <w:lang w:eastAsia="sv-SE"/>
        </w:rPr>
        <w:t xml:space="preserve"> från 2024</w:t>
      </w:r>
      <w:r w:rsidRPr="00FC2616">
        <w:rPr>
          <w:rFonts w:eastAsia="Times New Roman"/>
          <w:lang w:eastAsia="sv-SE"/>
        </w:rPr>
        <w:t>.</w:t>
      </w:r>
    </w:p>
    <w:p w:rsidRPr="00FC2616" w:rsidR="00851BFC" w:rsidP="001A758E" w:rsidRDefault="00851BFC" w14:paraId="6E2CE4DE" w14:textId="4AB3C303">
      <w:pPr>
        <w:pStyle w:val="ListaPunkt"/>
        <w:ind w:left="340" w:hanging="340"/>
        <w:rPr>
          <w:rFonts w:eastAsia="Times New Roman"/>
          <w:lang w:eastAsia="sv-SE"/>
        </w:rPr>
      </w:pPr>
      <w:r w:rsidRPr="00FC2616">
        <w:rPr>
          <w:rFonts w:eastAsia="Times New Roman"/>
          <w:lang w:eastAsia="sv-SE"/>
        </w:rPr>
        <w:t>Bygg ut antalet basår och basårsplatser</w:t>
      </w:r>
      <w:r w:rsidRPr="00FC2616" w:rsidR="00A201B5">
        <w:rPr>
          <w:rFonts w:eastAsia="Times New Roman"/>
          <w:lang w:eastAsia="sv-SE"/>
        </w:rPr>
        <w:t xml:space="preserve"> </w:t>
      </w:r>
      <w:r w:rsidRPr="00FC2616" w:rsidR="000C69AE">
        <w:rPr>
          <w:rFonts w:eastAsia="Times New Roman"/>
          <w:lang w:eastAsia="sv-SE"/>
        </w:rPr>
        <w:t xml:space="preserve">från </w:t>
      </w:r>
      <w:r w:rsidRPr="00FC2616" w:rsidR="00A201B5">
        <w:rPr>
          <w:rFonts w:eastAsia="Times New Roman"/>
          <w:lang w:eastAsia="sv-SE"/>
        </w:rPr>
        <w:t>2024</w:t>
      </w:r>
      <w:r w:rsidRPr="00FC2616">
        <w:rPr>
          <w:rFonts w:eastAsia="Times New Roman"/>
          <w:lang w:eastAsia="sv-SE"/>
        </w:rPr>
        <w:t>.</w:t>
      </w:r>
      <w:bookmarkEnd w:id="166"/>
    </w:p>
    <w:p w:rsidRPr="00FC2616" w:rsidR="00851BFC" w:rsidP="001A758E" w:rsidRDefault="00851BFC" w14:paraId="16884455" w14:textId="72A87CE9">
      <w:pPr>
        <w:pStyle w:val="ListaPunkt"/>
        <w:ind w:left="340" w:hanging="340"/>
        <w:rPr>
          <w:rFonts w:eastAsia="Times New Roman"/>
          <w:lang w:eastAsia="sv-SE"/>
        </w:rPr>
      </w:pPr>
      <w:bookmarkStart w:name="_Hlk112329051" w:id="167"/>
      <w:r w:rsidRPr="00FC2616">
        <w:rPr>
          <w:rFonts w:eastAsia="Times New Roman"/>
          <w:lang w:eastAsia="sv-SE"/>
        </w:rPr>
        <w:t>Inför en modell liknande Dalamodellen i nationell skala för att möta personalbristen inom utbildningssektorns yrken, såsom lärare, förskollärare och lärare mot fritidshem</w:t>
      </w:r>
      <w:bookmarkEnd w:id="167"/>
      <w:r w:rsidRPr="00FC2616" w:rsidR="00523FDC">
        <w:rPr>
          <w:rFonts w:eastAsia="Times New Roman"/>
          <w:lang w:eastAsia="sv-SE"/>
        </w:rPr>
        <w:t>.</w:t>
      </w:r>
    </w:p>
    <w:p w:rsidRPr="00FC2616" w:rsidR="00851BFC" w:rsidP="00A32D63" w:rsidRDefault="00851BFC" w14:paraId="04B2342B" w14:textId="7E920090">
      <w:pPr>
        <w:pStyle w:val="Rubrik2numrerat"/>
        <w:rPr>
          <w:rFonts w:eastAsia="Times New Roman"/>
          <w:lang w:eastAsia="sv-SE"/>
        </w:rPr>
      </w:pPr>
      <w:bookmarkStart w:name="_Toc111542866" w:id="168"/>
      <w:bookmarkStart w:name="_Toc115271219" w:id="169"/>
      <w:bookmarkStart w:name="_Toc111201339" w:id="170"/>
      <w:bookmarkStart w:name="_Hlk110946711" w:id="171"/>
      <w:bookmarkStart w:name="_Hlk119651230" w:id="172"/>
      <w:bookmarkStart w:name="_Toc149814574" w:id="173"/>
      <w:r w:rsidRPr="00FC2616">
        <w:rPr>
          <w:rFonts w:eastAsia="Times New Roman"/>
          <w:lang w:eastAsia="sv-SE"/>
        </w:rPr>
        <w:lastRenderedPageBreak/>
        <w:t>Höj forskningens basanslag</w:t>
      </w:r>
      <w:bookmarkEnd w:id="168"/>
      <w:bookmarkEnd w:id="169"/>
      <w:bookmarkEnd w:id="170"/>
      <w:bookmarkEnd w:id="173"/>
    </w:p>
    <w:bookmarkEnd w:id="171"/>
    <w:p w:rsidRPr="00FC2616" w:rsidR="00851BFC" w:rsidP="00A32D63" w:rsidRDefault="00851BFC" w14:paraId="43880D71" w14:textId="7B58A14F">
      <w:pPr>
        <w:pStyle w:val="Normalutanindragellerluft"/>
        <w:rPr>
          <w:rFonts w:eastAsia="Times New Roman"/>
          <w:lang w:eastAsia="sv-SE"/>
        </w:rPr>
      </w:pPr>
      <w:r w:rsidRPr="00FC2616">
        <w:rPr>
          <w:rFonts w:eastAsia="Times New Roman"/>
          <w:lang w:eastAsia="sv-SE"/>
        </w:rPr>
        <w:t>Genom forskning skapas ny kunskap. Denna kunskap är viktig för att utveckla ekonomin, skapa arbetstillfällen, förbättra välfärden och skapa ett ekologiskt och socialt hållbart samhälle. Forskning behövs även för att utsätta vårt samhälle för kritisk granskning i syfte att utveckla demokratin</w:t>
      </w:r>
      <w:r w:rsidR="009A69AA">
        <w:rPr>
          <w:rFonts w:eastAsia="Times New Roman"/>
          <w:lang w:eastAsia="sv-SE"/>
        </w:rPr>
        <w:t xml:space="preserve"> och</w:t>
      </w:r>
      <w:r w:rsidRPr="00FC2616">
        <w:rPr>
          <w:rFonts w:eastAsia="Times New Roman"/>
          <w:lang w:eastAsia="sv-SE"/>
        </w:rPr>
        <w:t xml:space="preserve"> kultur- och samhällslivet. Därför behövs ett ökat stöd till den fria forskningen. </w:t>
      </w:r>
    </w:p>
    <w:p w:rsidRPr="00FC2616" w:rsidR="00851BFC" w:rsidP="00A32D63" w:rsidRDefault="00851BFC" w14:paraId="0CF6242A" w14:textId="5577F62B">
      <w:pPr>
        <w:rPr>
          <w:rFonts w:eastAsia="Times New Roman"/>
          <w:lang w:eastAsia="sv-SE"/>
        </w:rPr>
      </w:pPr>
      <w:r w:rsidRPr="00FC2616">
        <w:rPr>
          <w:rFonts w:eastAsia="Times New Roman"/>
          <w:lang w:eastAsia="sv-SE"/>
        </w:rPr>
        <w:t xml:space="preserve">Vänsterpartiet stödjer en sammanhållen forskningspolitik och står bakom ambitionerna om en mer jämställd akademi. Styr- och resursutredningens resonemang om forskningsmedel tydliggjorde att lärosätenas anslag för forskning behöver öka. Vi vill avsätta ytterligare </w:t>
      </w:r>
      <w:r w:rsidRPr="00FC2616" w:rsidR="000C69AE">
        <w:rPr>
          <w:rFonts w:eastAsia="Times New Roman"/>
          <w:lang w:eastAsia="sv-SE"/>
        </w:rPr>
        <w:t xml:space="preserve">500 miljoner kronor 2024 och </w:t>
      </w:r>
      <w:r w:rsidRPr="00FC2616">
        <w:rPr>
          <w:rFonts w:eastAsia="Times New Roman"/>
          <w:lang w:eastAsia="sv-SE"/>
        </w:rPr>
        <w:t>1</w:t>
      </w:r>
      <w:r w:rsidR="00E537F8">
        <w:rPr>
          <w:rFonts w:eastAsia="Times New Roman"/>
          <w:lang w:eastAsia="sv-SE"/>
        </w:rPr>
        <w:t> </w:t>
      </w:r>
      <w:r w:rsidRPr="00FC2616">
        <w:rPr>
          <w:rFonts w:eastAsia="Times New Roman"/>
          <w:lang w:eastAsia="sv-SE"/>
        </w:rPr>
        <w:t xml:space="preserve">miljard kronor per år </w:t>
      </w:r>
      <w:r w:rsidRPr="00FC2616" w:rsidR="00A201B5">
        <w:rPr>
          <w:rFonts w:eastAsia="Times New Roman"/>
          <w:lang w:eastAsia="sv-SE"/>
        </w:rPr>
        <w:t>från 202</w:t>
      </w:r>
      <w:r w:rsidRPr="00FC2616" w:rsidR="000C69AE">
        <w:rPr>
          <w:rFonts w:eastAsia="Times New Roman"/>
          <w:lang w:eastAsia="sv-SE"/>
        </w:rPr>
        <w:t>5</w:t>
      </w:r>
      <w:r w:rsidRPr="00FC2616" w:rsidR="00A201B5">
        <w:rPr>
          <w:rFonts w:eastAsia="Times New Roman"/>
          <w:lang w:eastAsia="sv-SE"/>
        </w:rPr>
        <w:t xml:space="preserve"> </w:t>
      </w:r>
      <w:r w:rsidRPr="00FC2616">
        <w:rPr>
          <w:rFonts w:eastAsia="Times New Roman"/>
          <w:lang w:eastAsia="sv-SE"/>
        </w:rPr>
        <w:t>till forskning</w:t>
      </w:r>
      <w:r w:rsidRPr="00FC2616" w:rsidR="00A201B5">
        <w:rPr>
          <w:rFonts w:eastAsia="Times New Roman"/>
          <w:lang w:eastAsia="sv-SE"/>
        </w:rPr>
        <w:t>,</w:t>
      </w:r>
      <w:r w:rsidRPr="00FC2616">
        <w:rPr>
          <w:rFonts w:eastAsia="Times New Roman"/>
          <w:lang w:eastAsia="sv-SE"/>
        </w:rPr>
        <w:t xml:space="preserve"> genom en förstärkning av basanslagen. Denna satsning är inte styrd eller riktad utan används på de sätt som lärosätena anser mest lämpligt. </w:t>
      </w:r>
    </w:p>
    <w:p w:rsidRPr="00330A12" w:rsidR="00851BFC" w:rsidP="00330A12" w:rsidRDefault="00851BFC" w14:paraId="061D9683" w14:textId="77777777">
      <w:pPr>
        <w:pStyle w:val="Normalutanindragellerluft"/>
        <w:spacing w:before="240"/>
        <w:rPr>
          <w:rFonts w:eastAsia="Calibri"/>
          <w:b/>
          <w:bCs/>
        </w:rPr>
      </w:pPr>
      <w:r w:rsidRPr="00330A12">
        <w:rPr>
          <w:rFonts w:eastAsia="Calibri"/>
          <w:b/>
          <w:bCs/>
        </w:rPr>
        <w:t>Vänsterpartiets förslag:</w:t>
      </w:r>
    </w:p>
    <w:p w:rsidRPr="00FC2616" w:rsidR="00851BFC" w:rsidP="001A758E" w:rsidRDefault="00851BFC" w14:paraId="5430C4A5" w14:textId="39C63E3F">
      <w:pPr>
        <w:pStyle w:val="ListaPunkt"/>
        <w:ind w:left="340" w:hanging="340"/>
        <w:rPr>
          <w:rFonts w:eastAsia="Times New Roman"/>
          <w:lang w:eastAsia="sv-SE"/>
        </w:rPr>
      </w:pPr>
      <w:r w:rsidRPr="00FC2616">
        <w:rPr>
          <w:rFonts w:eastAsia="Times New Roman"/>
          <w:lang w:eastAsia="sv-SE"/>
        </w:rPr>
        <w:t xml:space="preserve">Avsätt </w:t>
      </w:r>
      <w:r w:rsidRPr="00FC2616" w:rsidR="00486E64">
        <w:rPr>
          <w:rFonts w:eastAsia="Times New Roman"/>
          <w:lang w:eastAsia="sv-SE"/>
        </w:rPr>
        <w:t xml:space="preserve">500 miljoner </w:t>
      </w:r>
      <w:r w:rsidRPr="00FC2616">
        <w:rPr>
          <w:rFonts w:eastAsia="Times New Roman"/>
          <w:lang w:eastAsia="sv-SE"/>
        </w:rPr>
        <w:t>kronor extra till forskning genom förstärkning av basanslagen</w:t>
      </w:r>
      <w:r w:rsidRPr="00FC2616" w:rsidR="00A201B5">
        <w:rPr>
          <w:rFonts w:eastAsia="Times New Roman"/>
          <w:lang w:eastAsia="sv-SE"/>
        </w:rPr>
        <w:t xml:space="preserve"> 2024</w:t>
      </w:r>
      <w:r w:rsidRPr="00FC2616" w:rsidR="000C69AE">
        <w:rPr>
          <w:rFonts w:eastAsia="Times New Roman"/>
          <w:lang w:eastAsia="sv-SE"/>
        </w:rPr>
        <w:t xml:space="preserve"> och 1</w:t>
      </w:r>
      <w:r w:rsidR="005E71A0">
        <w:rPr>
          <w:rFonts w:eastAsia="Times New Roman"/>
          <w:lang w:eastAsia="sv-SE"/>
        </w:rPr>
        <w:t> </w:t>
      </w:r>
      <w:r w:rsidRPr="00FC2616" w:rsidR="000C69AE">
        <w:rPr>
          <w:rFonts w:eastAsia="Times New Roman"/>
          <w:lang w:eastAsia="sv-SE"/>
        </w:rPr>
        <w:t xml:space="preserve">miljard </w:t>
      </w:r>
      <w:r w:rsidRPr="00FC2616" w:rsidR="00523FDC">
        <w:rPr>
          <w:rFonts w:eastAsia="Times New Roman"/>
          <w:lang w:eastAsia="sv-SE"/>
        </w:rPr>
        <w:t xml:space="preserve">kronor </w:t>
      </w:r>
      <w:r w:rsidRPr="00FC2616" w:rsidR="000C69AE">
        <w:rPr>
          <w:rFonts w:eastAsia="Times New Roman"/>
          <w:lang w:eastAsia="sv-SE"/>
        </w:rPr>
        <w:t>från 2025</w:t>
      </w:r>
      <w:r w:rsidRPr="00FC2616">
        <w:rPr>
          <w:rFonts w:eastAsia="Times New Roman"/>
          <w:lang w:eastAsia="sv-SE"/>
        </w:rPr>
        <w:t xml:space="preserve">. </w:t>
      </w:r>
    </w:p>
    <w:p w:rsidRPr="00FC2616" w:rsidR="00802E3A" w:rsidP="00ED42C8" w:rsidRDefault="00802E3A" w14:paraId="16967B9B" w14:textId="3ED7C077">
      <w:pPr>
        <w:pStyle w:val="Rubrik2numrerat"/>
        <w:rPr>
          <w:rFonts w:eastAsia="Times New Roman"/>
          <w:lang w:eastAsia="sv-SE"/>
        </w:rPr>
      </w:pPr>
      <w:bookmarkStart w:name="_Toc149814575" w:id="174"/>
      <w:r w:rsidRPr="00FC2616">
        <w:rPr>
          <w:rFonts w:eastAsia="Times New Roman"/>
          <w:lang w:eastAsia="sv-SE"/>
        </w:rPr>
        <w:t>Stöd</w:t>
      </w:r>
      <w:r w:rsidRPr="00FC2616" w:rsidR="00ED42C8">
        <w:rPr>
          <w:rFonts w:eastAsia="Times New Roman"/>
          <w:lang w:eastAsia="sv-SE"/>
        </w:rPr>
        <w:t xml:space="preserve"> till</w:t>
      </w:r>
      <w:r w:rsidRPr="00FC2616">
        <w:rPr>
          <w:rFonts w:eastAsia="Times New Roman"/>
          <w:lang w:eastAsia="sv-SE"/>
        </w:rPr>
        <w:t xml:space="preserve"> folkbildningen</w:t>
      </w:r>
      <w:bookmarkEnd w:id="174"/>
    </w:p>
    <w:p w:rsidRPr="00FC2616" w:rsidR="00ED42C8" w:rsidP="00ED42C8" w:rsidRDefault="00802E3A" w14:paraId="1F9FB025" w14:textId="6C5DFF6F">
      <w:pPr>
        <w:pStyle w:val="Normalutanindragellerluft"/>
        <w:rPr>
          <w:rFonts w:eastAsia="Times New Roman"/>
          <w:lang w:eastAsia="sv-SE"/>
        </w:rPr>
      </w:pPr>
      <w:r w:rsidRPr="00FC2616">
        <w:rPr>
          <w:rFonts w:eastAsia="Times New Roman"/>
          <w:lang w:eastAsia="sv-SE"/>
        </w:rPr>
        <w:t xml:space="preserve">Folkbildningen är en viktig plattform för människors möjlighet till bildning och utveckling under hela livet. Den stärker demokratin och människors möjlighet att delta i samhället. Folkhögskolorna har en alldeles särskild roll i </w:t>
      </w:r>
      <w:r w:rsidR="00ED3D1A">
        <w:rPr>
          <w:rFonts w:eastAsia="Times New Roman"/>
          <w:lang w:eastAsia="sv-SE"/>
        </w:rPr>
        <w:t xml:space="preserve">fråga om </w:t>
      </w:r>
      <w:r w:rsidRPr="00FC2616">
        <w:rPr>
          <w:rFonts w:eastAsia="Times New Roman"/>
          <w:lang w:eastAsia="sv-SE"/>
        </w:rPr>
        <w:t>att erbjuda utbildning för de som saknar grundskole- eller gymnasieutbildning</w:t>
      </w:r>
      <w:r w:rsidR="00394387">
        <w:rPr>
          <w:rFonts w:eastAsia="Times New Roman"/>
          <w:lang w:eastAsia="sv-SE"/>
        </w:rPr>
        <w:t>,</w:t>
      </w:r>
      <w:r w:rsidRPr="00FC2616">
        <w:rPr>
          <w:rFonts w:eastAsia="Times New Roman"/>
          <w:lang w:eastAsia="sv-SE"/>
        </w:rPr>
        <w:t xml:space="preserve"> och ett viktigt mål är att utjämna utbildningsklyftor och att höja utbildningsnivån generellt i samhället. Folk</w:t>
      </w:r>
      <w:r w:rsidR="00BD6874">
        <w:rPr>
          <w:rFonts w:eastAsia="Times New Roman"/>
          <w:lang w:eastAsia="sv-SE"/>
        </w:rPr>
        <w:softHyphen/>
      </w:r>
      <w:r w:rsidRPr="00FC2616">
        <w:rPr>
          <w:rFonts w:eastAsia="Times New Roman"/>
          <w:lang w:eastAsia="sv-SE"/>
        </w:rPr>
        <w:t xml:space="preserve">bildningen möjliggör också </w:t>
      </w:r>
      <w:r w:rsidR="007D6754">
        <w:rPr>
          <w:rFonts w:eastAsia="Times New Roman"/>
          <w:lang w:eastAsia="sv-SE"/>
        </w:rPr>
        <w:t xml:space="preserve">för </w:t>
      </w:r>
      <w:r w:rsidRPr="00FC2616">
        <w:rPr>
          <w:rFonts w:eastAsia="Times New Roman"/>
          <w:lang w:eastAsia="sv-SE"/>
        </w:rPr>
        <w:t xml:space="preserve">människor </w:t>
      </w:r>
      <w:r w:rsidRPr="00FC2616" w:rsidR="007D6754">
        <w:rPr>
          <w:rFonts w:eastAsia="Times New Roman"/>
          <w:lang w:eastAsia="sv-SE"/>
        </w:rPr>
        <w:t xml:space="preserve">att </w:t>
      </w:r>
      <w:r w:rsidRPr="00FC2616">
        <w:rPr>
          <w:rFonts w:eastAsia="Times New Roman"/>
          <w:lang w:eastAsia="sv-SE"/>
        </w:rPr>
        <w:t xml:space="preserve">ta del av kultur, skapa kultur och verka inom kulturen oavsett var i landet </w:t>
      </w:r>
      <w:r w:rsidR="00394387">
        <w:rPr>
          <w:rFonts w:eastAsia="Times New Roman"/>
          <w:lang w:eastAsia="sv-SE"/>
        </w:rPr>
        <w:t>de</w:t>
      </w:r>
      <w:r w:rsidRPr="00FC2616">
        <w:rPr>
          <w:rFonts w:eastAsia="Times New Roman"/>
          <w:lang w:eastAsia="sv-SE"/>
        </w:rPr>
        <w:t xml:space="preserve"> bor. Folkbildningsanslaget har ingen lön</w:t>
      </w:r>
      <w:r w:rsidR="000D6BB1">
        <w:rPr>
          <w:rFonts w:eastAsia="Times New Roman"/>
          <w:lang w:eastAsia="sv-SE"/>
        </w:rPr>
        <w:t>e</w:t>
      </w:r>
      <w:r w:rsidRPr="00FC2616">
        <w:rPr>
          <w:rFonts w:eastAsia="Times New Roman"/>
          <w:lang w:eastAsia="sv-SE"/>
        </w:rPr>
        <w:t xml:space="preserve">- och prisuppräkning och har därför urholkats över tid. Vi ser därför ett behov av att öka stödet till folkbildningen. Vi satsar 160 miljoner kronor för 2023 och ökar sedan stödet till 200 miljoner kronor för 2024 och 250 miljoner kronor för 2025. </w:t>
      </w:r>
    </w:p>
    <w:p w:rsidRPr="00FC2616" w:rsidR="00ED42C8" w:rsidP="00ED42C8" w:rsidRDefault="00802E3A" w14:paraId="4D3CD0F6" w14:textId="1FD62CB6">
      <w:pPr>
        <w:rPr>
          <w:rFonts w:eastAsia="Times New Roman"/>
          <w:lang w:eastAsia="sv-SE"/>
        </w:rPr>
      </w:pPr>
      <w:r w:rsidRPr="00FC2616">
        <w:rPr>
          <w:rFonts w:eastAsia="Times New Roman"/>
          <w:lang w:eastAsia="sv-SE"/>
        </w:rPr>
        <w:t>Under coronapandemin satsades det på 4</w:t>
      </w:r>
      <w:r w:rsidRPr="00FC2616" w:rsidR="00523FDC">
        <w:rPr>
          <w:rFonts w:eastAsia="Times New Roman"/>
          <w:lang w:eastAsia="sv-SE"/>
        </w:rPr>
        <w:t> </w:t>
      </w:r>
      <w:r w:rsidRPr="00FC2616">
        <w:rPr>
          <w:rFonts w:eastAsia="Times New Roman"/>
          <w:lang w:eastAsia="sv-SE"/>
        </w:rPr>
        <w:t>000 extra platser på folkhögskolorna. Arbetslösheten är fortsatt hög och folkhögskol</w:t>
      </w:r>
      <w:r w:rsidR="0006595D">
        <w:rPr>
          <w:rFonts w:eastAsia="Times New Roman"/>
          <w:lang w:eastAsia="sv-SE"/>
        </w:rPr>
        <w:t>or</w:t>
      </w:r>
      <w:r w:rsidRPr="00FC2616">
        <w:rPr>
          <w:rFonts w:eastAsia="Times New Roman"/>
          <w:lang w:eastAsia="sv-SE"/>
        </w:rPr>
        <w:t>n</w:t>
      </w:r>
      <w:r w:rsidR="0006595D">
        <w:rPr>
          <w:rFonts w:eastAsia="Times New Roman"/>
          <w:lang w:eastAsia="sv-SE"/>
        </w:rPr>
        <w:t>a</w:t>
      </w:r>
      <w:r w:rsidRPr="00FC2616">
        <w:rPr>
          <w:rFonts w:eastAsia="Times New Roman"/>
          <w:lang w:eastAsia="sv-SE"/>
        </w:rPr>
        <w:t xml:space="preserve"> är duktiga på att nå de med kort utbildning som står långt </w:t>
      </w:r>
      <w:r w:rsidR="0006595D">
        <w:rPr>
          <w:rFonts w:eastAsia="Times New Roman"/>
          <w:lang w:eastAsia="sv-SE"/>
        </w:rPr>
        <w:t>i</w:t>
      </w:r>
      <w:r w:rsidRPr="00FC2616">
        <w:rPr>
          <w:rFonts w:eastAsia="Times New Roman"/>
          <w:lang w:eastAsia="sv-SE"/>
        </w:rPr>
        <w:t xml:space="preserve">från arbetsmarknaden. Vänsterpartiet föreslår en nedtrappning av satsningen samtidigt som vi räknar upp själva ersättningsnivån per plats. Det stärker ekonomin långsiktigt på folkhögskolorna och ger fokus på utveckling av verksamheten, bättre villkor för pedagogerna och förbättrade studieresultat, inte bara volymökningar. Vänsterpartiet avsätter 400 miljoner kronor 2023 för att sedan trappa ned stödet till 350 miljoner kronor 2024 och 300 miljoner kronor 2025. </w:t>
      </w:r>
    </w:p>
    <w:p w:rsidRPr="00FC2616" w:rsidR="00802E3A" w:rsidP="00ED42C8" w:rsidRDefault="00802E3A" w14:paraId="772D32F1" w14:textId="55E6A0F4">
      <w:pPr>
        <w:rPr>
          <w:rFonts w:eastAsia="Times New Roman"/>
          <w:lang w:eastAsia="sv-SE"/>
        </w:rPr>
      </w:pPr>
      <w:r w:rsidRPr="00FC2616">
        <w:rPr>
          <w:rFonts w:eastAsia="Times New Roman"/>
          <w:lang w:eastAsia="sv-SE"/>
        </w:rPr>
        <w:t xml:space="preserve">De asylsökande och flyktingar från Ukraina som inte </w:t>
      </w:r>
      <w:r w:rsidR="002172F4">
        <w:rPr>
          <w:rFonts w:eastAsia="Times New Roman"/>
          <w:lang w:eastAsia="sv-SE"/>
        </w:rPr>
        <w:t xml:space="preserve">har </w:t>
      </w:r>
      <w:r w:rsidRPr="00FC2616">
        <w:rPr>
          <w:rFonts w:eastAsia="Times New Roman"/>
          <w:lang w:eastAsia="sv-SE"/>
        </w:rPr>
        <w:t xml:space="preserve">haft rätt att läsa </w:t>
      </w:r>
      <w:proofErr w:type="spellStart"/>
      <w:r w:rsidR="002172F4">
        <w:rPr>
          <w:rFonts w:eastAsia="Times New Roman"/>
          <w:lang w:eastAsia="sv-SE"/>
        </w:rPr>
        <w:t>sfi</w:t>
      </w:r>
      <w:proofErr w:type="spellEnd"/>
      <w:r w:rsidR="002172F4">
        <w:rPr>
          <w:rFonts w:eastAsia="Times New Roman"/>
          <w:lang w:eastAsia="sv-SE"/>
        </w:rPr>
        <w:t xml:space="preserve"> </w:t>
      </w:r>
      <w:r w:rsidRPr="00FC2616">
        <w:rPr>
          <w:rFonts w:eastAsia="Times New Roman"/>
          <w:lang w:eastAsia="sv-SE"/>
        </w:rPr>
        <w:t>har erbjudits insatser</w:t>
      </w:r>
      <w:r w:rsidR="002172F4">
        <w:rPr>
          <w:rFonts w:eastAsia="Times New Roman"/>
          <w:lang w:eastAsia="sv-SE"/>
        </w:rPr>
        <w:t>na</w:t>
      </w:r>
      <w:r w:rsidRPr="00FC2616">
        <w:rPr>
          <w:rFonts w:eastAsia="Times New Roman"/>
          <w:lang w:eastAsia="sv-SE"/>
        </w:rPr>
        <w:t xml:space="preserve"> Svenska från dag ett och Vardagssvenska genom studieförbunden. Studieförbunden bedömer att det här är grupper som fortsatt behöver mycket stöd och kriget i Ukraina kan pågå under lång tid. Under det här anslaget finns också riktade medel för föräldralediga nyanlända och personer </w:t>
      </w:r>
      <w:r w:rsidR="00A35656">
        <w:rPr>
          <w:rFonts w:eastAsia="Times New Roman"/>
          <w:lang w:eastAsia="sv-SE"/>
        </w:rPr>
        <w:t xml:space="preserve">som står </w:t>
      </w:r>
      <w:r w:rsidRPr="00FC2616">
        <w:rPr>
          <w:rFonts w:eastAsia="Times New Roman"/>
          <w:lang w:eastAsia="sv-SE"/>
        </w:rPr>
        <w:t xml:space="preserve">långt </w:t>
      </w:r>
      <w:r w:rsidR="00A35656">
        <w:rPr>
          <w:rFonts w:eastAsia="Times New Roman"/>
          <w:lang w:eastAsia="sv-SE"/>
        </w:rPr>
        <w:t>i</w:t>
      </w:r>
      <w:r w:rsidRPr="00FC2616">
        <w:rPr>
          <w:rFonts w:eastAsia="Times New Roman"/>
          <w:lang w:eastAsia="sv-SE"/>
        </w:rPr>
        <w:t>från arbetsmarknaden. Vänsterpartiet avsätter 120 miljoner kronor 2023 samt 150 miljoner kronor 2024 och 60</w:t>
      </w:r>
      <w:r w:rsidR="00F50F06">
        <w:rPr>
          <w:rFonts w:eastAsia="Times New Roman"/>
          <w:lang w:eastAsia="sv-SE"/>
        </w:rPr>
        <w:t> </w:t>
      </w:r>
      <w:r w:rsidRPr="00FC2616">
        <w:rPr>
          <w:rFonts w:eastAsia="Times New Roman"/>
          <w:lang w:eastAsia="sv-SE"/>
        </w:rPr>
        <w:t xml:space="preserve">miljoner kronor 2025. </w:t>
      </w:r>
    </w:p>
    <w:p w:rsidRPr="004533EF" w:rsidR="00802E3A" w:rsidP="00BD6874" w:rsidRDefault="00802E3A" w14:paraId="04F4C605" w14:textId="662B2E57">
      <w:pPr>
        <w:pStyle w:val="Normalutanindragellerluft"/>
        <w:keepNext/>
        <w:spacing w:before="240"/>
        <w:rPr>
          <w:rFonts w:eastAsia="Times New Roman"/>
          <w:b/>
          <w:bCs/>
          <w:lang w:eastAsia="sv-SE"/>
        </w:rPr>
      </w:pPr>
      <w:r w:rsidRPr="004533EF">
        <w:rPr>
          <w:rFonts w:eastAsia="Times New Roman"/>
          <w:b/>
          <w:bCs/>
          <w:lang w:eastAsia="sv-SE"/>
        </w:rPr>
        <w:lastRenderedPageBreak/>
        <w:t>Vänsterpartiets förslag:</w:t>
      </w:r>
    </w:p>
    <w:p w:rsidRPr="00FC2616" w:rsidR="00802E3A" w:rsidP="001A758E" w:rsidRDefault="00802E3A" w14:paraId="3F55FD75" w14:textId="5DCB1D29">
      <w:pPr>
        <w:pStyle w:val="ListaPunkt"/>
        <w:ind w:left="340" w:hanging="340"/>
        <w:rPr>
          <w:rFonts w:eastAsia="Times New Roman"/>
          <w:lang w:eastAsia="sv-SE"/>
        </w:rPr>
      </w:pPr>
      <w:r w:rsidRPr="00FC2616">
        <w:rPr>
          <w:rFonts w:eastAsia="Times New Roman"/>
          <w:lang w:eastAsia="sv-SE"/>
        </w:rPr>
        <w:t xml:space="preserve">Stärk folkbildningen med 680 miljoner kronor 2023 samt 700 miljoner kronor 2024 och 610 miljoner kronor 2025. </w:t>
      </w:r>
    </w:p>
    <w:p w:rsidRPr="00FC2616" w:rsidR="006E7F07" w:rsidP="00315356" w:rsidRDefault="006E7F07" w14:paraId="4397D2C1" w14:textId="6A34578D">
      <w:pPr>
        <w:pStyle w:val="Rubrik2numrerat"/>
      </w:pPr>
      <w:bookmarkStart w:name="_Toc149814576" w:id="175"/>
      <w:r w:rsidRPr="00FC2616">
        <w:t>Kulturskolor för alla barn</w:t>
      </w:r>
      <w:bookmarkEnd w:id="175"/>
    </w:p>
    <w:p w:rsidRPr="00FC2616" w:rsidR="006E7F07" w:rsidP="006E7F07" w:rsidRDefault="006E7F07" w14:paraId="327D1858" w14:textId="2B71D064">
      <w:pPr>
        <w:pStyle w:val="Normalutanindragellerluft"/>
        <w:rPr>
          <w:rFonts w:eastAsia="Times New Roman"/>
          <w:lang w:eastAsia="sv-SE"/>
        </w:rPr>
      </w:pPr>
      <w:r w:rsidRPr="00FC2616">
        <w:rPr>
          <w:rFonts w:eastAsia="Times New Roman"/>
          <w:lang w:eastAsia="sv-SE"/>
        </w:rPr>
        <w:t xml:space="preserve">Det är samhällets ansvar att ge alla barn och unga i landet lika goda möjligheter att bygga vidare på den första upptäckar- och skaparglädjen och på lusten att söka kunskap och lära sig nya saker, vidga sin värld och få </w:t>
      </w:r>
      <w:r w:rsidR="0062542F">
        <w:rPr>
          <w:rFonts w:eastAsia="Times New Roman"/>
          <w:lang w:eastAsia="sv-SE"/>
        </w:rPr>
        <w:t xml:space="preserve">ta </w:t>
      </w:r>
      <w:r w:rsidRPr="00FC2616">
        <w:rPr>
          <w:rFonts w:eastAsia="Times New Roman"/>
          <w:lang w:eastAsia="sv-SE"/>
        </w:rPr>
        <w:t xml:space="preserve">del </w:t>
      </w:r>
      <w:r w:rsidR="0062542F">
        <w:rPr>
          <w:rFonts w:eastAsia="Times New Roman"/>
          <w:lang w:eastAsia="sv-SE"/>
        </w:rPr>
        <w:t>av</w:t>
      </w:r>
      <w:r w:rsidRPr="00FC2616">
        <w:rPr>
          <w:rFonts w:eastAsia="Times New Roman"/>
          <w:lang w:eastAsia="sv-SE"/>
        </w:rPr>
        <w:t xml:space="preserve"> nya sammanhang. Kulturskolan är landets största barn- och ungdomskulturverksamhet och spelar en viktig roll för barns och ungas möjlighet att själva utöva kultur. Barn som ges möjlighet att utöva kultur får </w:t>
      </w:r>
      <w:r w:rsidR="00965C52">
        <w:rPr>
          <w:rFonts w:eastAsia="Times New Roman"/>
          <w:lang w:eastAsia="sv-SE"/>
        </w:rPr>
        <w:t xml:space="preserve">ett </w:t>
      </w:r>
      <w:r w:rsidRPr="00FC2616">
        <w:rPr>
          <w:rFonts w:eastAsia="Times New Roman"/>
          <w:lang w:eastAsia="sv-SE"/>
        </w:rPr>
        <w:t xml:space="preserve">ökat självförtroende, stärker sin problemlösande förmåga och blir bättre på socialt samspel. Drama, dans, bildkonst, film, musik och andra kulturyttringar är viktiga för att stärka barns möjligheter att uttrycka sig med mer än </w:t>
      </w:r>
      <w:r w:rsidRPr="00FC2616" w:rsidR="00C14EC1">
        <w:rPr>
          <w:rFonts w:eastAsia="Times New Roman"/>
          <w:lang w:eastAsia="sv-SE"/>
        </w:rPr>
        <w:t xml:space="preserve">det talade </w:t>
      </w:r>
      <w:r w:rsidRPr="00FC2616">
        <w:rPr>
          <w:rFonts w:eastAsia="Times New Roman"/>
          <w:lang w:eastAsia="sv-SE"/>
        </w:rPr>
        <w:t xml:space="preserve">språket. Dock kan avgiften till </w:t>
      </w:r>
      <w:r w:rsidR="00B95D46">
        <w:rPr>
          <w:rFonts w:eastAsia="Times New Roman"/>
          <w:lang w:eastAsia="sv-SE"/>
        </w:rPr>
        <w:t>K</w:t>
      </w:r>
      <w:r w:rsidRPr="00FC2616">
        <w:rPr>
          <w:rFonts w:eastAsia="Times New Roman"/>
          <w:lang w:eastAsia="sv-SE"/>
        </w:rPr>
        <w:t xml:space="preserve">ulturskolan vara ett stort problem som utestänger många. Vänsterpartiet föreslår därför en satsning på 300 miljoner kronor per år för att påbörja arbetet med att göra </w:t>
      </w:r>
      <w:r w:rsidR="00C90F24">
        <w:rPr>
          <w:rFonts w:eastAsia="Times New Roman"/>
          <w:lang w:eastAsia="sv-SE"/>
        </w:rPr>
        <w:t>K</w:t>
      </w:r>
      <w:r w:rsidRPr="00FC2616">
        <w:rPr>
          <w:rFonts w:eastAsia="Times New Roman"/>
          <w:lang w:eastAsia="sv-SE"/>
        </w:rPr>
        <w:t>ulturskolan avgiftsfri.</w:t>
      </w:r>
    </w:p>
    <w:p w:rsidRPr="00FC2616" w:rsidR="006E7F07" w:rsidP="006E7F07" w:rsidRDefault="006E7F07" w14:paraId="0E944214" w14:textId="018D7EEE">
      <w:pPr>
        <w:rPr>
          <w:rFonts w:eastAsia="Times New Roman"/>
          <w:lang w:eastAsia="sv-SE"/>
        </w:rPr>
      </w:pPr>
      <w:r w:rsidRPr="00FC2616">
        <w:rPr>
          <w:rFonts w:eastAsia="Times New Roman"/>
          <w:lang w:eastAsia="sv-SE"/>
        </w:rPr>
        <w:t xml:space="preserve">Regeringen slopar i sin budget det utvecklingsstöd för kulturskolor som Vänsterpartiet var med och införde 2018. </w:t>
      </w:r>
      <w:r w:rsidRPr="00FC2616" w:rsidR="00C14EC1">
        <w:rPr>
          <w:rFonts w:eastAsia="Times New Roman"/>
          <w:lang w:eastAsia="sv-SE"/>
        </w:rPr>
        <w:t xml:space="preserve">Stödet halveras för 2023 och försvinner därefter helt. </w:t>
      </w:r>
      <w:r w:rsidRPr="00FC2616">
        <w:rPr>
          <w:rFonts w:eastAsia="Times New Roman"/>
          <w:lang w:eastAsia="sv-SE"/>
        </w:rPr>
        <w:t>Vi föreslår i</w:t>
      </w:r>
      <w:r w:rsidRPr="00FC2616" w:rsidR="00523FDC">
        <w:rPr>
          <w:rFonts w:eastAsia="Times New Roman"/>
          <w:lang w:eastAsia="sv-SE"/>
        </w:rPr>
        <w:t xml:space="preserve"> </w:t>
      </w:r>
      <w:r w:rsidRPr="00FC2616">
        <w:rPr>
          <w:rFonts w:eastAsia="Times New Roman"/>
          <w:lang w:eastAsia="sv-SE"/>
        </w:rPr>
        <w:t xml:space="preserve">stället att det permanentas som ett nationellt stöd för utvecklingsinsatser för att öka tillgängligheten. Stödet ska vara sökbart för kommunerna. </w:t>
      </w:r>
    </w:p>
    <w:p w:rsidRPr="004533EF" w:rsidR="006E7F07" w:rsidP="004533EF" w:rsidRDefault="006E7F07" w14:paraId="68B7BA3A" w14:textId="77777777">
      <w:pPr>
        <w:pStyle w:val="Normalutanindragellerluft"/>
        <w:spacing w:before="240"/>
        <w:rPr>
          <w:rFonts w:eastAsia="Times New Roman"/>
          <w:b/>
          <w:bCs/>
          <w:lang w:eastAsia="sv-SE"/>
        </w:rPr>
      </w:pPr>
      <w:r w:rsidRPr="004533EF">
        <w:rPr>
          <w:rFonts w:eastAsia="Times New Roman"/>
          <w:b/>
          <w:bCs/>
          <w:lang w:eastAsia="sv-SE"/>
        </w:rPr>
        <w:t>Vänsterpartiets förslag:</w:t>
      </w:r>
    </w:p>
    <w:p w:rsidRPr="00FC2616" w:rsidR="006E7F07" w:rsidP="001A758E" w:rsidRDefault="006E7F07" w14:paraId="3826DA97" w14:textId="537D8847">
      <w:pPr>
        <w:pStyle w:val="ListaPunkt"/>
        <w:ind w:left="340" w:hanging="340"/>
        <w:rPr>
          <w:rFonts w:eastAsia="Times New Roman"/>
          <w:lang w:eastAsia="sv-SE"/>
        </w:rPr>
      </w:pPr>
      <w:r w:rsidRPr="00FC2616">
        <w:rPr>
          <w:rFonts w:eastAsia="Times New Roman"/>
          <w:lang w:eastAsia="sv-SE"/>
        </w:rPr>
        <w:t xml:space="preserve">Avsätt medel för att utveckla landets kulturskolor och påbörja arbetet med att göra dem avgiftsfria: 300 miljoner kronor 2023 och sedan 400 miljoner kronor 2024 respektive 2025. </w:t>
      </w:r>
    </w:p>
    <w:p w:rsidRPr="00FC2616" w:rsidR="00851BFC" w:rsidP="00A32D63" w:rsidRDefault="00851BFC" w14:paraId="6DF4D0FE" w14:textId="1B67584D">
      <w:pPr>
        <w:pStyle w:val="Rubrik2numrerat"/>
        <w:rPr>
          <w:rFonts w:eastAsia="Times New Roman"/>
          <w:lang w:eastAsia="sv-SE"/>
        </w:rPr>
      </w:pPr>
      <w:bookmarkStart w:name="_Toc111542867" w:id="176"/>
      <w:bookmarkStart w:name="_Toc112409806" w:id="177"/>
      <w:bookmarkStart w:name="_Toc115271220" w:id="178"/>
      <w:bookmarkStart w:name="_Toc149814577" w:id="179"/>
      <w:bookmarkEnd w:id="172"/>
      <w:r w:rsidRPr="00FC2616">
        <w:rPr>
          <w:rFonts w:eastAsia="Times New Roman"/>
          <w:lang w:eastAsia="sv-SE"/>
        </w:rPr>
        <w:t>Reformtabell</w:t>
      </w:r>
      <w:bookmarkEnd w:id="176"/>
      <w:bookmarkEnd w:id="177"/>
      <w:bookmarkEnd w:id="178"/>
      <w:bookmarkEnd w:id="179"/>
    </w:p>
    <w:p w:rsidRPr="001A758E" w:rsidR="00851BFC" w:rsidP="001A758E" w:rsidRDefault="00851BFC" w14:paraId="6402A56B" w14:textId="74625094">
      <w:pPr>
        <w:pStyle w:val="Tabellrubrik"/>
      </w:pPr>
      <w:r w:rsidRPr="001A758E">
        <w:t xml:space="preserve">Tabell </w:t>
      </w:r>
      <w:r w:rsidRPr="001A758E" w:rsidR="0008121C">
        <w:t>6</w:t>
      </w:r>
      <w:r w:rsidRPr="001A758E">
        <w:t xml:space="preserve"> Reformtabell En kunskapsnation i världsklass (miljarder kronor)</w:t>
      </w:r>
    </w:p>
    <w:tbl>
      <w:tblPr>
        <w:tblW w:w="8505" w:type="dxa"/>
        <w:tblLayout w:type="fixed"/>
        <w:tblCellMar>
          <w:left w:w="28" w:type="dxa"/>
          <w:right w:w="28" w:type="dxa"/>
        </w:tblCellMar>
        <w:tblLook w:val="04A0" w:firstRow="1" w:lastRow="0" w:firstColumn="1" w:lastColumn="0" w:noHBand="0" w:noVBand="1"/>
      </w:tblPr>
      <w:tblGrid>
        <w:gridCol w:w="5387"/>
        <w:gridCol w:w="1039"/>
        <w:gridCol w:w="1039"/>
        <w:gridCol w:w="1040"/>
      </w:tblGrid>
      <w:tr w:rsidRPr="001A758E" w:rsidR="00851BFC" w:rsidTr="00495495" w14:paraId="2D99A143" w14:textId="77777777">
        <w:trPr>
          <w:trHeight w:val="300"/>
        </w:trPr>
        <w:tc>
          <w:tcPr>
            <w:tcW w:w="5387" w:type="dxa"/>
            <w:tcBorders>
              <w:top w:val="single" w:color="auto" w:sz="4" w:space="0"/>
              <w:left w:val="nil"/>
              <w:bottom w:val="single" w:color="auto" w:sz="4" w:space="0"/>
              <w:right w:val="nil"/>
            </w:tcBorders>
            <w:shd w:val="clear" w:color="auto" w:fill="auto"/>
            <w:noWrap/>
            <w:vAlign w:val="bottom"/>
          </w:tcPr>
          <w:p w:rsidRPr="001A758E" w:rsidR="00851BFC" w:rsidP="00851BFC" w:rsidRDefault="00851BFC" w14:paraId="5490F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p>
        </w:tc>
        <w:tc>
          <w:tcPr>
            <w:tcW w:w="1039" w:type="dxa"/>
            <w:tcBorders>
              <w:top w:val="single" w:color="auto" w:sz="4" w:space="0"/>
              <w:left w:val="nil"/>
              <w:bottom w:val="single" w:color="auto" w:sz="4" w:space="0"/>
              <w:right w:val="nil"/>
            </w:tcBorders>
            <w:shd w:val="clear" w:color="auto" w:fill="auto"/>
            <w:noWrap/>
            <w:vAlign w:val="bottom"/>
          </w:tcPr>
          <w:p w:rsidRPr="001A758E" w:rsidR="00851BFC" w:rsidP="00851BFC" w:rsidRDefault="00851BFC" w14:paraId="578ECB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sz w:val="20"/>
                <w:szCs w:val="20"/>
                <w:lang w:eastAsia="sv-SE"/>
              </w:rPr>
            </w:pPr>
            <w:r w:rsidRPr="001A758E">
              <w:rPr>
                <w:rFonts w:eastAsia="Times New Roman" w:cstheme="minorHAnsi"/>
                <w:b/>
                <w:bCs/>
                <w:kern w:val="0"/>
                <w:sz w:val="20"/>
                <w:szCs w:val="20"/>
                <w:lang w:eastAsia="sv-SE"/>
                <w14:numSpacing w14:val="default"/>
              </w:rPr>
              <w:t>2023</w:t>
            </w:r>
          </w:p>
        </w:tc>
        <w:tc>
          <w:tcPr>
            <w:tcW w:w="1039" w:type="dxa"/>
            <w:tcBorders>
              <w:top w:val="single" w:color="auto" w:sz="4" w:space="0"/>
              <w:left w:val="nil"/>
              <w:bottom w:val="single" w:color="auto" w:sz="4" w:space="0"/>
              <w:right w:val="nil"/>
            </w:tcBorders>
            <w:shd w:val="clear" w:color="auto" w:fill="auto"/>
            <w:noWrap/>
            <w:vAlign w:val="bottom"/>
          </w:tcPr>
          <w:p w:rsidRPr="001A758E" w:rsidR="00851BFC" w:rsidP="00851BFC" w:rsidRDefault="00851BFC" w14:paraId="1C1AC5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sz w:val="20"/>
                <w:szCs w:val="20"/>
                <w:lang w:eastAsia="sv-SE"/>
              </w:rPr>
            </w:pPr>
            <w:r w:rsidRPr="001A758E">
              <w:rPr>
                <w:rFonts w:eastAsia="Times New Roman" w:cstheme="minorHAnsi"/>
                <w:b/>
                <w:bCs/>
                <w:kern w:val="0"/>
                <w:sz w:val="20"/>
                <w:szCs w:val="20"/>
                <w:lang w:eastAsia="sv-SE"/>
                <w14:numSpacing w14:val="default"/>
              </w:rPr>
              <w:t>2024</w:t>
            </w:r>
          </w:p>
        </w:tc>
        <w:tc>
          <w:tcPr>
            <w:tcW w:w="1040" w:type="dxa"/>
            <w:tcBorders>
              <w:top w:val="single" w:color="auto" w:sz="4" w:space="0"/>
              <w:left w:val="nil"/>
              <w:bottom w:val="single" w:color="auto" w:sz="4" w:space="0"/>
              <w:right w:val="nil"/>
            </w:tcBorders>
            <w:shd w:val="clear" w:color="auto" w:fill="auto"/>
            <w:noWrap/>
            <w:vAlign w:val="bottom"/>
          </w:tcPr>
          <w:p w:rsidRPr="001A758E" w:rsidR="00851BFC" w:rsidP="00851BFC" w:rsidRDefault="00851BFC" w14:paraId="4A0E3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sz w:val="20"/>
                <w:szCs w:val="20"/>
                <w:lang w:eastAsia="sv-SE"/>
              </w:rPr>
            </w:pPr>
            <w:r w:rsidRPr="001A758E">
              <w:rPr>
                <w:rFonts w:eastAsia="Times New Roman" w:cstheme="minorHAnsi"/>
                <w:b/>
                <w:bCs/>
                <w:kern w:val="0"/>
                <w:sz w:val="20"/>
                <w:szCs w:val="20"/>
                <w:lang w:eastAsia="sv-SE"/>
                <w14:numSpacing w14:val="default"/>
              </w:rPr>
              <w:t>2025</w:t>
            </w:r>
          </w:p>
        </w:tc>
      </w:tr>
      <w:tr w:rsidRPr="001A758E" w:rsidR="00851BFC" w:rsidTr="00495495" w14:paraId="0A811B56" w14:textId="77777777">
        <w:trPr>
          <w:trHeight w:val="300"/>
        </w:trPr>
        <w:tc>
          <w:tcPr>
            <w:tcW w:w="5387" w:type="dxa"/>
            <w:tcBorders>
              <w:top w:val="single" w:color="auto" w:sz="4" w:space="0"/>
              <w:left w:val="nil"/>
              <w:bottom w:val="nil"/>
              <w:right w:val="nil"/>
            </w:tcBorders>
            <w:shd w:val="clear" w:color="auto" w:fill="auto"/>
            <w:noWrap/>
            <w:vAlign w:val="bottom"/>
            <w:hideMark/>
          </w:tcPr>
          <w:p w:rsidRPr="001A758E" w:rsidR="00851BFC" w:rsidP="00851BFC" w:rsidRDefault="00851BFC" w14:paraId="79CC5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 xml:space="preserve">Inför fribelopp i </w:t>
            </w:r>
            <w:proofErr w:type="spellStart"/>
            <w:r w:rsidRPr="001A758E">
              <w:rPr>
                <w:rFonts w:eastAsia="Times New Roman" w:cstheme="minorHAnsi"/>
                <w:kern w:val="0"/>
                <w:sz w:val="20"/>
                <w:szCs w:val="20"/>
                <w:lang w:eastAsia="sv-SE"/>
                <w14:numSpacing w14:val="default"/>
              </w:rPr>
              <w:t>förskoleavgiften</w:t>
            </w:r>
            <w:proofErr w:type="spellEnd"/>
          </w:p>
        </w:tc>
        <w:tc>
          <w:tcPr>
            <w:tcW w:w="1039" w:type="dxa"/>
            <w:tcBorders>
              <w:top w:val="single" w:color="auto" w:sz="4" w:space="0"/>
              <w:left w:val="nil"/>
              <w:bottom w:val="nil"/>
              <w:right w:val="nil"/>
            </w:tcBorders>
            <w:shd w:val="clear" w:color="auto" w:fill="auto"/>
            <w:noWrap/>
            <w:vAlign w:val="bottom"/>
            <w:hideMark/>
          </w:tcPr>
          <w:p w:rsidRPr="001A758E" w:rsidR="00851BFC" w:rsidP="00851BFC" w:rsidRDefault="00851BFC" w14:paraId="2E858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1,3</w:t>
            </w:r>
          </w:p>
        </w:tc>
        <w:tc>
          <w:tcPr>
            <w:tcW w:w="1039" w:type="dxa"/>
            <w:tcBorders>
              <w:top w:val="single" w:color="auto" w:sz="4" w:space="0"/>
              <w:left w:val="nil"/>
              <w:bottom w:val="nil"/>
              <w:right w:val="nil"/>
            </w:tcBorders>
            <w:shd w:val="clear" w:color="auto" w:fill="auto"/>
            <w:noWrap/>
            <w:vAlign w:val="bottom"/>
            <w:hideMark/>
          </w:tcPr>
          <w:p w:rsidRPr="001A758E" w:rsidR="00851BFC" w:rsidP="00851BFC" w:rsidRDefault="00851BFC" w14:paraId="5474BD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1,4</w:t>
            </w:r>
          </w:p>
        </w:tc>
        <w:tc>
          <w:tcPr>
            <w:tcW w:w="1040" w:type="dxa"/>
            <w:tcBorders>
              <w:top w:val="single" w:color="auto" w:sz="4" w:space="0"/>
              <w:left w:val="nil"/>
              <w:bottom w:val="nil"/>
              <w:right w:val="nil"/>
            </w:tcBorders>
            <w:shd w:val="clear" w:color="auto" w:fill="auto"/>
            <w:noWrap/>
            <w:vAlign w:val="bottom"/>
            <w:hideMark/>
          </w:tcPr>
          <w:p w:rsidRPr="001A758E" w:rsidR="00851BFC" w:rsidP="00851BFC" w:rsidRDefault="00851BFC" w14:paraId="1D996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1,4</w:t>
            </w:r>
          </w:p>
        </w:tc>
      </w:tr>
      <w:tr w:rsidRPr="001A758E" w:rsidR="00851BFC" w:rsidTr="00495495" w14:paraId="017F29A9" w14:textId="77777777">
        <w:trPr>
          <w:trHeight w:val="300"/>
        </w:trPr>
        <w:tc>
          <w:tcPr>
            <w:tcW w:w="5387" w:type="dxa"/>
            <w:tcBorders>
              <w:top w:val="nil"/>
              <w:left w:val="nil"/>
              <w:bottom w:val="nil"/>
              <w:right w:val="nil"/>
            </w:tcBorders>
            <w:shd w:val="clear" w:color="auto" w:fill="auto"/>
            <w:noWrap/>
            <w:vAlign w:val="bottom"/>
            <w:hideMark/>
          </w:tcPr>
          <w:p w:rsidRPr="001A758E" w:rsidR="00851BFC" w:rsidP="00851BFC" w:rsidRDefault="00851BFC" w14:paraId="160276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themeColor="text1"/>
                <w:sz w:val="20"/>
                <w:szCs w:val="20"/>
                <w:lang w:eastAsia="sv-SE"/>
              </w:rPr>
            </w:pPr>
            <w:r w:rsidRPr="001A758E">
              <w:rPr>
                <w:rFonts w:eastAsia="Times New Roman" w:cstheme="minorHAnsi"/>
                <w:color w:val="000000"/>
                <w:kern w:val="0"/>
                <w:sz w:val="20"/>
                <w:szCs w:val="20"/>
                <w:lang w:eastAsia="sv-SE"/>
                <w14:numSpacing w14:val="default"/>
              </w:rPr>
              <w:t>Ny kompensatorisk resursfördelningsmodell i förskolan</w:t>
            </w:r>
          </w:p>
        </w:tc>
        <w:tc>
          <w:tcPr>
            <w:tcW w:w="1039" w:type="dxa"/>
            <w:tcBorders>
              <w:top w:val="nil"/>
              <w:left w:val="nil"/>
              <w:bottom w:val="nil"/>
              <w:right w:val="nil"/>
            </w:tcBorders>
            <w:shd w:val="clear" w:color="auto" w:fill="auto"/>
            <w:noWrap/>
            <w:vAlign w:val="bottom"/>
            <w:hideMark/>
          </w:tcPr>
          <w:p w:rsidRPr="001A758E" w:rsidR="00851BFC" w:rsidP="00851BFC" w:rsidRDefault="00851BFC" w14:paraId="777D79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0,0</w:t>
            </w:r>
          </w:p>
        </w:tc>
        <w:tc>
          <w:tcPr>
            <w:tcW w:w="1039" w:type="dxa"/>
            <w:tcBorders>
              <w:top w:val="nil"/>
              <w:left w:val="nil"/>
              <w:bottom w:val="nil"/>
              <w:right w:val="nil"/>
            </w:tcBorders>
            <w:shd w:val="clear" w:color="auto" w:fill="auto"/>
            <w:noWrap/>
            <w:vAlign w:val="bottom"/>
            <w:hideMark/>
          </w:tcPr>
          <w:p w:rsidRPr="001A758E" w:rsidR="00851BFC" w:rsidP="00851BFC" w:rsidRDefault="00851BFC" w14:paraId="239A42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0,0</w:t>
            </w:r>
          </w:p>
        </w:tc>
        <w:tc>
          <w:tcPr>
            <w:tcW w:w="1040" w:type="dxa"/>
            <w:tcBorders>
              <w:top w:val="nil"/>
              <w:left w:val="nil"/>
              <w:bottom w:val="nil"/>
              <w:right w:val="nil"/>
            </w:tcBorders>
            <w:shd w:val="clear" w:color="auto" w:fill="auto"/>
            <w:noWrap/>
            <w:vAlign w:val="bottom"/>
            <w:hideMark/>
          </w:tcPr>
          <w:p w:rsidRPr="001A758E" w:rsidR="00851BFC" w:rsidP="00851BFC" w:rsidRDefault="00851BFC" w14:paraId="6FEDE4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2,0</w:t>
            </w:r>
          </w:p>
        </w:tc>
      </w:tr>
      <w:tr w:rsidRPr="001A758E" w:rsidR="00851BFC" w:rsidTr="00495495" w14:paraId="1A3DC9BF" w14:textId="77777777">
        <w:trPr>
          <w:trHeight w:val="300"/>
        </w:trPr>
        <w:tc>
          <w:tcPr>
            <w:tcW w:w="5387" w:type="dxa"/>
            <w:tcBorders>
              <w:top w:val="nil"/>
              <w:left w:val="nil"/>
              <w:bottom w:val="nil"/>
              <w:right w:val="nil"/>
            </w:tcBorders>
            <w:shd w:val="clear" w:color="auto" w:fill="auto"/>
            <w:noWrap/>
            <w:vAlign w:val="bottom"/>
            <w:hideMark/>
          </w:tcPr>
          <w:p w:rsidRPr="001A758E" w:rsidR="00851BFC" w:rsidP="00851BFC" w:rsidRDefault="00851BFC" w14:paraId="066DE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themeColor="text1"/>
                <w:sz w:val="20"/>
                <w:szCs w:val="20"/>
                <w:lang w:eastAsia="sv-SE"/>
              </w:rPr>
            </w:pPr>
            <w:r w:rsidRPr="001A758E">
              <w:rPr>
                <w:rFonts w:eastAsia="Times New Roman" w:cstheme="minorHAnsi"/>
                <w:color w:val="000000"/>
                <w:kern w:val="0"/>
                <w:sz w:val="20"/>
                <w:szCs w:val="20"/>
                <w:lang w:eastAsia="sv-SE"/>
                <w14:numSpacing w14:val="default"/>
              </w:rPr>
              <w:t>Ny kompensatorisk resursfördelningsmodell i grundskolan</w:t>
            </w:r>
          </w:p>
        </w:tc>
        <w:tc>
          <w:tcPr>
            <w:tcW w:w="1039" w:type="dxa"/>
            <w:tcBorders>
              <w:top w:val="nil"/>
              <w:left w:val="nil"/>
              <w:bottom w:val="nil"/>
              <w:right w:val="nil"/>
            </w:tcBorders>
            <w:shd w:val="clear" w:color="auto" w:fill="auto"/>
            <w:noWrap/>
            <w:vAlign w:val="bottom"/>
            <w:hideMark/>
          </w:tcPr>
          <w:p w:rsidRPr="001A758E" w:rsidR="00851BFC" w:rsidP="00851BFC" w:rsidRDefault="00851BFC" w14:paraId="419FB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0,0</w:t>
            </w:r>
          </w:p>
        </w:tc>
        <w:tc>
          <w:tcPr>
            <w:tcW w:w="1039" w:type="dxa"/>
            <w:tcBorders>
              <w:top w:val="nil"/>
              <w:left w:val="nil"/>
              <w:bottom w:val="nil"/>
              <w:right w:val="nil"/>
            </w:tcBorders>
            <w:shd w:val="clear" w:color="auto" w:fill="auto"/>
            <w:noWrap/>
            <w:vAlign w:val="bottom"/>
            <w:hideMark/>
          </w:tcPr>
          <w:p w:rsidRPr="001A758E" w:rsidR="00851BFC" w:rsidP="00851BFC" w:rsidRDefault="00851BFC" w14:paraId="2893C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0,0</w:t>
            </w:r>
          </w:p>
        </w:tc>
        <w:tc>
          <w:tcPr>
            <w:tcW w:w="1040" w:type="dxa"/>
            <w:tcBorders>
              <w:top w:val="nil"/>
              <w:left w:val="nil"/>
              <w:bottom w:val="nil"/>
              <w:right w:val="nil"/>
            </w:tcBorders>
            <w:shd w:val="clear" w:color="auto" w:fill="auto"/>
            <w:noWrap/>
            <w:vAlign w:val="bottom"/>
            <w:hideMark/>
          </w:tcPr>
          <w:p w:rsidRPr="001A758E" w:rsidR="00851BFC" w:rsidP="00851BFC" w:rsidRDefault="00851BFC" w14:paraId="4848C6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2,0</w:t>
            </w:r>
          </w:p>
        </w:tc>
      </w:tr>
      <w:tr w:rsidRPr="001A758E" w:rsidR="00851BFC" w:rsidTr="00495495" w14:paraId="774A3244" w14:textId="77777777">
        <w:trPr>
          <w:trHeight w:val="300"/>
        </w:trPr>
        <w:tc>
          <w:tcPr>
            <w:tcW w:w="5387" w:type="dxa"/>
            <w:tcBorders>
              <w:top w:val="nil"/>
              <w:left w:val="nil"/>
              <w:bottom w:val="nil"/>
              <w:right w:val="nil"/>
            </w:tcBorders>
            <w:shd w:val="clear" w:color="auto" w:fill="auto"/>
            <w:noWrap/>
            <w:vAlign w:val="bottom"/>
            <w:hideMark/>
          </w:tcPr>
          <w:p w:rsidRPr="001A758E" w:rsidR="00851BFC" w:rsidP="00851BFC" w:rsidRDefault="00851BFC" w14:paraId="4F716A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themeColor="text1"/>
                <w:sz w:val="20"/>
                <w:szCs w:val="20"/>
                <w:lang w:eastAsia="sv-SE"/>
              </w:rPr>
            </w:pPr>
            <w:r w:rsidRPr="001A758E">
              <w:rPr>
                <w:rFonts w:eastAsia="Times New Roman" w:cstheme="minorHAnsi"/>
                <w:color w:val="000000"/>
                <w:kern w:val="0"/>
                <w:sz w:val="20"/>
                <w:szCs w:val="20"/>
                <w:lang w:eastAsia="sv-SE"/>
                <w14:numSpacing w14:val="default"/>
              </w:rPr>
              <w:t xml:space="preserve">Ny kompensatorisk resursfördelningsmodell i gymnasieskolan </w:t>
            </w:r>
          </w:p>
        </w:tc>
        <w:tc>
          <w:tcPr>
            <w:tcW w:w="1039" w:type="dxa"/>
            <w:tcBorders>
              <w:top w:val="nil"/>
              <w:left w:val="nil"/>
              <w:bottom w:val="nil"/>
              <w:right w:val="nil"/>
            </w:tcBorders>
            <w:shd w:val="clear" w:color="auto" w:fill="auto"/>
            <w:noWrap/>
            <w:vAlign w:val="bottom"/>
            <w:hideMark/>
          </w:tcPr>
          <w:p w:rsidRPr="001A758E" w:rsidR="00851BFC" w:rsidP="00851BFC" w:rsidRDefault="00851BFC" w14:paraId="4D160A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0,0</w:t>
            </w:r>
          </w:p>
        </w:tc>
        <w:tc>
          <w:tcPr>
            <w:tcW w:w="1039" w:type="dxa"/>
            <w:tcBorders>
              <w:top w:val="nil"/>
              <w:left w:val="nil"/>
              <w:bottom w:val="nil"/>
              <w:right w:val="nil"/>
            </w:tcBorders>
            <w:shd w:val="clear" w:color="auto" w:fill="auto"/>
            <w:noWrap/>
            <w:vAlign w:val="bottom"/>
            <w:hideMark/>
          </w:tcPr>
          <w:p w:rsidRPr="001A758E" w:rsidR="00851BFC" w:rsidP="00851BFC" w:rsidRDefault="00851BFC" w14:paraId="619D8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0,0</w:t>
            </w:r>
          </w:p>
        </w:tc>
        <w:tc>
          <w:tcPr>
            <w:tcW w:w="1040" w:type="dxa"/>
            <w:tcBorders>
              <w:top w:val="nil"/>
              <w:left w:val="nil"/>
              <w:bottom w:val="nil"/>
              <w:right w:val="nil"/>
            </w:tcBorders>
            <w:shd w:val="clear" w:color="auto" w:fill="auto"/>
            <w:noWrap/>
            <w:vAlign w:val="bottom"/>
            <w:hideMark/>
          </w:tcPr>
          <w:p w:rsidRPr="001A758E" w:rsidR="00851BFC" w:rsidP="00851BFC" w:rsidRDefault="00851BFC" w14:paraId="73023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1,0</w:t>
            </w:r>
          </w:p>
        </w:tc>
      </w:tr>
      <w:tr w:rsidRPr="001A758E" w:rsidR="00851BFC" w:rsidTr="00495495" w14:paraId="0883172E" w14:textId="77777777">
        <w:trPr>
          <w:trHeight w:val="300"/>
        </w:trPr>
        <w:tc>
          <w:tcPr>
            <w:tcW w:w="5387" w:type="dxa"/>
            <w:tcBorders>
              <w:top w:val="nil"/>
              <w:left w:val="nil"/>
              <w:bottom w:val="nil"/>
              <w:right w:val="nil"/>
            </w:tcBorders>
            <w:shd w:val="clear" w:color="auto" w:fill="auto"/>
            <w:noWrap/>
            <w:vAlign w:val="bottom"/>
          </w:tcPr>
          <w:p w:rsidRPr="001A758E" w:rsidR="00851BFC" w:rsidP="00851BFC" w:rsidRDefault="00851BFC" w14:paraId="74775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Inför fribelopp i fritidshemsavgiften</w:t>
            </w:r>
          </w:p>
        </w:tc>
        <w:tc>
          <w:tcPr>
            <w:tcW w:w="1039" w:type="dxa"/>
            <w:tcBorders>
              <w:top w:val="nil"/>
              <w:left w:val="nil"/>
              <w:bottom w:val="nil"/>
              <w:right w:val="nil"/>
            </w:tcBorders>
            <w:shd w:val="clear" w:color="auto" w:fill="auto"/>
            <w:noWrap/>
            <w:vAlign w:val="bottom"/>
          </w:tcPr>
          <w:p w:rsidRPr="001A758E" w:rsidR="00851BFC" w:rsidP="00851BFC" w:rsidRDefault="00851BFC" w14:paraId="20C4F5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sz w:val="20"/>
                <w:szCs w:val="20"/>
                <w:lang w:eastAsia="sv-SE"/>
              </w:rPr>
            </w:pPr>
            <w:r w:rsidRPr="001A758E">
              <w:rPr>
                <w:rFonts w:eastAsia="Times New Roman" w:cstheme="minorHAnsi"/>
                <w:kern w:val="0"/>
                <w:sz w:val="20"/>
                <w:szCs w:val="20"/>
                <w:lang w:eastAsia="sv-SE"/>
                <w14:numSpacing w14:val="default"/>
              </w:rPr>
              <w:t>0,6</w:t>
            </w:r>
          </w:p>
        </w:tc>
        <w:tc>
          <w:tcPr>
            <w:tcW w:w="1039" w:type="dxa"/>
            <w:tcBorders>
              <w:top w:val="nil"/>
              <w:left w:val="nil"/>
              <w:bottom w:val="nil"/>
              <w:right w:val="nil"/>
            </w:tcBorders>
            <w:shd w:val="clear" w:color="auto" w:fill="auto"/>
            <w:noWrap/>
            <w:vAlign w:val="bottom"/>
          </w:tcPr>
          <w:p w:rsidRPr="001A758E" w:rsidR="00851BFC" w:rsidP="00851BFC" w:rsidRDefault="00851BFC" w14:paraId="3EFE2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sz w:val="20"/>
                <w:szCs w:val="20"/>
                <w:lang w:eastAsia="sv-SE"/>
              </w:rPr>
            </w:pPr>
            <w:r w:rsidRPr="001A758E">
              <w:rPr>
                <w:rFonts w:eastAsia="Times New Roman" w:cstheme="minorHAnsi"/>
                <w:kern w:val="0"/>
                <w:sz w:val="20"/>
                <w:szCs w:val="20"/>
                <w:lang w:eastAsia="sv-SE"/>
                <w14:numSpacing w14:val="default"/>
              </w:rPr>
              <w:t>0,7</w:t>
            </w:r>
          </w:p>
        </w:tc>
        <w:tc>
          <w:tcPr>
            <w:tcW w:w="1040" w:type="dxa"/>
            <w:tcBorders>
              <w:top w:val="nil"/>
              <w:left w:val="nil"/>
              <w:bottom w:val="nil"/>
              <w:right w:val="nil"/>
            </w:tcBorders>
            <w:shd w:val="clear" w:color="auto" w:fill="auto"/>
            <w:noWrap/>
            <w:vAlign w:val="bottom"/>
          </w:tcPr>
          <w:p w:rsidRPr="001A758E" w:rsidR="00851BFC" w:rsidP="00851BFC" w:rsidRDefault="00851BFC" w14:paraId="38335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sz w:val="20"/>
                <w:szCs w:val="20"/>
                <w:lang w:eastAsia="sv-SE"/>
              </w:rPr>
            </w:pPr>
            <w:r w:rsidRPr="001A758E">
              <w:rPr>
                <w:rFonts w:eastAsia="Times New Roman" w:cstheme="minorHAnsi"/>
                <w:kern w:val="0"/>
                <w:sz w:val="20"/>
                <w:szCs w:val="20"/>
                <w:lang w:eastAsia="sv-SE"/>
                <w14:numSpacing w14:val="default"/>
              </w:rPr>
              <w:t>0,7</w:t>
            </w:r>
          </w:p>
        </w:tc>
      </w:tr>
      <w:tr w:rsidRPr="001A758E" w:rsidR="00851BFC" w:rsidTr="00495495" w14:paraId="1D3A4238" w14:textId="77777777">
        <w:trPr>
          <w:trHeight w:val="300"/>
        </w:trPr>
        <w:tc>
          <w:tcPr>
            <w:tcW w:w="5387" w:type="dxa"/>
            <w:tcBorders>
              <w:top w:val="nil"/>
              <w:left w:val="nil"/>
              <w:bottom w:val="nil"/>
              <w:right w:val="nil"/>
            </w:tcBorders>
            <w:shd w:val="clear" w:color="auto" w:fill="auto"/>
            <w:noWrap/>
            <w:vAlign w:val="bottom"/>
            <w:hideMark/>
          </w:tcPr>
          <w:p w:rsidRPr="001A758E" w:rsidR="00851BFC" w:rsidP="00851BFC" w:rsidRDefault="00851BFC" w14:paraId="281CF6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themeColor="text1"/>
                <w:sz w:val="20"/>
                <w:szCs w:val="20"/>
                <w:lang w:eastAsia="sv-SE"/>
              </w:rPr>
            </w:pPr>
            <w:r w:rsidRPr="001A758E">
              <w:rPr>
                <w:rFonts w:eastAsia="Times New Roman" w:cstheme="minorHAnsi"/>
                <w:color w:val="000000"/>
                <w:kern w:val="0"/>
                <w:sz w:val="20"/>
                <w:szCs w:val="20"/>
                <w:lang w:eastAsia="sv-SE"/>
                <w14:numSpacing w14:val="default"/>
              </w:rPr>
              <w:t>Personalförstärkning på fritidshem med störst behov</w:t>
            </w:r>
          </w:p>
        </w:tc>
        <w:tc>
          <w:tcPr>
            <w:tcW w:w="1039" w:type="dxa"/>
            <w:tcBorders>
              <w:top w:val="nil"/>
              <w:left w:val="nil"/>
              <w:bottom w:val="nil"/>
              <w:right w:val="nil"/>
            </w:tcBorders>
            <w:shd w:val="clear" w:color="auto" w:fill="auto"/>
            <w:noWrap/>
            <w:vAlign w:val="bottom"/>
            <w:hideMark/>
          </w:tcPr>
          <w:p w:rsidRPr="001A758E" w:rsidR="00851BFC" w:rsidP="00851BFC" w:rsidRDefault="00851BFC" w14:paraId="7A28C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0,3</w:t>
            </w:r>
          </w:p>
        </w:tc>
        <w:tc>
          <w:tcPr>
            <w:tcW w:w="1039" w:type="dxa"/>
            <w:tcBorders>
              <w:top w:val="nil"/>
              <w:left w:val="nil"/>
              <w:bottom w:val="nil"/>
              <w:right w:val="nil"/>
            </w:tcBorders>
            <w:shd w:val="clear" w:color="auto" w:fill="auto"/>
            <w:noWrap/>
            <w:vAlign w:val="bottom"/>
            <w:hideMark/>
          </w:tcPr>
          <w:p w:rsidRPr="001A758E" w:rsidR="00851BFC" w:rsidP="00851BFC" w:rsidRDefault="00851BFC" w14:paraId="090420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0,3</w:t>
            </w:r>
          </w:p>
        </w:tc>
        <w:tc>
          <w:tcPr>
            <w:tcW w:w="1040" w:type="dxa"/>
            <w:tcBorders>
              <w:top w:val="nil"/>
              <w:left w:val="nil"/>
              <w:bottom w:val="nil"/>
              <w:right w:val="nil"/>
            </w:tcBorders>
            <w:shd w:val="clear" w:color="auto" w:fill="auto"/>
            <w:noWrap/>
            <w:vAlign w:val="bottom"/>
            <w:hideMark/>
          </w:tcPr>
          <w:p w:rsidRPr="001A758E" w:rsidR="00851BFC" w:rsidP="00851BFC" w:rsidRDefault="00851BFC" w14:paraId="7E694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0,3</w:t>
            </w:r>
          </w:p>
        </w:tc>
      </w:tr>
      <w:tr w:rsidRPr="001A758E" w:rsidR="00851BFC" w:rsidTr="00495495" w14:paraId="6855690B" w14:textId="77777777">
        <w:trPr>
          <w:trHeight w:val="300"/>
        </w:trPr>
        <w:tc>
          <w:tcPr>
            <w:tcW w:w="5387" w:type="dxa"/>
            <w:tcBorders>
              <w:top w:val="nil"/>
              <w:left w:val="nil"/>
              <w:bottom w:val="nil"/>
              <w:right w:val="nil"/>
            </w:tcBorders>
            <w:shd w:val="clear" w:color="auto" w:fill="auto"/>
            <w:noWrap/>
            <w:vAlign w:val="bottom"/>
          </w:tcPr>
          <w:p w:rsidRPr="001A758E" w:rsidR="00851BFC" w:rsidP="00851BFC" w:rsidRDefault="00851BFC" w14:paraId="5F0B1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themeColor="text1"/>
                <w:sz w:val="20"/>
                <w:szCs w:val="20"/>
                <w:lang w:eastAsia="sv-SE"/>
              </w:rPr>
            </w:pPr>
            <w:r w:rsidRPr="001A758E">
              <w:rPr>
                <w:rFonts w:eastAsia="Times New Roman" w:cstheme="minorHAnsi"/>
                <w:color w:val="000000"/>
                <w:kern w:val="0"/>
                <w:sz w:val="20"/>
                <w:szCs w:val="20"/>
                <w:lang w:eastAsia="sv-SE"/>
                <w14:numSpacing w14:val="default"/>
              </w:rPr>
              <w:t>Minska studentens ekonomiska risk vid högre utbildning</w:t>
            </w:r>
          </w:p>
        </w:tc>
        <w:tc>
          <w:tcPr>
            <w:tcW w:w="1039" w:type="dxa"/>
            <w:tcBorders>
              <w:top w:val="nil"/>
              <w:left w:val="nil"/>
              <w:bottom w:val="nil"/>
              <w:right w:val="nil"/>
            </w:tcBorders>
            <w:shd w:val="clear" w:color="auto" w:fill="auto"/>
            <w:noWrap/>
            <w:vAlign w:val="bottom"/>
            <w:hideMark/>
          </w:tcPr>
          <w:p w:rsidRPr="001A758E" w:rsidR="00851BFC" w:rsidP="00851BFC" w:rsidRDefault="00851BFC" w14:paraId="48AE8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0,1</w:t>
            </w:r>
          </w:p>
        </w:tc>
        <w:tc>
          <w:tcPr>
            <w:tcW w:w="1039" w:type="dxa"/>
            <w:tcBorders>
              <w:top w:val="nil"/>
              <w:left w:val="nil"/>
              <w:bottom w:val="nil"/>
              <w:right w:val="nil"/>
            </w:tcBorders>
            <w:shd w:val="clear" w:color="auto" w:fill="auto"/>
            <w:noWrap/>
            <w:vAlign w:val="bottom"/>
            <w:hideMark/>
          </w:tcPr>
          <w:p w:rsidRPr="001A758E" w:rsidR="00851BFC" w:rsidP="00851BFC" w:rsidRDefault="00851BFC" w14:paraId="697DF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0,1</w:t>
            </w:r>
          </w:p>
        </w:tc>
        <w:tc>
          <w:tcPr>
            <w:tcW w:w="1040" w:type="dxa"/>
            <w:tcBorders>
              <w:top w:val="nil"/>
              <w:left w:val="nil"/>
              <w:bottom w:val="nil"/>
              <w:right w:val="nil"/>
            </w:tcBorders>
            <w:shd w:val="clear" w:color="auto" w:fill="auto"/>
            <w:noWrap/>
            <w:vAlign w:val="bottom"/>
            <w:hideMark/>
          </w:tcPr>
          <w:p w:rsidRPr="001A758E" w:rsidR="00851BFC" w:rsidP="00851BFC" w:rsidRDefault="00851BFC" w14:paraId="20917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0,1</w:t>
            </w:r>
          </w:p>
        </w:tc>
      </w:tr>
      <w:tr w:rsidRPr="001A758E" w:rsidR="00851BFC" w:rsidTr="00495495" w14:paraId="45510701" w14:textId="77777777">
        <w:trPr>
          <w:trHeight w:val="300"/>
        </w:trPr>
        <w:tc>
          <w:tcPr>
            <w:tcW w:w="5387" w:type="dxa"/>
            <w:tcBorders>
              <w:top w:val="nil"/>
              <w:left w:val="nil"/>
              <w:bottom w:val="nil"/>
              <w:right w:val="nil"/>
            </w:tcBorders>
            <w:shd w:val="clear" w:color="auto" w:fill="auto"/>
            <w:noWrap/>
            <w:vAlign w:val="bottom"/>
          </w:tcPr>
          <w:p w:rsidRPr="001A758E" w:rsidR="00851BFC" w:rsidP="00851BFC" w:rsidRDefault="00851BFC" w14:paraId="2FABC0C9" w14:textId="5F668C8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themeColor="text1"/>
                <w:sz w:val="20"/>
                <w:szCs w:val="20"/>
                <w:lang w:eastAsia="sv-SE"/>
              </w:rPr>
            </w:pPr>
            <w:bookmarkStart w:name="RANGE!D37" w:id="180"/>
            <w:r w:rsidRPr="001A758E">
              <w:rPr>
                <w:rFonts w:eastAsia="Times New Roman" w:cstheme="minorHAnsi"/>
                <w:color w:val="000000"/>
                <w:kern w:val="0"/>
                <w:sz w:val="20"/>
                <w:szCs w:val="20"/>
                <w:lang w:eastAsia="sv-SE"/>
                <w14:numSpacing w14:val="default"/>
              </w:rPr>
              <w:t>Förstärk studiestartsstödet</w:t>
            </w:r>
            <w:bookmarkEnd w:id="180"/>
          </w:p>
        </w:tc>
        <w:tc>
          <w:tcPr>
            <w:tcW w:w="1039" w:type="dxa"/>
            <w:tcBorders>
              <w:top w:val="nil"/>
              <w:left w:val="nil"/>
              <w:bottom w:val="nil"/>
              <w:right w:val="nil"/>
            </w:tcBorders>
            <w:shd w:val="clear" w:color="auto" w:fill="auto"/>
            <w:noWrap/>
            <w:vAlign w:val="bottom"/>
            <w:hideMark/>
          </w:tcPr>
          <w:p w:rsidRPr="001A758E" w:rsidR="00851BFC" w:rsidP="00851BFC" w:rsidRDefault="00851BFC" w14:paraId="6B0FA7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0,3</w:t>
            </w:r>
          </w:p>
        </w:tc>
        <w:tc>
          <w:tcPr>
            <w:tcW w:w="1039" w:type="dxa"/>
            <w:tcBorders>
              <w:top w:val="nil"/>
              <w:left w:val="nil"/>
              <w:bottom w:val="nil"/>
              <w:right w:val="nil"/>
            </w:tcBorders>
            <w:shd w:val="clear" w:color="auto" w:fill="auto"/>
            <w:noWrap/>
            <w:vAlign w:val="bottom"/>
            <w:hideMark/>
          </w:tcPr>
          <w:p w:rsidRPr="001A758E" w:rsidR="00851BFC" w:rsidP="00851BFC" w:rsidRDefault="00851BFC" w14:paraId="528D40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0,3</w:t>
            </w:r>
          </w:p>
        </w:tc>
        <w:tc>
          <w:tcPr>
            <w:tcW w:w="1040" w:type="dxa"/>
            <w:tcBorders>
              <w:top w:val="nil"/>
              <w:left w:val="nil"/>
              <w:bottom w:val="nil"/>
              <w:right w:val="nil"/>
            </w:tcBorders>
            <w:shd w:val="clear" w:color="auto" w:fill="auto"/>
            <w:noWrap/>
            <w:vAlign w:val="bottom"/>
            <w:hideMark/>
          </w:tcPr>
          <w:p w:rsidRPr="001A758E" w:rsidR="00851BFC" w:rsidP="00851BFC" w:rsidRDefault="00851BFC" w14:paraId="0FE17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0,3</w:t>
            </w:r>
          </w:p>
        </w:tc>
      </w:tr>
      <w:tr w:rsidRPr="001A758E" w:rsidR="00851BFC" w:rsidTr="00495495" w14:paraId="4692AF38" w14:textId="77777777">
        <w:trPr>
          <w:trHeight w:val="300"/>
        </w:trPr>
        <w:tc>
          <w:tcPr>
            <w:tcW w:w="5387" w:type="dxa"/>
            <w:tcBorders>
              <w:top w:val="nil"/>
              <w:left w:val="nil"/>
              <w:right w:val="nil"/>
            </w:tcBorders>
            <w:shd w:val="clear" w:color="auto" w:fill="auto"/>
            <w:noWrap/>
            <w:vAlign w:val="bottom"/>
          </w:tcPr>
          <w:p w:rsidRPr="001A758E" w:rsidR="00851BFC" w:rsidP="00851BFC" w:rsidRDefault="00851BFC" w14:paraId="50869B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themeColor="text1"/>
                <w:sz w:val="20"/>
                <w:szCs w:val="20"/>
                <w:lang w:eastAsia="sv-SE"/>
              </w:rPr>
            </w:pPr>
            <w:r w:rsidRPr="001A758E">
              <w:rPr>
                <w:rFonts w:eastAsia="Times New Roman" w:cstheme="minorHAnsi"/>
                <w:color w:val="000000"/>
                <w:kern w:val="0"/>
                <w:sz w:val="20"/>
                <w:szCs w:val="20"/>
                <w:lang w:eastAsia="sv-SE"/>
                <w14:numSpacing w14:val="default"/>
              </w:rPr>
              <w:t>Bygg ut basåren</w:t>
            </w:r>
          </w:p>
        </w:tc>
        <w:tc>
          <w:tcPr>
            <w:tcW w:w="1039" w:type="dxa"/>
            <w:tcBorders>
              <w:top w:val="nil"/>
              <w:left w:val="nil"/>
              <w:right w:val="nil"/>
            </w:tcBorders>
            <w:shd w:val="clear" w:color="auto" w:fill="auto"/>
            <w:noWrap/>
            <w:vAlign w:val="bottom"/>
            <w:hideMark/>
          </w:tcPr>
          <w:p w:rsidRPr="001A758E" w:rsidR="00851BFC" w:rsidP="00851BFC" w:rsidRDefault="00851BFC" w14:paraId="56FB6004" w14:textId="0ABE59F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w:t>
            </w:r>
            <w:r w:rsidRPr="001A758E" w:rsidR="006C7698">
              <w:rPr>
                <w:rFonts w:eastAsia="Times New Roman" w:cstheme="minorHAnsi"/>
                <w:kern w:val="0"/>
                <w:sz w:val="20"/>
                <w:szCs w:val="20"/>
                <w:lang w:eastAsia="sv-SE"/>
                <w14:numSpacing w14:val="default"/>
              </w:rPr>
              <w:t>0</w:t>
            </w:r>
          </w:p>
        </w:tc>
        <w:tc>
          <w:tcPr>
            <w:tcW w:w="1039" w:type="dxa"/>
            <w:tcBorders>
              <w:top w:val="nil"/>
              <w:left w:val="nil"/>
              <w:right w:val="nil"/>
            </w:tcBorders>
            <w:shd w:val="clear" w:color="auto" w:fill="auto"/>
            <w:noWrap/>
            <w:vAlign w:val="bottom"/>
            <w:hideMark/>
          </w:tcPr>
          <w:p w:rsidRPr="001A758E" w:rsidR="00851BFC" w:rsidP="00851BFC" w:rsidRDefault="00851BFC" w14:paraId="049F576B" w14:textId="39A53C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w:t>
            </w:r>
            <w:r w:rsidRPr="001A758E" w:rsidR="00123D27">
              <w:rPr>
                <w:rFonts w:eastAsia="Times New Roman" w:cstheme="minorHAnsi"/>
                <w:kern w:val="0"/>
                <w:sz w:val="20"/>
                <w:szCs w:val="20"/>
                <w:lang w:eastAsia="sv-SE"/>
                <w14:numSpacing w14:val="default"/>
              </w:rPr>
              <w:t>2</w:t>
            </w:r>
          </w:p>
        </w:tc>
        <w:tc>
          <w:tcPr>
            <w:tcW w:w="1040" w:type="dxa"/>
            <w:tcBorders>
              <w:top w:val="nil"/>
              <w:left w:val="nil"/>
              <w:right w:val="nil"/>
            </w:tcBorders>
            <w:shd w:val="clear" w:color="auto" w:fill="auto"/>
            <w:noWrap/>
            <w:vAlign w:val="bottom"/>
            <w:hideMark/>
          </w:tcPr>
          <w:p w:rsidRPr="001A758E" w:rsidR="00851BFC" w:rsidP="00851BFC" w:rsidRDefault="00851BFC" w14:paraId="6FE94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themeColor="text1"/>
                <w:sz w:val="20"/>
                <w:szCs w:val="20"/>
                <w:lang w:eastAsia="sv-SE"/>
              </w:rPr>
            </w:pPr>
            <w:r w:rsidRPr="001A758E">
              <w:rPr>
                <w:rFonts w:eastAsia="Times New Roman" w:cstheme="minorHAnsi"/>
                <w:kern w:val="0"/>
                <w:sz w:val="20"/>
                <w:szCs w:val="20"/>
                <w:lang w:eastAsia="sv-SE"/>
                <w14:numSpacing w14:val="default"/>
              </w:rPr>
              <w:t>0,4</w:t>
            </w:r>
          </w:p>
        </w:tc>
      </w:tr>
      <w:tr w:rsidRPr="001A758E" w:rsidR="00851BFC" w:rsidTr="00495495" w14:paraId="7D107671" w14:textId="77777777">
        <w:trPr>
          <w:trHeight w:val="300"/>
        </w:trPr>
        <w:tc>
          <w:tcPr>
            <w:tcW w:w="5387" w:type="dxa"/>
            <w:tcBorders>
              <w:top w:val="nil"/>
              <w:left w:val="nil"/>
              <w:right w:val="nil"/>
            </w:tcBorders>
            <w:shd w:val="clear" w:color="auto" w:fill="auto"/>
            <w:noWrap/>
            <w:vAlign w:val="bottom"/>
          </w:tcPr>
          <w:p w:rsidRPr="001A758E" w:rsidR="00851BFC" w:rsidP="00851BFC" w:rsidRDefault="00851BFC" w14:paraId="0458C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themeColor="text1"/>
                <w:sz w:val="20"/>
                <w:szCs w:val="20"/>
                <w:lang w:eastAsia="sv-SE"/>
              </w:rPr>
            </w:pPr>
            <w:r w:rsidRPr="001A758E">
              <w:rPr>
                <w:rFonts w:eastAsia="Times New Roman" w:cstheme="minorHAnsi"/>
                <w:color w:val="000000"/>
                <w:kern w:val="0"/>
                <w:sz w:val="20"/>
                <w:szCs w:val="20"/>
                <w:lang w:eastAsia="sv-SE"/>
                <w14:numSpacing w14:val="default"/>
              </w:rPr>
              <w:t>Höj ersättningen till lärosätena</w:t>
            </w:r>
          </w:p>
        </w:tc>
        <w:tc>
          <w:tcPr>
            <w:tcW w:w="1039" w:type="dxa"/>
            <w:tcBorders>
              <w:top w:val="nil"/>
              <w:left w:val="nil"/>
              <w:right w:val="nil"/>
            </w:tcBorders>
            <w:shd w:val="clear" w:color="auto" w:fill="auto"/>
            <w:noWrap/>
            <w:vAlign w:val="bottom"/>
          </w:tcPr>
          <w:p w:rsidRPr="001A758E" w:rsidR="00851BFC" w:rsidP="00851BFC" w:rsidRDefault="00851BFC" w14:paraId="5BF9854B" w14:textId="1C3A46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sz w:val="20"/>
                <w:szCs w:val="20"/>
                <w:lang w:eastAsia="sv-SE"/>
              </w:rPr>
            </w:pPr>
            <w:r w:rsidRPr="001A758E">
              <w:rPr>
                <w:rFonts w:eastAsia="Times New Roman" w:cstheme="minorHAnsi"/>
                <w:kern w:val="0"/>
                <w:sz w:val="20"/>
                <w:szCs w:val="20"/>
                <w:lang w:eastAsia="sv-SE"/>
                <w14:numSpacing w14:val="default"/>
              </w:rPr>
              <w:t>0,</w:t>
            </w:r>
            <w:r w:rsidRPr="001A758E" w:rsidR="006C7698">
              <w:rPr>
                <w:rFonts w:eastAsia="Times New Roman" w:cstheme="minorHAnsi"/>
                <w:kern w:val="0"/>
                <w:sz w:val="20"/>
                <w:szCs w:val="20"/>
                <w:lang w:eastAsia="sv-SE"/>
                <w14:numSpacing w14:val="default"/>
              </w:rPr>
              <w:t>3</w:t>
            </w:r>
          </w:p>
        </w:tc>
        <w:tc>
          <w:tcPr>
            <w:tcW w:w="1039" w:type="dxa"/>
            <w:tcBorders>
              <w:top w:val="nil"/>
              <w:left w:val="nil"/>
              <w:right w:val="nil"/>
            </w:tcBorders>
            <w:shd w:val="clear" w:color="auto" w:fill="auto"/>
            <w:noWrap/>
            <w:vAlign w:val="bottom"/>
          </w:tcPr>
          <w:p w:rsidRPr="001A758E" w:rsidR="00851BFC" w:rsidP="00851BFC" w:rsidRDefault="00851BFC" w14:paraId="0E7B6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sz w:val="20"/>
                <w:szCs w:val="20"/>
                <w:lang w:eastAsia="sv-SE"/>
              </w:rPr>
            </w:pPr>
            <w:r w:rsidRPr="001A758E">
              <w:rPr>
                <w:rFonts w:eastAsia="Times New Roman" w:cstheme="minorHAnsi"/>
                <w:kern w:val="0"/>
                <w:sz w:val="20"/>
                <w:szCs w:val="20"/>
                <w:lang w:eastAsia="sv-SE"/>
                <w14:numSpacing w14:val="default"/>
              </w:rPr>
              <w:t>0,6</w:t>
            </w:r>
          </w:p>
        </w:tc>
        <w:tc>
          <w:tcPr>
            <w:tcW w:w="1040" w:type="dxa"/>
            <w:tcBorders>
              <w:top w:val="nil"/>
              <w:left w:val="nil"/>
              <w:right w:val="nil"/>
            </w:tcBorders>
            <w:shd w:val="clear" w:color="auto" w:fill="auto"/>
            <w:noWrap/>
            <w:vAlign w:val="bottom"/>
          </w:tcPr>
          <w:p w:rsidRPr="001A758E" w:rsidR="00851BFC" w:rsidP="00851BFC" w:rsidRDefault="00851BFC" w14:paraId="2E944E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sz w:val="20"/>
                <w:szCs w:val="20"/>
                <w:lang w:eastAsia="sv-SE"/>
              </w:rPr>
            </w:pPr>
            <w:r w:rsidRPr="001A758E">
              <w:rPr>
                <w:rFonts w:eastAsia="Times New Roman" w:cstheme="minorHAnsi"/>
                <w:kern w:val="0"/>
                <w:sz w:val="20"/>
                <w:szCs w:val="20"/>
                <w:lang w:eastAsia="sv-SE"/>
                <w14:numSpacing w14:val="default"/>
              </w:rPr>
              <w:t>0,6</w:t>
            </w:r>
          </w:p>
        </w:tc>
      </w:tr>
      <w:tr w:rsidRPr="001A758E" w:rsidR="00851BFC" w:rsidTr="00495495" w14:paraId="166503C5" w14:textId="77777777">
        <w:trPr>
          <w:trHeight w:val="300"/>
        </w:trPr>
        <w:tc>
          <w:tcPr>
            <w:tcW w:w="5387" w:type="dxa"/>
            <w:tcBorders>
              <w:top w:val="nil"/>
              <w:left w:val="nil"/>
              <w:right w:val="nil"/>
            </w:tcBorders>
            <w:shd w:val="clear" w:color="auto" w:fill="auto"/>
            <w:noWrap/>
            <w:vAlign w:val="bottom"/>
          </w:tcPr>
          <w:p w:rsidRPr="001A758E" w:rsidR="00851BFC" w:rsidP="00851BFC" w:rsidRDefault="00851BFC" w14:paraId="7B9CC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themeColor="text1"/>
                <w:sz w:val="20"/>
                <w:szCs w:val="20"/>
                <w:lang w:eastAsia="sv-SE"/>
              </w:rPr>
            </w:pPr>
            <w:r w:rsidRPr="001A758E">
              <w:rPr>
                <w:rFonts w:eastAsia="Times New Roman" w:cstheme="minorHAnsi"/>
                <w:color w:val="000000"/>
                <w:kern w:val="0"/>
                <w:sz w:val="20"/>
                <w:szCs w:val="20"/>
                <w:lang w:eastAsia="sv-SE"/>
                <w14:numSpacing w14:val="default"/>
              </w:rPr>
              <w:t>Höj forskningens basanslag</w:t>
            </w:r>
          </w:p>
        </w:tc>
        <w:tc>
          <w:tcPr>
            <w:tcW w:w="1039" w:type="dxa"/>
            <w:tcBorders>
              <w:top w:val="nil"/>
              <w:left w:val="nil"/>
              <w:right w:val="nil"/>
            </w:tcBorders>
            <w:shd w:val="clear" w:color="auto" w:fill="auto"/>
            <w:noWrap/>
            <w:vAlign w:val="bottom"/>
          </w:tcPr>
          <w:p w:rsidRPr="001A758E" w:rsidR="00851BFC" w:rsidP="00851BFC" w:rsidRDefault="006C7698" w14:paraId="483BF6A4" w14:textId="1D0207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sz w:val="20"/>
                <w:szCs w:val="20"/>
                <w:lang w:eastAsia="sv-SE"/>
              </w:rPr>
            </w:pPr>
            <w:r w:rsidRPr="001A758E">
              <w:rPr>
                <w:rFonts w:eastAsia="Times New Roman" w:cstheme="minorHAnsi"/>
                <w:sz w:val="20"/>
                <w:szCs w:val="20"/>
                <w:lang w:eastAsia="sv-SE"/>
              </w:rPr>
              <w:t>0</w:t>
            </w:r>
            <w:r w:rsidRPr="001A758E" w:rsidR="00851BFC">
              <w:rPr>
                <w:rFonts w:eastAsia="Times New Roman" w:cstheme="minorHAnsi"/>
                <w:sz w:val="20"/>
                <w:szCs w:val="20"/>
                <w:lang w:eastAsia="sv-SE"/>
              </w:rPr>
              <w:t>,0</w:t>
            </w:r>
          </w:p>
        </w:tc>
        <w:tc>
          <w:tcPr>
            <w:tcW w:w="1039" w:type="dxa"/>
            <w:tcBorders>
              <w:top w:val="nil"/>
              <w:left w:val="nil"/>
              <w:right w:val="nil"/>
            </w:tcBorders>
            <w:shd w:val="clear" w:color="auto" w:fill="auto"/>
            <w:noWrap/>
            <w:vAlign w:val="bottom"/>
          </w:tcPr>
          <w:p w:rsidRPr="001A758E" w:rsidR="00851BFC" w:rsidP="00851BFC" w:rsidRDefault="00123D27" w14:paraId="3F71C81F" w14:textId="131651F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sz w:val="20"/>
                <w:szCs w:val="20"/>
                <w:lang w:eastAsia="sv-SE"/>
              </w:rPr>
            </w:pPr>
            <w:r w:rsidRPr="001A758E">
              <w:rPr>
                <w:rFonts w:eastAsia="Times New Roman" w:cstheme="minorHAnsi"/>
                <w:kern w:val="0"/>
                <w:sz w:val="20"/>
                <w:szCs w:val="20"/>
                <w:lang w:eastAsia="sv-SE"/>
                <w14:numSpacing w14:val="default"/>
              </w:rPr>
              <w:t>0,5</w:t>
            </w:r>
          </w:p>
        </w:tc>
        <w:tc>
          <w:tcPr>
            <w:tcW w:w="1040" w:type="dxa"/>
            <w:tcBorders>
              <w:top w:val="nil"/>
              <w:left w:val="nil"/>
              <w:right w:val="nil"/>
            </w:tcBorders>
            <w:shd w:val="clear" w:color="auto" w:fill="auto"/>
            <w:noWrap/>
            <w:vAlign w:val="bottom"/>
          </w:tcPr>
          <w:p w:rsidRPr="001A758E" w:rsidR="00851BFC" w:rsidP="00851BFC" w:rsidRDefault="00851BFC" w14:paraId="0B171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sz w:val="20"/>
                <w:szCs w:val="20"/>
                <w:lang w:eastAsia="sv-SE"/>
              </w:rPr>
            </w:pPr>
            <w:r w:rsidRPr="001A758E">
              <w:rPr>
                <w:rFonts w:eastAsia="Times New Roman" w:cstheme="minorHAnsi"/>
                <w:kern w:val="0"/>
                <w:sz w:val="20"/>
                <w:szCs w:val="20"/>
                <w:lang w:eastAsia="sv-SE"/>
                <w14:numSpacing w14:val="default"/>
              </w:rPr>
              <w:t>1,0</w:t>
            </w:r>
          </w:p>
        </w:tc>
      </w:tr>
      <w:tr w:rsidRPr="001A758E" w:rsidR="00ED42C8" w:rsidTr="00495495" w14:paraId="03D3796A" w14:textId="77777777">
        <w:trPr>
          <w:trHeight w:val="300"/>
        </w:trPr>
        <w:tc>
          <w:tcPr>
            <w:tcW w:w="5387" w:type="dxa"/>
            <w:tcBorders>
              <w:top w:val="nil"/>
              <w:left w:val="nil"/>
              <w:right w:val="nil"/>
            </w:tcBorders>
            <w:shd w:val="clear" w:color="auto" w:fill="auto"/>
            <w:noWrap/>
            <w:vAlign w:val="bottom"/>
          </w:tcPr>
          <w:p w:rsidRPr="001A758E" w:rsidR="00ED42C8" w:rsidP="00851BFC" w:rsidRDefault="00ED42C8" w14:paraId="085790CA" w14:textId="2CF1B57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758E">
              <w:rPr>
                <w:rFonts w:eastAsia="Times New Roman" w:cstheme="minorHAnsi"/>
                <w:color w:val="000000"/>
                <w:kern w:val="0"/>
                <w:sz w:val="20"/>
                <w:szCs w:val="20"/>
                <w:lang w:eastAsia="sv-SE"/>
                <w14:numSpacing w14:val="default"/>
              </w:rPr>
              <w:t>Stöd till folkbildningen</w:t>
            </w:r>
          </w:p>
        </w:tc>
        <w:tc>
          <w:tcPr>
            <w:tcW w:w="1039" w:type="dxa"/>
            <w:tcBorders>
              <w:top w:val="nil"/>
              <w:left w:val="nil"/>
              <w:right w:val="nil"/>
            </w:tcBorders>
            <w:shd w:val="clear" w:color="auto" w:fill="auto"/>
            <w:noWrap/>
            <w:vAlign w:val="bottom"/>
          </w:tcPr>
          <w:p w:rsidRPr="001A758E" w:rsidR="00ED42C8" w:rsidP="00851BFC" w:rsidRDefault="00ED42C8" w14:paraId="225A4F4E" w14:textId="02D96C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sz w:val="20"/>
                <w:szCs w:val="20"/>
                <w:lang w:eastAsia="sv-SE"/>
              </w:rPr>
            </w:pPr>
            <w:r w:rsidRPr="001A758E">
              <w:rPr>
                <w:rFonts w:eastAsia="Times New Roman" w:cstheme="minorHAnsi"/>
                <w:sz w:val="20"/>
                <w:szCs w:val="20"/>
                <w:lang w:eastAsia="sv-SE"/>
              </w:rPr>
              <w:t>0,7</w:t>
            </w:r>
          </w:p>
        </w:tc>
        <w:tc>
          <w:tcPr>
            <w:tcW w:w="1039" w:type="dxa"/>
            <w:tcBorders>
              <w:top w:val="nil"/>
              <w:left w:val="nil"/>
              <w:right w:val="nil"/>
            </w:tcBorders>
            <w:shd w:val="clear" w:color="auto" w:fill="auto"/>
            <w:noWrap/>
            <w:vAlign w:val="bottom"/>
          </w:tcPr>
          <w:p w:rsidRPr="001A758E" w:rsidR="00ED42C8" w:rsidDel="00123D27" w:rsidP="00851BFC" w:rsidRDefault="00ED42C8" w14:paraId="7DA12678" w14:textId="24F7C4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1A758E">
              <w:rPr>
                <w:rFonts w:eastAsia="Times New Roman" w:cstheme="minorHAnsi"/>
                <w:kern w:val="0"/>
                <w:sz w:val="20"/>
                <w:szCs w:val="20"/>
                <w:lang w:eastAsia="sv-SE"/>
                <w14:numSpacing w14:val="default"/>
              </w:rPr>
              <w:t>0,7</w:t>
            </w:r>
          </w:p>
        </w:tc>
        <w:tc>
          <w:tcPr>
            <w:tcW w:w="1040" w:type="dxa"/>
            <w:tcBorders>
              <w:top w:val="nil"/>
              <w:left w:val="nil"/>
              <w:right w:val="nil"/>
            </w:tcBorders>
            <w:shd w:val="clear" w:color="auto" w:fill="auto"/>
            <w:noWrap/>
            <w:vAlign w:val="bottom"/>
          </w:tcPr>
          <w:p w:rsidRPr="001A758E" w:rsidR="00ED42C8" w:rsidP="00851BFC" w:rsidRDefault="00ED42C8" w14:paraId="2A4DC035" w14:textId="30037B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1A758E">
              <w:rPr>
                <w:rFonts w:eastAsia="Times New Roman" w:cstheme="minorHAnsi"/>
                <w:kern w:val="0"/>
                <w:sz w:val="20"/>
                <w:szCs w:val="20"/>
                <w:lang w:eastAsia="sv-SE"/>
                <w14:numSpacing w14:val="default"/>
              </w:rPr>
              <w:t>0,6</w:t>
            </w:r>
          </w:p>
        </w:tc>
      </w:tr>
      <w:tr w:rsidRPr="001A758E" w:rsidR="006E7F07" w:rsidTr="00495495" w14:paraId="1816E5C1" w14:textId="77777777">
        <w:trPr>
          <w:trHeight w:val="300"/>
        </w:trPr>
        <w:tc>
          <w:tcPr>
            <w:tcW w:w="5387" w:type="dxa"/>
            <w:tcBorders>
              <w:top w:val="nil"/>
              <w:left w:val="nil"/>
              <w:right w:val="nil"/>
            </w:tcBorders>
            <w:shd w:val="clear" w:color="auto" w:fill="auto"/>
            <w:noWrap/>
            <w:vAlign w:val="bottom"/>
          </w:tcPr>
          <w:p w:rsidRPr="001A758E" w:rsidR="006E7F07" w:rsidP="00851BFC" w:rsidRDefault="006E7F07" w14:paraId="0116C68B" w14:textId="7B6F5E2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758E">
              <w:rPr>
                <w:rFonts w:eastAsia="Times New Roman" w:cstheme="minorHAnsi"/>
                <w:color w:val="000000"/>
                <w:kern w:val="0"/>
                <w:sz w:val="20"/>
                <w:szCs w:val="20"/>
                <w:lang w:eastAsia="sv-SE"/>
                <w14:numSpacing w14:val="default"/>
              </w:rPr>
              <w:t>Kulturskolor för alla barn</w:t>
            </w:r>
          </w:p>
        </w:tc>
        <w:tc>
          <w:tcPr>
            <w:tcW w:w="1039" w:type="dxa"/>
            <w:tcBorders>
              <w:top w:val="nil"/>
              <w:left w:val="nil"/>
              <w:right w:val="nil"/>
            </w:tcBorders>
            <w:shd w:val="clear" w:color="auto" w:fill="auto"/>
            <w:noWrap/>
            <w:vAlign w:val="bottom"/>
          </w:tcPr>
          <w:p w:rsidRPr="001A758E" w:rsidR="006E7F07" w:rsidDel="00ED42C8" w:rsidP="00851BFC" w:rsidRDefault="006E7F07" w14:paraId="61CB6D21" w14:textId="36BBE10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cstheme="minorHAnsi"/>
                <w:bCs/>
                <w:sz w:val="20"/>
                <w:szCs w:val="20"/>
              </w:rPr>
            </w:pPr>
            <w:r w:rsidRPr="001A758E">
              <w:rPr>
                <w:rFonts w:cstheme="minorHAnsi"/>
                <w:bCs/>
                <w:sz w:val="20"/>
                <w:szCs w:val="20"/>
              </w:rPr>
              <w:t>0,3</w:t>
            </w:r>
          </w:p>
        </w:tc>
        <w:tc>
          <w:tcPr>
            <w:tcW w:w="1039" w:type="dxa"/>
            <w:tcBorders>
              <w:top w:val="nil"/>
              <w:left w:val="nil"/>
              <w:right w:val="nil"/>
            </w:tcBorders>
            <w:shd w:val="clear" w:color="auto" w:fill="auto"/>
            <w:noWrap/>
            <w:vAlign w:val="bottom"/>
          </w:tcPr>
          <w:p w:rsidRPr="001A758E" w:rsidR="006E7F07" w:rsidP="00851BFC" w:rsidRDefault="006E7F07" w14:paraId="54267264" w14:textId="1B11A9E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cstheme="minorHAnsi"/>
                <w:bCs/>
                <w:sz w:val="20"/>
                <w:szCs w:val="20"/>
              </w:rPr>
            </w:pPr>
            <w:r w:rsidRPr="001A758E">
              <w:rPr>
                <w:rFonts w:cstheme="minorHAnsi"/>
                <w:bCs/>
                <w:sz w:val="20"/>
                <w:szCs w:val="20"/>
              </w:rPr>
              <w:t>0,4</w:t>
            </w:r>
          </w:p>
        </w:tc>
        <w:tc>
          <w:tcPr>
            <w:tcW w:w="1040" w:type="dxa"/>
            <w:tcBorders>
              <w:top w:val="nil"/>
              <w:left w:val="nil"/>
              <w:right w:val="nil"/>
            </w:tcBorders>
            <w:shd w:val="clear" w:color="auto" w:fill="auto"/>
            <w:noWrap/>
            <w:vAlign w:val="bottom"/>
          </w:tcPr>
          <w:p w:rsidRPr="001A758E" w:rsidR="006E7F07" w:rsidDel="00ED42C8" w:rsidP="00851BFC" w:rsidRDefault="006E7F07" w14:paraId="61FF3EBE" w14:textId="389FDA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cstheme="minorHAnsi"/>
                <w:bCs/>
                <w:sz w:val="20"/>
                <w:szCs w:val="20"/>
              </w:rPr>
            </w:pPr>
            <w:r w:rsidRPr="001A758E">
              <w:rPr>
                <w:rFonts w:cstheme="minorHAnsi"/>
                <w:bCs/>
                <w:sz w:val="20"/>
                <w:szCs w:val="20"/>
              </w:rPr>
              <w:t>0,4</w:t>
            </w:r>
          </w:p>
        </w:tc>
      </w:tr>
      <w:tr w:rsidRPr="001A758E" w:rsidR="00851BFC" w:rsidTr="00495495" w14:paraId="30880B01" w14:textId="77777777">
        <w:trPr>
          <w:trHeight w:val="300"/>
        </w:trPr>
        <w:tc>
          <w:tcPr>
            <w:tcW w:w="5387" w:type="dxa"/>
            <w:tcBorders>
              <w:top w:val="nil"/>
              <w:left w:val="nil"/>
              <w:bottom w:val="single" w:color="auto" w:sz="4" w:space="0"/>
              <w:right w:val="nil"/>
            </w:tcBorders>
            <w:shd w:val="clear" w:color="auto" w:fill="auto"/>
            <w:noWrap/>
            <w:vAlign w:val="bottom"/>
          </w:tcPr>
          <w:p w:rsidRPr="001A758E" w:rsidR="00851BFC" w:rsidP="00851BFC" w:rsidRDefault="00851BFC" w14:paraId="3C4E69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themeColor="text1"/>
                <w:sz w:val="20"/>
                <w:szCs w:val="20"/>
                <w:lang w:eastAsia="sv-SE"/>
              </w:rPr>
            </w:pPr>
            <w:r w:rsidRPr="001A758E">
              <w:rPr>
                <w:rFonts w:eastAsia="Times New Roman" w:cstheme="minorHAnsi"/>
                <w:b/>
                <w:bCs/>
                <w:color w:val="000000"/>
                <w:kern w:val="0"/>
                <w:sz w:val="20"/>
                <w:szCs w:val="20"/>
                <w:lang w:eastAsia="sv-SE"/>
                <w14:numSpacing w14:val="default"/>
              </w:rPr>
              <w:t>Totalt</w:t>
            </w:r>
          </w:p>
        </w:tc>
        <w:tc>
          <w:tcPr>
            <w:tcW w:w="1039" w:type="dxa"/>
            <w:tcBorders>
              <w:top w:val="nil"/>
              <w:left w:val="nil"/>
              <w:bottom w:val="single" w:color="auto" w:sz="4" w:space="0"/>
              <w:right w:val="nil"/>
            </w:tcBorders>
            <w:shd w:val="clear" w:color="auto" w:fill="auto"/>
            <w:noWrap/>
            <w:vAlign w:val="bottom"/>
          </w:tcPr>
          <w:p w:rsidRPr="001A758E" w:rsidR="00851BFC" w:rsidP="00851BFC" w:rsidRDefault="00ED42C8" w14:paraId="273E5B2F" w14:textId="443635E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sz w:val="20"/>
                <w:szCs w:val="20"/>
                <w:lang w:eastAsia="sv-SE"/>
              </w:rPr>
            </w:pPr>
            <w:r w:rsidRPr="001A758E">
              <w:rPr>
                <w:rFonts w:cstheme="minorHAnsi"/>
                <w:b/>
                <w:bCs/>
                <w:sz w:val="20"/>
                <w:szCs w:val="20"/>
              </w:rPr>
              <w:t>3</w:t>
            </w:r>
            <w:r w:rsidRPr="001A758E" w:rsidR="00555A4A">
              <w:rPr>
                <w:rFonts w:cstheme="minorHAnsi"/>
                <w:b/>
                <w:bCs/>
                <w:sz w:val="20"/>
                <w:szCs w:val="20"/>
              </w:rPr>
              <w:t>,9</w:t>
            </w:r>
          </w:p>
        </w:tc>
        <w:tc>
          <w:tcPr>
            <w:tcW w:w="1039" w:type="dxa"/>
            <w:tcBorders>
              <w:top w:val="nil"/>
              <w:left w:val="nil"/>
              <w:bottom w:val="single" w:color="auto" w:sz="4" w:space="0"/>
              <w:right w:val="nil"/>
            </w:tcBorders>
            <w:shd w:val="clear" w:color="auto" w:fill="auto"/>
            <w:noWrap/>
            <w:vAlign w:val="bottom"/>
          </w:tcPr>
          <w:p w:rsidRPr="001A758E" w:rsidR="00851BFC" w:rsidP="00851BFC" w:rsidRDefault="0082354F" w14:paraId="1E3CCEE7" w14:textId="1F4A170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sz w:val="20"/>
                <w:szCs w:val="20"/>
                <w:lang w:eastAsia="sv-SE"/>
              </w:rPr>
            </w:pPr>
            <w:r w:rsidRPr="001A758E">
              <w:rPr>
                <w:rFonts w:cstheme="minorHAnsi"/>
                <w:b/>
                <w:bCs/>
                <w:sz w:val="20"/>
                <w:szCs w:val="20"/>
              </w:rPr>
              <w:t>5,2</w:t>
            </w:r>
          </w:p>
        </w:tc>
        <w:tc>
          <w:tcPr>
            <w:tcW w:w="1040" w:type="dxa"/>
            <w:tcBorders>
              <w:top w:val="nil"/>
              <w:left w:val="nil"/>
              <w:bottom w:val="single" w:color="auto" w:sz="4" w:space="0"/>
              <w:right w:val="nil"/>
            </w:tcBorders>
            <w:shd w:val="clear" w:color="auto" w:fill="auto"/>
            <w:noWrap/>
            <w:vAlign w:val="bottom"/>
          </w:tcPr>
          <w:p w:rsidRPr="001A758E" w:rsidR="00851BFC" w:rsidP="00851BFC" w:rsidRDefault="00ED42C8" w14:paraId="1DDA2992" w14:textId="1AA4FC2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sz w:val="20"/>
                <w:szCs w:val="20"/>
                <w:lang w:eastAsia="sv-SE"/>
              </w:rPr>
            </w:pPr>
            <w:r w:rsidRPr="001A758E">
              <w:rPr>
                <w:rFonts w:cstheme="minorHAnsi"/>
                <w:b/>
                <w:bCs/>
                <w:sz w:val="20"/>
                <w:szCs w:val="20"/>
              </w:rPr>
              <w:t>10</w:t>
            </w:r>
            <w:r w:rsidRPr="001A758E" w:rsidR="00851BFC">
              <w:rPr>
                <w:rFonts w:cstheme="minorHAnsi"/>
                <w:b/>
                <w:bCs/>
                <w:sz w:val="20"/>
                <w:szCs w:val="20"/>
              </w:rPr>
              <w:t>,</w:t>
            </w:r>
            <w:r w:rsidRPr="001A758E" w:rsidR="00555A4A">
              <w:rPr>
                <w:rFonts w:cstheme="minorHAnsi"/>
                <w:b/>
                <w:bCs/>
                <w:sz w:val="20"/>
                <w:szCs w:val="20"/>
              </w:rPr>
              <w:t>8</w:t>
            </w:r>
          </w:p>
        </w:tc>
      </w:tr>
    </w:tbl>
    <w:p w:rsidRPr="00FC2616" w:rsidR="00D6559C" w:rsidP="00D6559C" w:rsidRDefault="00D6559C" w14:paraId="5685AD4F" w14:textId="7DAD3DFA">
      <w:pPr>
        <w:pStyle w:val="Rubrik1numrerat"/>
      </w:pPr>
      <w:bookmarkStart w:name="_Toc149814578" w:id="181"/>
      <w:r w:rsidRPr="00FC2616">
        <w:lastRenderedPageBreak/>
        <w:t>Hållbara investeringar för en hållbar framtid</w:t>
      </w:r>
      <w:bookmarkEnd w:id="181"/>
    </w:p>
    <w:p w:rsidRPr="00FC2616" w:rsidR="0075294F" w:rsidP="00495495" w:rsidRDefault="000B45DB" w14:paraId="668574D0" w14:textId="66DBCE2E">
      <w:pPr>
        <w:pStyle w:val="Normalutanindragellerluft"/>
      </w:pPr>
      <w:r w:rsidRPr="00FC2616">
        <w:t>Klimatfrågan förutsätter samhällets handlingskraft och beslutsamhet. 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w:t>
      </w:r>
      <w:r w:rsidR="00BD6874">
        <w:softHyphen/>
      </w:r>
      <w:r w:rsidRPr="00FC2616">
        <w:t>målen.</w:t>
      </w:r>
      <w:r w:rsidRPr="00FC2616" w:rsidR="00B905A5">
        <w:t xml:space="preserve"> </w:t>
      </w:r>
      <w:r w:rsidRPr="00FC2616" w:rsidR="0075294F">
        <w:t xml:space="preserve">Politiken har alltför länge satt sin tilltro till marknadens krafter i hopp om att klimatomställningen ska hanteras utan det aktiva samhällets inblandning. </w:t>
      </w:r>
    </w:p>
    <w:p w:rsidRPr="00FC2616" w:rsidR="000B45DB" w:rsidP="0075294F" w:rsidRDefault="000B45DB" w14:paraId="3354DD04" w14:textId="2ED8B264">
      <w:pPr>
        <w:tabs>
          <w:tab w:val="clear" w:pos="284"/>
        </w:tabs>
        <w:ind w:firstLine="0"/>
      </w:pPr>
      <w:r w:rsidRPr="00FC2616">
        <w:t xml:space="preserve">Men marknaden kan inte lösa kritiska systemfrågor. Det går exempelvis inte att bygga elbilar om det inte finns tillräckligt med </w:t>
      </w:r>
      <w:proofErr w:type="spellStart"/>
      <w:r w:rsidRPr="00FC2616">
        <w:t>laddstolpar</w:t>
      </w:r>
      <w:proofErr w:type="spellEnd"/>
      <w:r w:rsidRPr="00FC2616">
        <w:t xml:space="preserve"> eller en utbyggd förnybar elproduktion och nätkapacitet. Konsumtion som är fossilfri måste också initialt kunna utvecklas utan det grundläggande marknadskravet på lönsamhet. Det helhetsansvaret kan bara det offentliga ta och när de</w:t>
      </w:r>
      <w:r w:rsidR="00F62FB7">
        <w:t>t</w:t>
      </w:r>
      <w:r w:rsidRPr="00FC2616">
        <w:t xml:space="preserve"> inte gör</w:t>
      </w:r>
      <w:r w:rsidR="00CB1F87">
        <w:t>s</w:t>
      </w:r>
      <w:r w:rsidRPr="00FC2616">
        <w:t xml:space="preserve"> hålls nödvändiga förändringar tillbaka. Sammantaget gör det att införandet av ny teknik går alldeles för långsamt och mycket av utsläppsminskningarna i praktiken måste tas via beteendeförändringar och minskad konsumtion, en strategi som både riskerar att möta stort motstånd och dras med betydande ineffektivitet. </w:t>
      </w:r>
    </w:p>
    <w:p w:rsidRPr="00FC2616" w:rsidR="000B45DB" w:rsidP="000B45DB" w:rsidRDefault="000B45DB" w14:paraId="0FA55FE6" w14:textId="19819C1F">
      <w:pPr>
        <w:tabs>
          <w:tab w:val="clear" w:pos="284"/>
        </w:tabs>
      </w:pPr>
      <w:r w:rsidRPr="00FC2616">
        <w:t>Ett annat lika viktigt skäl är att pris på koldioxid – koldioxidskatt – har en regressiv effekt. Höginkomsttagare som konsumerar mer (större utsläpp) betalar förvisso mer i kronor men som andel av inkomsten blir effekten mindre än för låg</w:t>
      </w:r>
      <w:r w:rsidR="001B43AD">
        <w:t>-</w:t>
      </w:r>
      <w:r w:rsidRPr="00FC2616">
        <w:t xml:space="preserve"> och medelinkomst</w:t>
      </w:r>
      <w:r w:rsidR="00BD6874">
        <w:softHyphen/>
      </w:r>
      <w:r w:rsidRPr="00FC2616">
        <w:t>tagare. Det innebär att effekten blir att marknaden skapar mest undanträngning av konsumtion hos de hushåll som redan i</w:t>
      </w:r>
      <w:r w:rsidRPr="00FC2616" w:rsidR="00523FDC">
        <w:t xml:space="preserve"> </w:t>
      </w:r>
      <w:r w:rsidRPr="00FC2616">
        <w:t>dag har lägst utsläpp och inte heller kan bibehålla sin konsumtion med hjälp av minskat sparande.</w:t>
      </w:r>
    </w:p>
    <w:p w:rsidRPr="00FC2616" w:rsidR="000B45DB" w:rsidP="00C61752" w:rsidRDefault="000B45DB" w14:paraId="565CAD94" w14:textId="2B1FCAA1">
      <w:pPr>
        <w:pStyle w:val="Rubrik2numrerat"/>
      </w:pPr>
      <w:bookmarkStart w:name="_Toc107588752" w:id="182"/>
      <w:bookmarkStart w:name="_Toc112409808" w:id="183"/>
      <w:bookmarkStart w:name="_Toc149814579" w:id="184"/>
      <w:r w:rsidRPr="00FC2616">
        <w:t>En investeringsplan för grön omställning</w:t>
      </w:r>
      <w:bookmarkEnd w:id="182"/>
      <w:bookmarkEnd w:id="183"/>
      <w:bookmarkEnd w:id="184"/>
    </w:p>
    <w:p w:rsidRPr="00FC2616" w:rsidR="000B45DB" w:rsidP="00C61752" w:rsidRDefault="000B45DB" w14:paraId="7B669DCF" w14:textId="1D080526">
      <w:pPr>
        <w:pStyle w:val="Normalutanindragellerluft"/>
      </w:pPr>
      <w:r w:rsidRPr="00FC2616">
        <w:t xml:space="preserve">Sverige har goda förutsättningar att nå de ambitiöst satta klimatmål som vi har åtagit oss att leva upp till. Genom gemensamma ansträngningar och ett aktivt samhälle som investerar i klimatet och miljön kan vi åstadkomma en verkligt meningsfull och effektiv klimatomställning. Vänsterpartiet vill ta sikte på en </w:t>
      </w:r>
      <w:proofErr w:type="spellStart"/>
      <w:r w:rsidRPr="00FC2616">
        <w:t>klimatpolitik</w:t>
      </w:r>
      <w:proofErr w:type="spellEnd"/>
      <w:r w:rsidRPr="00FC2616">
        <w:t xml:space="preserve"> som är strukturerad, omfattande och folkligt förankrad. För att klimatomställningen ska bli verkningsfull måste hela samhället och alla delar av ekonomin ställas om.</w:t>
      </w:r>
    </w:p>
    <w:p w:rsidRPr="00FC2616" w:rsidR="00E41D9C" w:rsidP="00E41D9C" w:rsidRDefault="000B45DB" w14:paraId="114A2FB2" w14:textId="76F75F18">
      <w:r w:rsidRPr="00FC2616">
        <w:t>Genom investeringar på 700 miljarder kronor vill vi de kommande tio åren se till att klimatomställningen accelereras på det sätt som efterfrågas av bl</w:t>
      </w:r>
      <w:r w:rsidRPr="00FC2616" w:rsidR="003D0BD0">
        <w:t>.a.</w:t>
      </w:r>
      <w:r w:rsidRPr="00FC2616">
        <w:t xml:space="preserve"> Klimatpolitiska rådet. Med Vänsterpartiets föreslagna investeringar kommer Sverige att ta reella steg mot att bli världens första fossilfria välfärdsland. Vi går från ord till handling och föreslår en omställningspolitik som kommer </w:t>
      </w:r>
      <w:r w:rsidR="00922C7F">
        <w:t xml:space="preserve">att </w:t>
      </w:r>
      <w:r w:rsidRPr="00FC2616">
        <w:t>märkas i alla delar av vårt samhälle</w:t>
      </w:r>
      <w:r w:rsidRPr="00FC2616" w:rsidR="00FC0621">
        <w:t>.</w:t>
      </w:r>
    </w:p>
    <w:p w:rsidRPr="00FC2616" w:rsidR="002E676C" w:rsidP="00E41D9C" w:rsidRDefault="0075294F" w14:paraId="03DA408B" w14:textId="57764584">
      <w:r w:rsidRPr="00FC2616">
        <w:t>Redan nästa år behöver samhället dels genomföra viktiga klimatinsatser, såsom att halvera biljettpriserna i kollektivtrafiken och stärka järnvägsunderhållet, dels inleda e</w:t>
      </w:r>
      <w:r w:rsidRPr="00FC2616" w:rsidR="007327EF">
        <w:t>tt</w:t>
      </w:r>
      <w:r w:rsidRPr="00FC2616">
        <w:t xml:space="preserve"> strukturerat planerande inför vår tids stora investeringsåtagande. Vänsterpartiet </w:t>
      </w:r>
      <w:r w:rsidRPr="00FC2616" w:rsidR="0061529F">
        <w:t>f</w:t>
      </w:r>
      <w:r w:rsidRPr="00FC2616">
        <w:t xml:space="preserve">öreslår att en </w:t>
      </w:r>
      <w:r w:rsidR="007B6F15">
        <w:t>k</w:t>
      </w:r>
      <w:r w:rsidRPr="00FC2616">
        <w:t xml:space="preserve">limatinvesteringsmyndighet inrättas som ges i uppdrag att planera, samverka och strukturera det gröna investeringsprogram som sjösätts fullt ut 2024. </w:t>
      </w:r>
    </w:p>
    <w:p w:rsidRPr="004533EF" w:rsidR="00E41D9C" w:rsidP="004533EF" w:rsidRDefault="00E41D9C" w14:paraId="66148B0A" w14:textId="5438A6B0">
      <w:pPr>
        <w:pStyle w:val="Normalutanindragellerluft"/>
        <w:spacing w:before="240"/>
        <w:rPr>
          <w:b/>
          <w:bCs/>
        </w:rPr>
      </w:pPr>
      <w:r w:rsidRPr="004533EF">
        <w:rPr>
          <w:b/>
          <w:bCs/>
        </w:rPr>
        <w:t xml:space="preserve">Vänsterpartiets </w:t>
      </w:r>
      <w:r w:rsidRPr="004533EF" w:rsidR="00C36D37">
        <w:rPr>
          <w:b/>
          <w:bCs/>
        </w:rPr>
        <w:t>k</w:t>
      </w:r>
      <w:r w:rsidRPr="004533EF" w:rsidR="003D7F21">
        <w:rPr>
          <w:b/>
          <w:bCs/>
        </w:rPr>
        <w:t>limatinvesteringspaket</w:t>
      </w:r>
      <w:r w:rsidRPr="004533EF">
        <w:rPr>
          <w:b/>
          <w:bCs/>
        </w:rPr>
        <w:t>:</w:t>
      </w:r>
    </w:p>
    <w:p w:rsidRPr="00FC2616" w:rsidR="00E41D9C" w:rsidP="00495495" w:rsidRDefault="00E41D9C" w14:paraId="3D26F47F" w14:textId="77777777">
      <w:pPr>
        <w:pStyle w:val="ListaPunkt"/>
        <w:ind w:left="340" w:hanging="340"/>
      </w:pPr>
      <w:r w:rsidRPr="00FC2616">
        <w:t xml:space="preserve">Investera 490 miljarder kronor över tio år i en stärkt transportinfrastruktur med fokus på järnvägsutbyggnad. </w:t>
      </w:r>
    </w:p>
    <w:p w:rsidRPr="00FC2616" w:rsidR="00E41D9C" w:rsidP="00495495" w:rsidRDefault="00E41D9C" w14:paraId="1A7E7B43" w14:textId="77777777">
      <w:pPr>
        <w:pStyle w:val="ListaPunkt"/>
        <w:ind w:left="340" w:hanging="340"/>
      </w:pPr>
      <w:r w:rsidRPr="00FC2616">
        <w:t>Investera 130 miljarder kronor i bygg- och fastighetssektorn för klimatrenoveringar och förbättrad nybyggnation.</w:t>
      </w:r>
    </w:p>
    <w:p w:rsidRPr="00FC2616" w:rsidR="00E41D9C" w:rsidP="00495495" w:rsidRDefault="00E41D9C" w14:paraId="014B8BFD" w14:textId="6D16A864">
      <w:pPr>
        <w:pStyle w:val="ListaPunkt"/>
        <w:ind w:left="340" w:hanging="340"/>
      </w:pPr>
      <w:r w:rsidRPr="00FC2616">
        <w:lastRenderedPageBreak/>
        <w:t>Investera 100 miljarder kronor över tio år i ett robust elnät och förnybar elproduktion.</w:t>
      </w:r>
    </w:p>
    <w:p w:rsidRPr="00FC2616" w:rsidR="00CF0CD4" w:rsidP="00495495" w:rsidRDefault="00E41D9C" w14:paraId="0F662F27" w14:textId="02C01DCF">
      <w:pPr>
        <w:pStyle w:val="ListaPunkt"/>
        <w:ind w:left="340" w:hanging="340"/>
      </w:pPr>
      <w:r w:rsidRPr="00FC2616">
        <w:t>Stärk skyddet av värdefull natur och återställ naturliga kolsänkor.</w:t>
      </w:r>
    </w:p>
    <w:p w:rsidRPr="00FC2616" w:rsidR="00E349B8" w:rsidP="00495495" w:rsidRDefault="00E41D9C" w14:paraId="5CBB5F4F" w14:textId="52A96550">
      <w:pPr>
        <w:pStyle w:val="ListaPunkt"/>
        <w:ind w:left="340" w:hanging="340"/>
      </w:pPr>
      <w:r w:rsidRPr="00FC2616">
        <w:t>Stärk det additionella klimatbiståndet.</w:t>
      </w:r>
    </w:p>
    <w:p w:rsidRPr="00FC2616" w:rsidR="00E349B8" w:rsidP="00A6349C" w:rsidRDefault="00E349B8" w14:paraId="1346F3F1" w14:textId="3E5CA06F">
      <w:pPr>
        <w:pStyle w:val="Rubrik2numrerat"/>
      </w:pPr>
      <w:bookmarkStart w:name="_Toc149814580" w:id="185"/>
      <w:r w:rsidRPr="00FC2616">
        <w:t>En investeringsplan för klimatet ger ökad sysselsättning</w:t>
      </w:r>
      <w:bookmarkEnd w:id="185"/>
    </w:p>
    <w:p w:rsidRPr="00FC2616" w:rsidR="00E349B8" w:rsidP="00CF0CD4" w:rsidRDefault="00E349B8" w14:paraId="0F4CCF4B" w14:textId="5CA8F683">
      <w:pPr>
        <w:pStyle w:val="Normalutanindragellerluft"/>
        <w:rPr>
          <w:rFonts w:eastAsia="Calibri"/>
        </w:rPr>
      </w:pPr>
      <w:r w:rsidRPr="00FC2616">
        <w:rPr>
          <w:rFonts w:eastAsia="Calibri"/>
        </w:rPr>
        <w:t>Vänsterpartiet söker mandat för att genomföra ett historiskt omfattande investerings</w:t>
      </w:r>
      <w:r w:rsidR="00AA4F5D">
        <w:rPr>
          <w:rFonts w:eastAsia="Calibri"/>
        </w:rPr>
        <w:softHyphen/>
      </w:r>
      <w:r w:rsidRPr="00FC2616">
        <w:rPr>
          <w:rFonts w:eastAsia="Calibri"/>
        </w:rPr>
        <w:t>paket för klimatet. Genom investeringar på 700 miljarder kronor vill vi de kommande tio åren se till att klimatomställningen accelereras.</w:t>
      </w:r>
      <w:r w:rsidRPr="00FC2616">
        <w:rPr>
          <w:rStyle w:val="Fotnotsreferens"/>
          <w:rFonts w:eastAsia="Calibri"/>
        </w:rPr>
        <w:footnoteReference w:id="94"/>
      </w:r>
      <w:r w:rsidRPr="00FC2616">
        <w:rPr>
          <w:rFonts w:eastAsia="Calibri"/>
        </w:rPr>
        <w:t xml:space="preserve"> Vi föreslår en investeringsledd </w:t>
      </w:r>
      <w:proofErr w:type="spellStart"/>
      <w:r w:rsidRPr="00FC2616">
        <w:rPr>
          <w:rFonts w:eastAsia="Calibri"/>
        </w:rPr>
        <w:t>klimatpolitik</w:t>
      </w:r>
      <w:proofErr w:type="spellEnd"/>
      <w:r w:rsidRPr="00FC2616">
        <w:rPr>
          <w:rFonts w:eastAsia="Calibri"/>
        </w:rPr>
        <w:t xml:space="preserve"> för att främja utvecklingen inom tre områden: transporter, energi och bostäder. Med Vänsterpartiets föreslagna investeringar skulle Sverige ta reella steg mot att bli världens första fossilfria välfärdsland. Ett sådant omfattande investeringspaket får också positiva effekter på svensk ekonomi och arbetsmarknad.</w:t>
      </w:r>
    </w:p>
    <w:p w:rsidRPr="00FC2616" w:rsidR="00E349B8" w:rsidP="00DF3309" w:rsidRDefault="00E349B8" w14:paraId="279F78C5" w14:textId="026B5295">
      <w:pPr>
        <w:rPr>
          <w:rFonts w:eastAsia="Calibri"/>
        </w:rPr>
      </w:pPr>
      <w:r w:rsidRPr="00FC2616">
        <w:rPr>
          <w:rFonts w:eastAsia="Calibri"/>
        </w:rPr>
        <w:t xml:space="preserve">Olika typer av offentliga satsningar får olika effekter på ekonomin och på de offentliga finanserna. En satsning som till stor del ökar efterfrågan på inhemskt producerade varor och tjänster ger en positiv effekt på den svenska produktionen och sysselsättningen. Det ger i sin tur </w:t>
      </w:r>
      <w:r w:rsidRPr="00FC2616" w:rsidR="00FF0530">
        <w:rPr>
          <w:rFonts w:eastAsia="Calibri"/>
        </w:rPr>
        <w:t>s.k.</w:t>
      </w:r>
      <w:r w:rsidRPr="00FC2616">
        <w:rPr>
          <w:rFonts w:eastAsia="Calibri"/>
        </w:rPr>
        <w:t xml:space="preserve"> multiplikatoreffekter eftersom en högre syssel</w:t>
      </w:r>
      <w:r w:rsidR="00AA4F5D">
        <w:rPr>
          <w:rFonts w:eastAsia="Calibri"/>
        </w:rPr>
        <w:softHyphen/>
      </w:r>
      <w:r w:rsidRPr="00FC2616">
        <w:rPr>
          <w:rFonts w:eastAsia="Calibri"/>
        </w:rPr>
        <w:t>sättning och lägre arbetslöshet ger högre hushållsinkomster, när människor går från arbetslöshet till arbete. En del av investeringsbehoven relaterade till klimatomställ</w:t>
      </w:r>
      <w:r w:rsidR="00AA4F5D">
        <w:rPr>
          <w:rFonts w:eastAsia="Calibri"/>
        </w:rPr>
        <w:softHyphen/>
      </w:r>
      <w:r w:rsidRPr="00FC2616">
        <w:rPr>
          <w:rFonts w:eastAsia="Calibri"/>
        </w:rPr>
        <w:t>ningen är tydligt arbetskraftsintensiva. Ett exempel är energieffektivisering av bostads</w:t>
      </w:r>
      <w:r w:rsidR="00AA4F5D">
        <w:rPr>
          <w:rFonts w:eastAsia="Calibri"/>
        </w:rPr>
        <w:softHyphen/>
      </w:r>
      <w:r w:rsidRPr="00FC2616">
        <w:rPr>
          <w:rFonts w:eastAsia="Calibri"/>
        </w:rPr>
        <w:t xml:space="preserve">sektorn. Ett annat exempel är utbyggnad av </w:t>
      </w:r>
      <w:proofErr w:type="spellStart"/>
      <w:r w:rsidRPr="00FC2616">
        <w:rPr>
          <w:rFonts w:eastAsia="Calibri"/>
        </w:rPr>
        <w:t>laddinfrastruktur</w:t>
      </w:r>
      <w:proofErr w:type="spellEnd"/>
      <w:r w:rsidRPr="00FC2616">
        <w:rPr>
          <w:rFonts w:eastAsia="Calibri"/>
        </w:rPr>
        <w:t xml:space="preserve"> för att påskynda elektri</w:t>
      </w:r>
      <w:r w:rsidR="003155A2">
        <w:rPr>
          <w:rFonts w:eastAsia="Calibri"/>
        </w:rPr>
        <w:softHyphen/>
      </w:r>
      <w:r w:rsidRPr="00FC2616">
        <w:rPr>
          <w:rFonts w:eastAsia="Calibri"/>
        </w:rPr>
        <w:t>fieringen av transportsektorn. Den typen av investeringar ger större effekt på sysselsättningen än investeringar som har stor kapitalintensitet.</w:t>
      </w:r>
    </w:p>
    <w:p w:rsidRPr="00FC2616" w:rsidR="00E349B8" w:rsidP="00370E4A" w:rsidRDefault="00EF0880" w14:paraId="1E7A0B3F" w14:textId="63ECF5B2">
      <w:pPr>
        <w:rPr>
          <w:rFonts w:eastAsia="Calibri"/>
          <w:szCs w:val="22"/>
        </w:rPr>
      </w:pPr>
      <w:r w:rsidRPr="00FC2616">
        <w:rPr>
          <w:rFonts w:eastAsia="Calibri"/>
        </w:rPr>
        <w:t>O</w:t>
      </w:r>
      <w:r w:rsidRPr="00FC2616" w:rsidR="00E349B8">
        <w:rPr>
          <w:rFonts w:eastAsia="Calibri"/>
        </w:rPr>
        <w:t>ffentliga investeringar kan få mycket stora återverkningar i ekonomin – mångdubbelt större än exempelvis skattesänkningar.</w:t>
      </w:r>
      <w:r w:rsidRPr="00FC2616" w:rsidR="00E349B8">
        <w:rPr>
          <w:rStyle w:val="Fotnotsreferens"/>
          <w:rFonts w:eastAsia="Calibri"/>
        </w:rPr>
        <w:footnoteReference w:id="95"/>
      </w:r>
      <w:r w:rsidRPr="00FC2616" w:rsidR="00E349B8">
        <w:rPr>
          <w:rFonts w:eastAsia="Calibri"/>
        </w:rPr>
        <w:t xml:space="preserve"> </w:t>
      </w:r>
      <w:r w:rsidRPr="00FC2616">
        <w:rPr>
          <w:rFonts w:eastAsia="Calibri"/>
        </w:rPr>
        <w:t xml:space="preserve">Vänsterpartiet har presenterat beräkningar </w:t>
      </w:r>
      <w:r w:rsidR="00836D1B">
        <w:rPr>
          <w:rFonts w:eastAsia="Calibri"/>
        </w:rPr>
        <w:t>av</w:t>
      </w:r>
      <w:r w:rsidRPr="00FC2616">
        <w:rPr>
          <w:rFonts w:eastAsia="Calibri"/>
        </w:rPr>
        <w:t xml:space="preserve"> hur stora effekter vårt klimatinvesteringspaket kan ge på BNP och arbetslöshet i </w:t>
      </w:r>
      <w:r w:rsidRPr="00FC2616" w:rsidR="00A65362">
        <w:rPr>
          <w:rFonts w:eastAsia="Calibri"/>
        </w:rPr>
        <w:t xml:space="preserve">vår </w:t>
      </w:r>
      <w:r w:rsidRPr="00FC2616">
        <w:rPr>
          <w:rFonts w:eastAsia="Calibri"/>
        </w:rPr>
        <w:t xml:space="preserve">ekonomisk-politiska plattform ”Ny start för Sverige”. </w:t>
      </w:r>
    </w:p>
    <w:p w:rsidRPr="00FC2616" w:rsidR="00E349B8" w:rsidP="006E4EC5" w:rsidRDefault="00E349B8" w14:paraId="7A0BF5E5" w14:textId="7883BD1F">
      <w:pPr>
        <w:rPr>
          <w:rFonts w:eastAsia="Calibri"/>
        </w:rPr>
      </w:pPr>
      <w:r w:rsidRPr="00FC2616">
        <w:rPr>
          <w:rFonts w:eastAsia="Calibri"/>
        </w:rPr>
        <w:t xml:space="preserve">De ekonomiska effekterna av offentliga investeringar är självklart inte bara beroende av hur mycket som investeras, utan även </w:t>
      </w:r>
      <w:r w:rsidR="00836D1B">
        <w:rPr>
          <w:rFonts w:eastAsia="Calibri"/>
        </w:rPr>
        <w:t xml:space="preserve">av </w:t>
      </w:r>
      <w:r w:rsidRPr="00FC2616">
        <w:rPr>
          <w:rFonts w:eastAsia="Calibri"/>
        </w:rPr>
        <w:t xml:space="preserve">under vilka former de investeras. Om allt arbete utförs av gästarbetare </w:t>
      </w:r>
      <w:r w:rsidR="00FC59A7">
        <w:rPr>
          <w:rFonts w:eastAsia="Calibri"/>
        </w:rPr>
        <w:t>med</w:t>
      </w:r>
      <w:r w:rsidRPr="00FC2616">
        <w:rPr>
          <w:rFonts w:eastAsia="Calibri"/>
        </w:rPr>
        <w:t xml:space="preserve"> låga löner som efter avslutat arbete återvänder till sitt hemland blir följdverkningarna i den svenska ekonomin av de extra investeringarna mindre. Krav </w:t>
      </w:r>
      <w:r w:rsidR="00FC59A7">
        <w:rPr>
          <w:rFonts w:eastAsia="Calibri"/>
        </w:rPr>
        <w:t>på</w:t>
      </w:r>
      <w:r w:rsidRPr="00FC2616">
        <w:rPr>
          <w:rFonts w:eastAsia="Calibri"/>
        </w:rPr>
        <w:t xml:space="preserve"> arbetstillstånd, kollektivavtalsenliga löner eller skattskyldighet i Sverige liksom kontroller och kraftfulla sanktioner mot fuskande arbetsgivare är inte bara viktiga för att skydda arbetstagarnas villkor och svenska skatteintäkter. De är också viktiga för att ge svenska företag och arbetare en schysst möjlighet att konkurrera på lika villkor och på så sätt säkerställa att en större del av det välstånd som skapas i arbetet med att bygga ny infrastruktur kommer den svenska ekonomin till del.</w:t>
      </w:r>
    </w:p>
    <w:p w:rsidRPr="00FC2616" w:rsidR="00E349B8" w:rsidP="00690527" w:rsidRDefault="00E349B8" w14:paraId="448B4AAB" w14:textId="4B6366FE">
      <w:r w:rsidRPr="00FC2616">
        <w:rPr>
          <w:rFonts w:eastAsia="Calibri"/>
        </w:rPr>
        <w:t>För att dessa investeringar ska få fullt genomslag i form av ökad sysselsättning och minskad arbetslöshet är det nödvändigt att det samtidigt görs omfattande satsningar på utbildnings- och arbetsmarknadspolitiken. Samtidigt som arbetslösheten är hög så råder det i</w:t>
      </w:r>
      <w:r w:rsidRPr="00FC2616" w:rsidR="00070097">
        <w:rPr>
          <w:rFonts w:eastAsia="Calibri"/>
        </w:rPr>
        <w:t xml:space="preserve"> </w:t>
      </w:r>
      <w:r w:rsidRPr="00FC2616">
        <w:rPr>
          <w:rFonts w:eastAsia="Calibri"/>
        </w:rPr>
        <w:t>dag brist på yrkesutbildade personer i flera branscher.</w:t>
      </w:r>
    </w:p>
    <w:p w:rsidRPr="00FC2616" w:rsidR="000B45DB" w:rsidP="00C61752" w:rsidRDefault="000B45DB" w14:paraId="078832BA" w14:textId="77777777">
      <w:pPr>
        <w:pStyle w:val="Rubrik2numrerat"/>
      </w:pPr>
      <w:bookmarkStart w:name="_Toc107588753" w:id="186"/>
      <w:bookmarkStart w:name="_Toc112409809" w:id="187"/>
      <w:bookmarkStart w:name="_Toc149814581" w:id="188"/>
      <w:r w:rsidRPr="00FC2616">
        <w:lastRenderedPageBreak/>
        <w:t>Klimatsmarta och trygga boenden</w:t>
      </w:r>
      <w:bookmarkEnd w:id="186"/>
      <w:bookmarkEnd w:id="187"/>
      <w:bookmarkEnd w:id="188"/>
    </w:p>
    <w:p w:rsidRPr="00FC2616" w:rsidR="000B45DB" w:rsidP="005908F1" w:rsidRDefault="000B45DB" w14:paraId="0F0EC511" w14:textId="77777777">
      <w:pPr>
        <w:pStyle w:val="Normalutanindragellerluft"/>
      </w:pPr>
      <w:r w:rsidRPr="00FC2616">
        <w:t>Det gröna samhällsbygget förutsätter trygga och klimateffektiva bostäder i hela landet. Det svenska miljonprogrammet har givit oss välbyggda och välplanerade flerfamiljshus. Dessutom finns det mycket som tyder på att de robusta miljonprogramshusen lämpar sig väl för omfattande klimatanpassningar. Vänsterpartiet söker mandat för en politik som skulle föra miljonprogrammet in i vår tid och genom flera åtgärder bli ett verkligt miljöprogram.</w:t>
      </w:r>
    </w:p>
    <w:p w:rsidRPr="00FC2616" w:rsidR="000B45DB" w:rsidP="005908F1" w:rsidRDefault="000B45DB" w14:paraId="313467AB" w14:textId="366889B8">
      <w:r w:rsidRPr="00FC2616">
        <w:t xml:space="preserve">Enligt Boverket är ca 140 000 bostäder i miljonprogrammet i akut behov av renovering. Nästan lika många är i behov av renovering inom kort. Vänsterpartiet vill att de renoveringar som görs också ska bidra positivt till klimatomställningen. Det handlar om allt från nya materialval till energieffektiviseringsåtgärder, solpaneler på taket och system för en lokal cirkulär ekonomi. Genom smarta och ändamålsenliga renoveringar kan allt från dragiga fönster till droppande kranar åtgärdas, </w:t>
      </w:r>
      <w:r w:rsidR="00026307">
        <w:t xml:space="preserve">och </w:t>
      </w:r>
      <w:r w:rsidRPr="00FC2616">
        <w:t xml:space="preserve">moderna materialval och varsamma restaureringar gör badrum och kök hållbara över lång tid. </w:t>
      </w:r>
    </w:p>
    <w:p w:rsidRPr="00FC2616" w:rsidR="002048DD" w:rsidP="00690527" w:rsidRDefault="000B45DB" w14:paraId="5A17163B" w14:textId="76F79889">
      <w:r w:rsidRPr="00FC2616">
        <w:t>Vänsterpartiet vill investera 100 miljarder kronor de kommande tio åren för att åstadkomma effektiva och ändamålsenliga klimatrenoveringar av det befintliga bostads</w:t>
      </w:r>
      <w:r w:rsidR="003155A2">
        <w:softHyphen/>
      </w:r>
      <w:r w:rsidRPr="00FC2616">
        <w:t>beståndet utan att betalningsbördan tynger hyresgästerna i alltför hög utsträckning. Investeringarna åstadkommer stor klimatnytta samtidigt som hyresgästernas boende</w:t>
      </w:r>
      <w:r w:rsidR="003155A2">
        <w:softHyphen/>
      </w:r>
      <w:r w:rsidRPr="00FC2616">
        <w:t>standard stärks väsentligt. Investeringsmedel ska kunna sökas av såväl allmännyttiga som privata fastighetsägare, i likhet med ett investeringsstöd, och täcka en del av omkostnaderna för att göra nödvändiga renoveringar med tydligt satta klimat</w:t>
      </w:r>
      <w:r w:rsidR="001D6FA9">
        <w:t>-</w:t>
      </w:r>
      <w:r w:rsidRPr="00FC2616">
        <w:t xml:space="preserve"> och miljökrav. </w:t>
      </w:r>
    </w:p>
    <w:p w:rsidRPr="00FC2616" w:rsidR="000B45DB" w:rsidP="002048DD" w:rsidRDefault="000B45DB" w14:paraId="2CD68E0A" w14:textId="0AE07274">
      <w:r w:rsidRPr="00FC2616">
        <w:t>Trygghet i arbetslivet måste åtföljas av trygghet på bostadsmarknaden och i bostadsområdena. De senaste decenniernas utförsäljningspolitik och växande under</w:t>
      </w:r>
      <w:r w:rsidR="003155A2">
        <w:softHyphen/>
      </w:r>
      <w:r w:rsidRPr="00FC2616">
        <w:t xml:space="preserve">investeringar på bostadsområdet har inneburit </w:t>
      </w:r>
      <w:r w:rsidR="008470AC">
        <w:t xml:space="preserve">en </w:t>
      </w:r>
      <w:r w:rsidRPr="00FC2616">
        <w:t xml:space="preserve">svår bostadsbrist på de flesta platser i landet. Den utvecklingen måste brytas. Trygghet behöver skapas genom att bostäder </w:t>
      </w:r>
      <w:r w:rsidRPr="00FC2616" w:rsidR="00947E8F">
        <w:t>bygg</w:t>
      </w:r>
      <w:r w:rsidR="00947E8F">
        <w:t>s</w:t>
      </w:r>
      <w:r w:rsidRPr="00FC2616" w:rsidR="00947E8F">
        <w:t xml:space="preserve"> </w:t>
      </w:r>
      <w:r w:rsidRPr="00FC2616">
        <w:t>till överkomliga priser, att renoveringar inte innebär chockhöjningar av hyrorna och att samhällets stöd riktas om från det ägda till det hyrda boendet. Den situation som råder i</w:t>
      </w:r>
      <w:r w:rsidRPr="00FC2616" w:rsidR="00070097">
        <w:t xml:space="preserve"> </w:t>
      </w:r>
      <w:r w:rsidRPr="00FC2616">
        <w:t>dag med kraftiga subventioner, bidrag och skattelättnader till hus- och bostads</w:t>
      </w:r>
      <w:r w:rsidR="003155A2">
        <w:softHyphen/>
      </w:r>
      <w:r w:rsidRPr="00FC2616">
        <w:t>rättsägare är i hög utsträckning oförenlig med en social bostadspolitik till gagn för löntagarkollektivet.</w:t>
      </w:r>
    </w:p>
    <w:p w:rsidRPr="00FC2616" w:rsidR="006A5521" w:rsidP="006A5521" w:rsidRDefault="006A5521" w14:paraId="00F417FB" w14:textId="77777777">
      <w:pPr>
        <w:tabs>
          <w:tab w:val="clear" w:pos="284"/>
        </w:tabs>
      </w:pPr>
      <w:bookmarkStart w:name="_Hlk116465343" w:id="189"/>
      <w:r w:rsidRPr="00FC2616">
        <w:t>För att minska bostadsbristen är det uppenbart att fler hyresrätter med överkomlig hyra behöver byggas. Ett effektivt sätt att stimulera nyproduktionen av hyresrätter är genom investeringsstöd.</w:t>
      </w:r>
    </w:p>
    <w:p w:rsidRPr="00FC2616" w:rsidR="006A5521" w:rsidP="006A5521" w:rsidRDefault="006A5521" w14:paraId="2F48B7A6" w14:textId="638081B2">
      <w:pPr>
        <w:tabs>
          <w:tab w:val="clear" w:pos="284"/>
        </w:tabs>
      </w:pPr>
      <w:r w:rsidRPr="00FC2616">
        <w:t>Om hälften av Sveriges flerbostadshus byggdes i trä i</w:t>
      </w:r>
      <w:r w:rsidRPr="00FC2616" w:rsidR="00051115">
        <w:t xml:space="preserve"> </w:t>
      </w:r>
      <w:r w:rsidRPr="00FC2616">
        <w:t>stället för i andra material år 2025 skulle klimatpåverkan i byggskedet kunna minskas med så mycket som 40</w:t>
      </w:r>
      <w:r w:rsidR="00E011E1">
        <w:t> </w:t>
      </w:r>
      <w:r w:rsidRPr="00FC2616">
        <w:t>procent per år. Vänsterpartiet föreslår därför 30</w:t>
      </w:r>
      <w:r w:rsidR="00E011E1">
        <w:t> </w:t>
      </w:r>
      <w:r w:rsidRPr="00FC2616">
        <w:t xml:space="preserve">miljarder kronor över en tioårsperiod för investeringar i hållbar nyproduktion. Medel ska kunna sökas som ett komplement till investeringsstödet för att stärka klimatnyttan för nybyggnationen. </w:t>
      </w:r>
    </w:p>
    <w:p w:rsidRPr="00FC2616" w:rsidR="000B45DB" w:rsidP="005908F1" w:rsidRDefault="000B45DB" w14:paraId="62BB539B" w14:textId="31EB7019">
      <w:pPr>
        <w:tabs>
          <w:tab w:val="clear" w:pos="284"/>
        </w:tabs>
      </w:pPr>
      <w:r w:rsidRPr="00FC2616">
        <w:t xml:space="preserve">Tidigare generationers ansträngningar för att bygga sammanhållna bostadsområden med samhällsfastigheter i nära anslutning till bostadsfastigheter är i färd med att gå om intet genom en växande underhållsskuld. Detta har lett till att många samhällsfastigheter är slitna med omfattande renoveringsbehov. Svaret på utmaningen med de stora renoveringsbehoven har från kommun- och regionledningar runtom i landet alltför ofta varit att privatisera fastigheterna och sedan hyra in sig för att fortsätta </w:t>
      </w:r>
      <w:r w:rsidR="00D77A98">
        <w:t xml:space="preserve">att </w:t>
      </w:r>
      <w:r w:rsidRPr="00FC2616">
        <w:t xml:space="preserve">bedriva verksamhet. Det är både kortsiktigt och oekonomiskt. När samhället ger upp rådigheten över dessa fastigheter så försätts det allmänna i en beroendesituation gentemot privata </w:t>
      </w:r>
      <w:r w:rsidRPr="00FC2616">
        <w:lastRenderedPageBreak/>
        <w:t xml:space="preserve">fastighetsägare för lång tid framöver. Det underminerar möjligheterna till att göra nödvändiga klimatinvesteringar men också möjligheten för samhället att göra justeringar av fastigheterna för att möta framtidens behov. </w:t>
      </w:r>
      <w:bookmarkEnd w:id="189"/>
    </w:p>
    <w:p w:rsidRPr="00FC2616" w:rsidR="002D251C" w:rsidP="005908F1" w:rsidRDefault="000B45DB" w14:paraId="28DE5632" w14:textId="3D12A44B">
      <w:pPr>
        <w:tabs>
          <w:tab w:val="clear" w:pos="284"/>
        </w:tabs>
      </w:pPr>
      <w:r w:rsidRPr="00FC2616">
        <w:t>För att kunna göra nödvändiga investeringar och renoveringar i samhällsfastig</w:t>
      </w:r>
      <w:r w:rsidR="003155A2">
        <w:softHyphen/>
      </w:r>
      <w:r w:rsidRPr="00FC2616">
        <w:t>heterna vill Vänsterpartiet instifta en ny typ av investeringsstöd. Det nya investerings</w:t>
      </w:r>
      <w:r w:rsidR="003155A2">
        <w:softHyphen/>
      </w:r>
      <w:r w:rsidRPr="00FC2616">
        <w:t>stödet ska möjliggöra investeringar i samhällsfastigheter på kommunal och regional nivå utan att det oproportionerligt tynger den kommunala ekonomin. Genom invester</w:t>
      </w:r>
      <w:r w:rsidR="003155A2">
        <w:softHyphen/>
      </w:r>
      <w:r w:rsidRPr="00FC2616">
        <w:t>ingar på 5</w:t>
      </w:r>
      <w:r w:rsidR="00942C1F">
        <w:t> </w:t>
      </w:r>
      <w:r w:rsidRPr="00FC2616">
        <w:t xml:space="preserve">miljarder kronor per år kan regioner och kommuner söka stöd för att göra renoveringar och underhåll i syfte att bevara, utveckla och </w:t>
      </w:r>
      <w:proofErr w:type="spellStart"/>
      <w:r w:rsidRPr="00FC2616">
        <w:t>klimatanpassa</w:t>
      </w:r>
      <w:proofErr w:type="spellEnd"/>
      <w:r w:rsidRPr="00FC2616">
        <w:t xml:space="preserve"> befintliga samhällsfastigheter. </w:t>
      </w:r>
    </w:p>
    <w:p w:rsidRPr="00FC2616" w:rsidR="00901F19" w:rsidP="005908F1" w:rsidRDefault="00901F19" w14:paraId="3A09C2E3" w14:textId="2D94A139">
      <w:pPr>
        <w:tabs>
          <w:tab w:val="clear" w:pos="284"/>
        </w:tabs>
      </w:pPr>
      <w:r w:rsidRPr="00FC2616">
        <w:t xml:space="preserve">I kombination med detta vill Vänsterpartiet införa en stopplag som gör det olagligt att sälja ut samhällsfastigheter. Förutom i enstaka undantagsfall ska kommuner, regioner och staten förvalta och utveckla sitt fastighetsbestånd. I de fall en utförsäljning motiveras av att investeringar behöver göras på en annan plats inom kommunen eller regionen ska ansvarig länsstyrelse göra en bedömning av situationen och medge eventuella undantag. </w:t>
      </w:r>
    </w:p>
    <w:p w:rsidRPr="004533EF" w:rsidR="002A5B64" w:rsidP="004533EF" w:rsidRDefault="002A5B64" w14:paraId="049A60E4" w14:textId="77777777">
      <w:pPr>
        <w:pStyle w:val="Normalutanindragellerluft"/>
        <w:spacing w:before="240"/>
        <w:rPr>
          <w:b/>
          <w:bCs/>
        </w:rPr>
      </w:pPr>
      <w:r w:rsidRPr="004533EF">
        <w:rPr>
          <w:b/>
          <w:bCs/>
        </w:rPr>
        <w:t>Vänsterpartiets förslag:</w:t>
      </w:r>
    </w:p>
    <w:p w:rsidRPr="00FC2616" w:rsidR="002A5B64" w:rsidP="00495495" w:rsidRDefault="002A5B64" w14:paraId="3183BA7C" w14:textId="3A14CCD6">
      <w:pPr>
        <w:pStyle w:val="ListaPunkt"/>
        <w:ind w:left="340" w:hanging="340"/>
      </w:pPr>
      <w:r w:rsidRPr="00FC2616">
        <w:t>Investera</w:t>
      </w:r>
      <w:r w:rsidRPr="00FC2616" w:rsidR="000B3D83">
        <w:t xml:space="preserve"> 2,56</w:t>
      </w:r>
      <w:r w:rsidR="00FF347F">
        <w:t> </w:t>
      </w:r>
      <w:r w:rsidRPr="00FC2616" w:rsidR="000B3D83">
        <w:t xml:space="preserve">miljarder </w:t>
      </w:r>
      <w:r w:rsidRPr="00FC2616" w:rsidR="00051115">
        <w:t xml:space="preserve">kronor </w:t>
      </w:r>
      <w:r w:rsidRPr="00FC2616" w:rsidR="000B3D83">
        <w:t>2023 och sedan 5,9</w:t>
      </w:r>
      <w:r w:rsidR="00FF347F">
        <w:t> </w:t>
      </w:r>
      <w:r w:rsidRPr="00FC2616" w:rsidR="000B3D83">
        <w:t>miljarder</w:t>
      </w:r>
      <w:r w:rsidRPr="00FC2616" w:rsidR="00051115">
        <w:t xml:space="preserve"> kronor</w:t>
      </w:r>
      <w:r w:rsidRPr="00FC2616" w:rsidR="000B3D83">
        <w:t xml:space="preserve"> 2024 och 7,5</w:t>
      </w:r>
      <w:r w:rsidR="00FF347F">
        <w:t> </w:t>
      </w:r>
      <w:r w:rsidRPr="00FC2616" w:rsidR="000B3D83">
        <w:t xml:space="preserve">miljarder </w:t>
      </w:r>
      <w:r w:rsidRPr="00FC2616" w:rsidR="00051115">
        <w:t xml:space="preserve">kronor </w:t>
      </w:r>
      <w:r w:rsidRPr="00FC2616" w:rsidR="000B3D83">
        <w:t xml:space="preserve">2025 </w:t>
      </w:r>
      <w:r w:rsidRPr="00FC2616">
        <w:t>i upprustning</w:t>
      </w:r>
      <w:r w:rsidRPr="00FC2616" w:rsidR="000B3D83">
        <w:t xml:space="preserve"> och</w:t>
      </w:r>
      <w:r w:rsidRPr="00FC2616">
        <w:t xml:space="preserve"> klimatanpassning av befintligt hyresrättsbestånd.</w:t>
      </w:r>
    </w:p>
    <w:p w:rsidRPr="00FC2616" w:rsidR="00B61BE3" w:rsidP="00495495" w:rsidRDefault="000B3D83" w14:paraId="0FDFAA8A" w14:textId="00E91CBB">
      <w:pPr>
        <w:pStyle w:val="ListaPunkt"/>
        <w:ind w:left="340" w:hanging="340"/>
      </w:pPr>
      <w:r w:rsidRPr="00FC2616">
        <w:t xml:space="preserve">Stärk investeringsstödet för </w:t>
      </w:r>
      <w:r w:rsidR="00324FA7">
        <w:t xml:space="preserve">att </w:t>
      </w:r>
      <w:r w:rsidRPr="00FC2616">
        <w:t>skapa fler hyresrätter med överkomlig hyra och stärk det kont</w:t>
      </w:r>
      <w:r w:rsidRPr="00FC2616" w:rsidR="00051115">
        <w:t>i</w:t>
      </w:r>
      <w:r w:rsidRPr="00FC2616">
        <w:t>nue</w:t>
      </w:r>
      <w:r w:rsidRPr="00FC2616" w:rsidR="00051115">
        <w:t>r</w:t>
      </w:r>
      <w:r w:rsidRPr="00FC2616">
        <w:t>ligt under de kommande tre åren.</w:t>
      </w:r>
    </w:p>
    <w:p w:rsidRPr="00FC2616" w:rsidR="002A5B64" w:rsidP="00495495" w:rsidRDefault="002A5B64" w14:paraId="2595EE9B" w14:textId="6B8A87CA">
      <w:pPr>
        <w:pStyle w:val="ListaPunkt"/>
        <w:ind w:left="340" w:hanging="340"/>
      </w:pPr>
      <w:r w:rsidRPr="00FC2616">
        <w:t>Investera 3</w:t>
      </w:r>
      <w:r w:rsidR="00CF6CC1">
        <w:t> </w:t>
      </w:r>
      <w:r w:rsidRPr="00FC2616">
        <w:t xml:space="preserve">miljarder kronor i </w:t>
      </w:r>
      <w:r w:rsidRPr="00FC2616" w:rsidR="00B61BE3">
        <w:t>hållbar</w:t>
      </w:r>
      <w:r w:rsidRPr="00FC2616">
        <w:t xml:space="preserve"> nybyggnation</w:t>
      </w:r>
      <w:r w:rsidRPr="00FC2616" w:rsidR="000B3D83">
        <w:t xml:space="preserve"> </w:t>
      </w:r>
      <w:r w:rsidRPr="00FC2616" w:rsidR="00DF313D">
        <w:t>fr.o.m.</w:t>
      </w:r>
      <w:r w:rsidRPr="00FC2616" w:rsidR="000B3D83">
        <w:t xml:space="preserve"> 2024</w:t>
      </w:r>
      <w:r w:rsidRPr="00FC2616" w:rsidR="00DF313D">
        <w:t>.</w:t>
      </w:r>
    </w:p>
    <w:p w:rsidRPr="00FC2616" w:rsidR="002A5B64" w:rsidP="00495495" w:rsidRDefault="002A5B64" w14:paraId="03EF75B2" w14:textId="5C12C0CC">
      <w:pPr>
        <w:pStyle w:val="ListaPunkt"/>
        <w:ind w:left="340" w:hanging="340"/>
      </w:pPr>
      <w:r w:rsidRPr="00FC2616">
        <w:t xml:space="preserve">Inrätta ett nytt investeringsstöd för samhällsfastigheter om </w:t>
      </w:r>
      <w:r w:rsidRPr="00FC2616" w:rsidR="000B3D83">
        <w:t>2</w:t>
      </w:r>
      <w:r w:rsidR="00EE5FF9">
        <w:t> </w:t>
      </w:r>
      <w:r w:rsidRPr="00FC2616" w:rsidR="000B3D83">
        <w:t>miljarder</w:t>
      </w:r>
      <w:r w:rsidRPr="00FC2616" w:rsidR="00DF313D">
        <w:t xml:space="preserve"> kronor</w:t>
      </w:r>
      <w:r w:rsidRPr="00FC2616" w:rsidR="000B3D83">
        <w:t xml:space="preserve"> 2023, 3</w:t>
      </w:r>
      <w:r w:rsidR="00EE5FF9">
        <w:t> </w:t>
      </w:r>
      <w:r w:rsidRPr="00FC2616" w:rsidR="000B3D83">
        <w:t>miljarder</w:t>
      </w:r>
      <w:r w:rsidRPr="00FC2616" w:rsidR="00DF313D">
        <w:t xml:space="preserve"> kronor</w:t>
      </w:r>
      <w:r w:rsidRPr="00FC2616" w:rsidR="000B3D83">
        <w:t xml:space="preserve"> 2024 och 4</w:t>
      </w:r>
      <w:r w:rsidR="00EE5FF9">
        <w:t> </w:t>
      </w:r>
      <w:r w:rsidRPr="00FC2616" w:rsidR="000B3D83">
        <w:t>miljarder</w:t>
      </w:r>
      <w:r w:rsidRPr="00FC2616" w:rsidR="00DF313D">
        <w:t xml:space="preserve"> kronor</w:t>
      </w:r>
      <w:r w:rsidRPr="00FC2616" w:rsidR="000B3D83">
        <w:t xml:space="preserve"> 2025. Investeringsstödet ska sedan permanentas på 5</w:t>
      </w:r>
      <w:r w:rsidR="00BF6439">
        <w:t> </w:t>
      </w:r>
      <w:r w:rsidRPr="00FC2616" w:rsidR="000B3D83">
        <w:t>miljarder</w:t>
      </w:r>
      <w:r w:rsidRPr="00FC2616" w:rsidR="00DF313D">
        <w:t xml:space="preserve"> kronor</w:t>
      </w:r>
      <w:r w:rsidRPr="00FC2616" w:rsidR="000B3D83">
        <w:t xml:space="preserve"> per år.</w:t>
      </w:r>
    </w:p>
    <w:p w:rsidRPr="00FC2616" w:rsidR="002A5B64" w:rsidP="00495495" w:rsidRDefault="002A5B64" w14:paraId="1482E8C9" w14:textId="0AD3F4DB">
      <w:pPr>
        <w:pStyle w:val="ListaPunkt"/>
        <w:ind w:left="340" w:hanging="340"/>
      </w:pPr>
      <w:r w:rsidRPr="00FC2616">
        <w:t>Inför en stopplag som generellt förbjuder utförsäljning av samhällsfastigheter.</w:t>
      </w:r>
    </w:p>
    <w:p w:rsidRPr="00FC2616" w:rsidR="002A5B64" w:rsidP="00495495" w:rsidRDefault="002A5B64" w14:paraId="0B6CD313" w14:textId="4AA461AB">
      <w:pPr>
        <w:pStyle w:val="ListaPunkt"/>
        <w:ind w:left="340" w:hanging="340"/>
      </w:pPr>
      <w:r w:rsidRPr="00FC2616">
        <w:t>Inrätta en särskild pott för kommuner att söka medel ur i syfte att upprusta, utveckla och bygga nya lekparker, bemannade parklekar och områden för spontanidrott.</w:t>
      </w:r>
    </w:p>
    <w:p w:rsidRPr="00FC2616" w:rsidR="000B45DB" w:rsidP="00C61752" w:rsidRDefault="000B45DB" w14:paraId="5186601B" w14:textId="77777777">
      <w:pPr>
        <w:pStyle w:val="Rubrik2numrerat"/>
      </w:pPr>
      <w:bookmarkStart w:name="_Toc107588754" w:id="190"/>
      <w:bookmarkStart w:name="_Toc112409810" w:id="191"/>
      <w:bookmarkStart w:name="_Toc149814582" w:id="192"/>
      <w:r w:rsidRPr="00FC2616">
        <w:t>Förnybar energi</w:t>
      </w:r>
      <w:bookmarkEnd w:id="190"/>
      <w:bookmarkEnd w:id="191"/>
      <w:bookmarkEnd w:id="192"/>
    </w:p>
    <w:p w:rsidRPr="00FC2616" w:rsidR="000B45DB" w:rsidP="005908F1" w:rsidRDefault="000B45DB" w14:paraId="4B600F30" w14:textId="7C1777D7">
      <w:pPr>
        <w:pStyle w:val="Normalutanindragellerluft"/>
      </w:pPr>
      <w:r w:rsidRPr="00FC2616">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w:t>
      </w:r>
      <w:r w:rsidR="001E5156">
        <w:t xml:space="preserve">till </w:t>
      </w:r>
      <w:r w:rsidRPr="00FC2616">
        <w:t xml:space="preserve">el </w:t>
      </w:r>
      <w:r w:rsidR="001E5156">
        <w:t xml:space="preserve">att </w:t>
      </w:r>
      <w:r w:rsidRPr="00FC2616">
        <w:t>behöva öka betydligt</w:t>
      </w:r>
      <w:r w:rsidR="008878B4">
        <w:t>;</w:t>
      </w:r>
      <w:r w:rsidRPr="00FC2616">
        <w:t xml:space="preserve"> i vissa scenarion förutspås användningen öka mångdubbelt gentemot i</w:t>
      </w:r>
      <w:r w:rsidRPr="00FC2616" w:rsidR="00886F5A">
        <w:t xml:space="preserve"> </w:t>
      </w:r>
      <w:r w:rsidRPr="00FC2616">
        <w:t>dag. Sannolikt innebär denna process den största utbyggnaden av produktion och distribution av el i modern tid i Sverige.</w:t>
      </w:r>
    </w:p>
    <w:p w:rsidRPr="00FC2616" w:rsidR="000B45DB" w:rsidP="005908F1" w:rsidRDefault="000B45DB" w14:paraId="38ADB6DE" w14:textId="7279871F">
      <w:pPr>
        <w:tabs>
          <w:tab w:val="clear" w:pos="284"/>
        </w:tabs>
      </w:pPr>
      <w:r w:rsidRPr="00FC2616">
        <w:t>Trots att det finns en stor potential för havsbaserad vindkraft i Sverige har byggandet ännu inte tagit fart.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w:t>
      </w:r>
    </w:p>
    <w:p w:rsidRPr="00FC2616" w:rsidR="000B45DB" w:rsidP="005908F1" w:rsidRDefault="000B45DB" w14:paraId="5AB7D45E" w14:textId="3945EC86">
      <w:pPr>
        <w:tabs>
          <w:tab w:val="clear" w:pos="284"/>
        </w:tabs>
      </w:pPr>
      <w:r w:rsidRPr="00FC2616">
        <w:t>Havsbaserad vindkraft är emellertid inte möjlig på alla platser i landet. Därför behöver utbyggnaden på land också accelereras. Kommunerna har i</w:t>
      </w:r>
      <w:r w:rsidRPr="00FC2616" w:rsidR="00886F5A">
        <w:t xml:space="preserve"> </w:t>
      </w:r>
      <w:r w:rsidRPr="00FC2616">
        <w:t xml:space="preserve">dag i praktiken </w:t>
      </w:r>
      <w:r w:rsidRPr="00FC2616">
        <w:lastRenderedPageBreak/>
        <w:t>vetorätt mot vindkraft. Detta genom att en kommun som är negativt inställd till vindkraft helt enkelt kan låta bli att ta upp sådana ärenden och därmed helt bromsa utbyggnaden. Kommunernas åsikt ska väga tungt, men i ett läge där Sverige på energiområdet ska gå från fossil energi och kärnkraftsenergi till förnybar och lägre energianvändning är ett kommunalt veto orimligt. Möjligheten till kommunalt veto mot vindkraft bör avskaffas.</w:t>
      </w:r>
    </w:p>
    <w:p w:rsidRPr="00FC2616" w:rsidR="000B45DB" w:rsidP="00C61752" w:rsidRDefault="000B45DB" w14:paraId="1514D722" w14:textId="0F359356">
      <w:r w:rsidRPr="00FC2616">
        <w:t>Det behövs bättre incitament för utbyggnad av vindkraft, både land- och havs</w:t>
      </w:r>
      <w:r w:rsidR="003155A2">
        <w:softHyphen/>
      </w:r>
      <w:r w:rsidRPr="00FC2616">
        <w:t>baserad, genom att den kommun och de boende i närområdet där vindkraften ska byggas</w:t>
      </w:r>
      <w:r w:rsidR="000573DA">
        <w:t xml:space="preserve"> </w:t>
      </w:r>
      <w:r w:rsidRPr="00FC2616" w:rsidR="000573DA">
        <w:t>gynna</w:t>
      </w:r>
      <w:r w:rsidR="000573DA">
        <w:t>s</w:t>
      </w:r>
      <w:r w:rsidRPr="00FC2616">
        <w:t>. Vänsterpartiet vill öka acceptansen för vindkraft genom att lagstifta om en produktionsbaserad ekonomisk ersättning som går till de lokalsamhällen där vindkraft byggs.</w:t>
      </w:r>
    </w:p>
    <w:p w:rsidRPr="00FC2616" w:rsidR="000244B8" w:rsidP="00B21131" w:rsidRDefault="007F01A1" w14:paraId="4F0C0AC6" w14:textId="1A7DA85A">
      <w:r w:rsidRPr="00FC2616">
        <w:t>Regeringens elprisstöd till hushåll och företag har en fördelning som både är orimlig</w:t>
      </w:r>
      <w:r w:rsidR="00B21131">
        <w:t xml:space="preserve"> </w:t>
      </w:r>
      <w:r w:rsidRPr="00FC2616">
        <w:t>och ologisk. Regeringen planerar att betala tillbaka 55</w:t>
      </w:r>
      <w:r w:rsidR="0029399D">
        <w:t> </w:t>
      </w:r>
      <w:r w:rsidRPr="00FC2616">
        <w:t xml:space="preserve">miljarder </w:t>
      </w:r>
      <w:r w:rsidRPr="00FC2616" w:rsidR="00886F5A">
        <w:t xml:space="preserve">kronor </w:t>
      </w:r>
      <w:r w:rsidRPr="00FC2616">
        <w:t xml:space="preserve">till hushåll och företag för perioden oktober 2021 till september 2022. Det förslag som regeringen gått fram med innebär att alla elavtal, </w:t>
      </w:r>
      <w:r w:rsidR="00DB0A47">
        <w:t xml:space="preserve">för såväl </w:t>
      </w:r>
      <w:r w:rsidRPr="00FC2616">
        <w:t xml:space="preserve">hushåll som företag, i praktiken </w:t>
      </w:r>
      <w:r w:rsidRPr="00FC2616" w:rsidR="00DB0A47">
        <w:t xml:space="preserve">får </w:t>
      </w:r>
      <w:r w:rsidRPr="00FC2616">
        <w:t>ett pristak på 75</w:t>
      </w:r>
      <w:r w:rsidR="00DB0A47">
        <w:t> </w:t>
      </w:r>
      <w:r w:rsidRPr="00FC2616">
        <w:t>öre. Staten betalar mellanskillnaden mellan 75</w:t>
      </w:r>
      <w:r w:rsidR="00DB0A47">
        <w:t> </w:t>
      </w:r>
      <w:r w:rsidRPr="00FC2616">
        <w:t xml:space="preserve">öre och det medelpris som gällt i elprisområdet. Det betyder att </w:t>
      </w:r>
      <w:r w:rsidR="00724696">
        <w:t xml:space="preserve">i </w:t>
      </w:r>
      <w:r w:rsidRPr="00FC2616">
        <w:t>södra Sverige får elkunderna 79</w:t>
      </w:r>
      <w:r w:rsidR="00724696">
        <w:t> </w:t>
      </w:r>
      <w:r w:rsidRPr="00FC2616">
        <w:t>öre p</w:t>
      </w:r>
      <w:r w:rsidRPr="00FC2616" w:rsidR="00F00680">
        <w:t>er</w:t>
      </w:r>
      <w:r w:rsidRPr="00FC2616">
        <w:t xml:space="preserve"> kilowatt de förbrukat och i mellersta Sverige får de 50</w:t>
      </w:r>
      <w:r w:rsidR="009E2C77">
        <w:t> </w:t>
      </w:r>
      <w:r w:rsidRPr="00FC2616">
        <w:t>öre. I norra Sverige får man ingenting då medelpriset varit lägre än 75</w:t>
      </w:r>
      <w:r w:rsidR="00E005AE">
        <w:t> </w:t>
      </w:r>
      <w:r w:rsidRPr="00FC2616">
        <w:t xml:space="preserve">öre. För att få ned elpriserna framåt krävs att vi tar tillbaka kontrollen över den misslyckade elmarknaden. Vänsterpartiets förslag om Sverigepriser är den naturliga lösningen: att hindra kontinentens höga elpriser </w:t>
      </w:r>
      <w:r w:rsidR="00B838C6">
        <w:t xml:space="preserve">från </w:t>
      </w:r>
      <w:r w:rsidRPr="00FC2616">
        <w:t>att smitta av sig här. Men det är just en lösning framåt. För de som redan har drabbats av de höga elpriserna behövs också en kompensation för den tid som varit. Vänsterpartiet vill därför också ha en elpriskompensation men föreslår att regeringens förslag förändras. Skillnaden mellan regeringens förslag och Vänsterpartiets blir att en villa som förbrukar takgränsen på 25</w:t>
      </w:r>
      <w:r w:rsidR="00793117">
        <w:t> </w:t>
      </w:r>
      <w:r w:rsidRPr="00FC2616">
        <w:t>000</w:t>
      </w:r>
      <w:r w:rsidR="00793117">
        <w:t> </w:t>
      </w:r>
      <w:r w:rsidRPr="00FC2616">
        <w:t>kWh i södra Sverige får ca</w:t>
      </w:r>
      <w:r w:rsidR="00793117">
        <w:t> </w:t>
      </w:r>
      <w:r w:rsidRPr="00FC2616">
        <w:t>20</w:t>
      </w:r>
      <w:r w:rsidRPr="00FC2616" w:rsidR="00F00680">
        <w:t> </w:t>
      </w:r>
      <w:r w:rsidRPr="00FC2616">
        <w:t xml:space="preserve">000 kronor/år med regeringens förslag, medan </w:t>
      </w:r>
      <w:r w:rsidR="00793117">
        <w:t xml:space="preserve">den </w:t>
      </w:r>
      <w:r w:rsidRPr="00FC2616">
        <w:t xml:space="preserve">med vårt förslag kommer </w:t>
      </w:r>
      <w:r w:rsidR="00793117">
        <w:t>att</w:t>
      </w:r>
      <w:r w:rsidRPr="00FC2616">
        <w:t xml:space="preserve"> få ca</w:t>
      </w:r>
      <w:r w:rsidR="00793117">
        <w:t> </w:t>
      </w:r>
      <w:r w:rsidRPr="00FC2616">
        <w:t>30</w:t>
      </w:r>
      <w:r w:rsidRPr="00FC2616" w:rsidR="00F00680">
        <w:t> </w:t>
      </w:r>
      <w:r w:rsidRPr="00FC2616">
        <w:t>000 kronor/år. I norra Sverige kommer samma stöd</w:t>
      </w:r>
      <w:r w:rsidR="00E82B8A">
        <w:t xml:space="preserve"> att </w:t>
      </w:r>
      <w:r w:rsidRPr="00FC2616" w:rsidR="00E82B8A">
        <w:t>utgå</w:t>
      </w:r>
      <w:r w:rsidR="00E82B8A">
        <w:t>,</w:t>
      </w:r>
      <w:r w:rsidRPr="00FC2616">
        <w:t xml:space="preserve"> men på </w:t>
      </w:r>
      <w:r w:rsidR="00E82B8A">
        <w:t xml:space="preserve">en </w:t>
      </w:r>
      <w:r w:rsidRPr="00FC2616">
        <w:t>lägre nivå då skillnaden är mindre mellan normalpris</w:t>
      </w:r>
      <w:r w:rsidR="00E82B8A">
        <w:t>et</w:t>
      </w:r>
      <w:r w:rsidRPr="00FC2616">
        <w:t xml:space="preserve"> och krisens marknadspris. Vänsterpartiets förslag ger mer till vanliga hushåll men är inte dyrare än förslaget från regeringen – tvärtom. På totalen kommer det framför allt </w:t>
      </w:r>
      <w:r w:rsidR="00493741">
        <w:t xml:space="preserve">att </w:t>
      </w:r>
      <w:r w:rsidRPr="00FC2616">
        <w:t xml:space="preserve">ske en omfördelning av elprisstödet, </w:t>
      </w:r>
      <w:r w:rsidRPr="00FC2616" w:rsidR="00566A0D">
        <w:t>dvs.</w:t>
      </w:r>
      <w:r w:rsidRPr="00FC2616">
        <w:t xml:space="preserve"> en betydligt större andel kommer </w:t>
      </w:r>
      <w:r w:rsidR="009E4CF3">
        <w:t xml:space="preserve">att </w:t>
      </w:r>
      <w:r w:rsidRPr="00FC2616">
        <w:t xml:space="preserve">gå till hushåll som faktiskt </w:t>
      </w:r>
      <w:r w:rsidR="008F200A">
        <w:t xml:space="preserve">har </w:t>
      </w:r>
      <w:r w:rsidRPr="00FC2616">
        <w:t>stått för kostnaden när elpriserna skenat.</w:t>
      </w:r>
      <w:r w:rsidRPr="00FC2616" w:rsidR="00CC3B9F">
        <w:rPr>
          <w:rStyle w:val="Fotnotsreferens"/>
        </w:rPr>
        <w:footnoteReference w:id="96"/>
      </w:r>
    </w:p>
    <w:p w:rsidRPr="004533EF" w:rsidR="002A5B64" w:rsidP="004533EF" w:rsidRDefault="002A5B64" w14:paraId="2EA1160B" w14:textId="17A92563">
      <w:pPr>
        <w:pStyle w:val="Normalutanindragellerluft"/>
        <w:spacing w:before="240"/>
        <w:rPr>
          <w:b/>
          <w:bCs/>
        </w:rPr>
      </w:pPr>
      <w:r w:rsidRPr="004533EF">
        <w:rPr>
          <w:b/>
          <w:bCs/>
        </w:rPr>
        <w:t>Vänsterpartiets förslag:</w:t>
      </w:r>
    </w:p>
    <w:p w:rsidRPr="00FC2616" w:rsidR="002A5B64" w:rsidP="00B21131" w:rsidRDefault="002A5B64" w14:paraId="74D76747" w14:textId="34833B1B">
      <w:pPr>
        <w:pStyle w:val="ListaPunkt"/>
        <w:ind w:left="340" w:hanging="340"/>
      </w:pPr>
      <w:bookmarkStart w:name="_Hlk116381115" w:id="193"/>
      <w:r w:rsidRPr="00FC2616">
        <w:t xml:space="preserve">Investera </w:t>
      </w:r>
      <w:r w:rsidRPr="00FC2616" w:rsidR="001C1BA7">
        <w:t>2,5</w:t>
      </w:r>
      <w:r w:rsidR="00C8253A">
        <w:t> </w:t>
      </w:r>
      <w:r w:rsidRPr="00FC2616">
        <w:t>miljarder</w:t>
      </w:r>
      <w:r w:rsidRPr="00FC2616" w:rsidR="00566A0D">
        <w:t xml:space="preserve"> kronor</w:t>
      </w:r>
      <w:r w:rsidRPr="00FC2616">
        <w:t xml:space="preserve"> </w:t>
      </w:r>
      <w:r w:rsidRPr="00FC2616" w:rsidR="001C1BA7">
        <w:t>2024 samt 4,0</w:t>
      </w:r>
      <w:r w:rsidR="00C8253A">
        <w:t> </w:t>
      </w:r>
      <w:r w:rsidRPr="00FC2616" w:rsidR="001C1BA7">
        <w:t>miljarder</w:t>
      </w:r>
      <w:r w:rsidRPr="00FC2616" w:rsidR="00566A0D">
        <w:t xml:space="preserve"> kronor</w:t>
      </w:r>
      <w:r w:rsidRPr="00FC2616" w:rsidR="001C1BA7">
        <w:t xml:space="preserve"> 2025</w:t>
      </w:r>
      <w:r w:rsidRPr="00FC2616">
        <w:t xml:space="preserve"> i utbyggnaden a</w:t>
      </w:r>
      <w:r w:rsidRPr="00FC2616" w:rsidR="001C1BA7">
        <w:t>v</w:t>
      </w:r>
      <w:r w:rsidRPr="00FC2616">
        <w:t xml:space="preserve"> transmissionsnätet för </w:t>
      </w:r>
      <w:proofErr w:type="spellStart"/>
      <w:r w:rsidRPr="00FC2616">
        <w:t>elöverföring</w:t>
      </w:r>
      <w:proofErr w:type="spellEnd"/>
      <w:r w:rsidR="00C8253A">
        <w:t>.</w:t>
      </w:r>
    </w:p>
    <w:p w:rsidRPr="00FC2616" w:rsidR="002A5B64" w:rsidP="00B21131" w:rsidRDefault="002A5B64" w14:paraId="06A21358" w14:textId="1E8CD396">
      <w:pPr>
        <w:pStyle w:val="ListaPunkt"/>
        <w:ind w:left="340" w:hanging="340"/>
      </w:pPr>
      <w:r w:rsidRPr="00FC2616">
        <w:t xml:space="preserve">Investera </w:t>
      </w:r>
      <w:r w:rsidRPr="00FC2616" w:rsidR="001C1BA7">
        <w:t>2,0</w:t>
      </w:r>
      <w:r w:rsidR="00C8253A">
        <w:t> </w:t>
      </w:r>
      <w:r w:rsidRPr="00FC2616">
        <w:t>miljarder</w:t>
      </w:r>
      <w:r w:rsidRPr="00FC2616" w:rsidR="00566A0D">
        <w:t xml:space="preserve"> kronor</w:t>
      </w:r>
      <w:r w:rsidRPr="00FC2616">
        <w:t xml:space="preserve"> </w:t>
      </w:r>
      <w:r w:rsidRPr="00FC2616" w:rsidR="001C1BA7">
        <w:t>2024 samt 3,0</w:t>
      </w:r>
      <w:r w:rsidR="00C8253A">
        <w:t> </w:t>
      </w:r>
      <w:r w:rsidRPr="00FC2616" w:rsidR="001C1BA7">
        <w:t>miljarder</w:t>
      </w:r>
      <w:r w:rsidRPr="00FC2616" w:rsidR="00566A0D">
        <w:t xml:space="preserve"> kronor</w:t>
      </w:r>
      <w:r w:rsidRPr="00FC2616">
        <w:t xml:space="preserve"> i stöd till </w:t>
      </w:r>
      <w:r w:rsidRPr="00FC2616" w:rsidR="001C1BA7">
        <w:t>lokal produktion</w:t>
      </w:r>
      <w:r w:rsidRPr="00FC2616">
        <w:t xml:space="preserve"> av </w:t>
      </w:r>
      <w:r w:rsidRPr="00FC2616" w:rsidR="001C1BA7">
        <w:t>förnybar energi</w:t>
      </w:r>
      <w:r w:rsidRPr="00FC2616">
        <w:t>.</w:t>
      </w:r>
    </w:p>
    <w:p w:rsidRPr="00FC2616" w:rsidR="000B45DB" w:rsidP="00C61752" w:rsidRDefault="000B45DB" w14:paraId="3CE989AF" w14:textId="1C209FCC">
      <w:pPr>
        <w:pStyle w:val="Rubrik2numrerat"/>
      </w:pPr>
      <w:bookmarkStart w:name="_Toc112409813" w:id="194"/>
      <w:bookmarkStart w:name="_Hlk111042740" w:id="195"/>
      <w:bookmarkStart w:name="_Toc149814583" w:id="196"/>
      <w:bookmarkEnd w:id="193"/>
      <w:r w:rsidRPr="00FC2616">
        <w:t>Hållbara transporter</w:t>
      </w:r>
      <w:bookmarkEnd w:id="194"/>
      <w:bookmarkEnd w:id="196"/>
    </w:p>
    <w:p w:rsidRPr="00FC2616" w:rsidR="005908F1" w:rsidP="005908F1" w:rsidRDefault="000B45DB" w14:paraId="25DC2611" w14:textId="0B516DB4">
      <w:pPr>
        <w:pStyle w:val="Normalutanindragellerluft"/>
      </w:pPr>
      <w:r w:rsidRPr="00FC2616">
        <w:t xml:space="preserve">Framtidens infrastruktur måste styras av klimatmålet för planering, inriktning och ekonomiska ramar för samtliga satsningar </w:t>
      </w:r>
      <w:r w:rsidR="001F5326">
        <w:t>på</w:t>
      </w:r>
      <w:r w:rsidRPr="00FC2616">
        <w:t xml:space="preserve"> transportinfrastruktur. Inrikestransporter utgör den enskilt största delen av de territoriella utsläppen i Sverige. Därför är </w:t>
      </w:r>
      <w:r w:rsidRPr="00FC2616">
        <w:lastRenderedPageBreak/>
        <w:t>transportsektorns klimatmål att minska utsläppen med 70</w:t>
      </w:r>
      <w:r w:rsidR="00422AD2">
        <w:t> </w:t>
      </w:r>
      <w:r w:rsidRPr="00FC2616">
        <w:t xml:space="preserve">procent till 2030 en avgörande del av riksdagens beslutade klimatpolitiska ramverk för Sverige. </w:t>
      </w:r>
    </w:p>
    <w:p w:rsidRPr="00FC2616" w:rsidR="000B45DB" w:rsidP="005908F1" w:rsidRDefault="000B45DB" w14:paraId="35D68A72" w14:textId="156205AA">
      <w:bookmarkStart w:name="_Hlk106203050" w:id="197"/>
      <w:r w:rsidRPr="00FC2616">
        <w:t>Vänsterpartiet menar att vi måste genomföra ett systemskifte inom transport</w:t>
      </w:r>
      <w:r w:rsidR="003155A2">
        <w:softHyphen/>
      </w:r>
      <w:r w:rsidRPr="00FC2616">
        <w:t>infrastrukturen. En ny politisk inriktning för infrastrukturpolitiken där våra politiska mål, främst klimatmålen, blir styrande i</w:t>
      </w:r>
      <w:r w:rsidRPr="00FC2616" w:rsidR="00857912">
        <w:t xml:space="preserve"> </w:t>
      </w:r>
      <w:r w:rsidRPr="00FC2616">
        <w:t xml:space="preserve">stället för prognoser om ständigt ökande bilresande. Det innebär att fler människor ska ha möjlighet att färdas med hållbara transporter och att fler företag </w:t>
      </w:r>
      <w:r w:rsidR="00D86EAB">
        <w:t xml:space="preserve">ska kunna </w:t>
      </w:r>
      <w:r w:rsidRPr="00FC2616">
        <w:t>frakta sina varor med en godstrafik som minimerar utsläppen och har snabba, leveranssäkra transporter.</w:t>
      </w:r>
    </w:p>
    <w:p w:rsidRPr="00FC2616" w:rsidR="000B45DB" w:rsidP="009B27C4" w:rsidRDefault="000B45DB" w14:paraId="4053DAD0" w14:textId="6C7FFFCE">
      <w:r w:rsidRPr="00FC2616">
        <w:t xml:space="preserve">Vi vill därför investera 170 miljarder kronor mer än regeringen </w:t>
      </w:r>
      <w:r w:rsidR="00E562E4">
        <w:t>i</w:t>
      </w:r>
      <w:r w:rsidRPr="00FC2616">
        <w:t xml:space="preserve"> upprustning och utbyggnad av transportinfrastrukturen de kommande tio åren. Därtill föreslår Vänster</w:t>
      </w:r>
      <w:r w:rsidR="003155A2">
        <w:softHyphen/>
      </w:r>
      <w:r w:rsidRPr="00FC2616">
        <w:t>partiet att satsningen på nya stambanor för höghastighetståg lånefinansieras och att hållbara transporter prioriteras före nybyggnation av motorvägar.</w:t>
      </w:r>
    </w:p>
    <w:p w:rsidRPr="00FC2616" w:rsidR="008248A7" w:rsidP="00B50CBA" w:rsidRDefault="008248A7" w14:paraId="740B74BA" w14:textId="5058F08A">
      <w:pPr>
        <w:pStyle w:val="Rubrik3numrerat"/>
        <w:rPr>
          <w:lang w:eastAsia="sv-SE"/>
        </w:rPr>
      </w:pPr>
      <w:bookmarkStart w:name="_Toc149814584" w:id="198"/>
      <w:r w:rsidRPr="00FC2616">
        <w:rPr>
          <w:lang w:eastAsia="sv-SE"/>
        </w:rPr>
        <w:t>Ny</w:t>
      </w:r>
      <w:r w:rsidRPr="00FC2616" w:rsidR="00203B90">
        <w:rPr>
          <w:lang w:eastAsia="sv-SE"/>
        </w:rPr>
        <w:t>tt</w:t>
      </w:r>
      <w:r w:rsidRPr="00FC2616">
        <w:rPr>
          <w:lang w:eastAsia="sv-SE"/>
        </w:rPr>
        <w:t xml:space="preserve"> </w:t>
      </w:r>
      <w:r w:rsidRPr="00FC2616" w:rsidR="00F255EF">
        <w:rPr>
          <w:lang w:eastAsia="sv-SE"/>
        </w:rPr>
        <w:t>el</w:t>
      </w:r>
      <w:r w:rsidRPr="00FC2616" w:rsidR="00203B90">
        <w:rPr>
          <w:lang w:eastAsia="sv-SE"/>
        </w:rPr>
        <w:t>bilsstöd som når fler hushåll</w:t>
      </w:r>
      <w:bookmarkEnd w:id="198"/>
    </w:p>
    <w:p w:rsidRPr="00FC2616" w:rsidR="004E6B3F" w:rsidP="004E6B3F" w:rsidRDefault="004E6B3F" w14:paraId="1A8BC6C7" w14:textId="1B52DD12">
      <w:pPr>
        <w:pStyle w:val="Normalutanindragellerluft"/>
      </w:pPr>
      <w:r w:rsidRPr="00FC2616">
        <w:t xml:space="preserve">I samband med presentationen av budgetpropositionen för 2023 meddelade regeringen att den </w:t>
      </w:r>
      <w:r w:rsidR="00440E0F">
        <w:t xml:space="preserve">skulle </w:t>
      </w:r>
      <w:r w:rsidRPr="00FC2616">
        <w:t>avskaffa klimatbonusen vid köp av personbil med omedelbar verkan. Från den 9</w:t>
      </w:r>
      <w:r w:rsidR="00440E0F">
        <w:t> </w:t>
      </w:r>
      <w:r w:rsidRPr="00FC2616">
        <w:t>november 2022 får man ingen bonus vid köp eller beställning av en klimatsmart bil. Beslutet motivera</w:t>
      </w:r>
      <w:r w:rsidR="005233A7">
        <w:t>de</w:t>
      </w:r>
      <w:r w:rsidRPr="00FC2616">
        <w:t xml:space="preserve">s med att ”kostnaden för att äga och köra en klimatbonusbil börjar bli jämförbar med kostnaden för att äga och köra en bensin- eller dieselbil.” </w:t>
      </w:r>
    </w:p>
    <w:p w:rsidRPr="00FC2616" w:rsidR="004E6B3F" w:rsidP="00432A7A" w:rsidRDefault="004E6B3F" w14:paraId="0C4FBDDB" w14:textId="5BE98BFE">
      <w:r w:rsidRPr="00FC2616">
        <w:t>Det är en uppfattning som uppenbarligen inte delas av bilköparna. Mellan oktober 2021 och oktober 2022 nyregistrera</w:t>
      </w:r>
      <w:r w:rsidRPr="00FC2616" w:rsidR="004A1769">
        <w:t>de</w:t>
      </w:r>
      <w:r w:rsidRPr="00FC2616">
        <w:t>s 295</w:t>
      </w:r>
      <w:r w:rsidRPr="00FC2616" w:rsidR="007409FE">
        <w:t> </w:t>
      </w:r>
      <w:r w:rsidRPr="00FC2616">
        <w:t xml:space="preserve">646 bilar. Av dem </w:t>
      </w:r>
      <w:r w:rsidR="005233A7">
        <w:t>va</w:t>
      </w:r>
      <w:r w:rsidRPr="00FC2616">
        <w:t>r endast 29</w:t>
      </w:r>
      <w:r w:rsidR="005233A7">
        <w:t> </w:t>
      </w:r>
      <w:r w:rsidRPr="00FC2616">
        <w:t xml:space="preserve">procent elbilar. Det är en alldeles för låg andel. Åtta av tio bilar i Sverige ägs av hushållen, resten av företag. Medellivslängden för personbilar i Sverige är </w:t>
      </w:r>
      <w:r w:rsidRPr="00FC2616" w:rsidR="00A75090">
        <w:t>ca</w:t>
      </w:r>
      <w:r w:rsidR="001E3935">
        <w:t> </w:t>
      </w:r>
      <w:r w:rsidRPr="00FC2616">
        <w:t>17</w:t>
      </w:r>
      <w:r w:rsidR="001E3935">
        <w:t> </w:t>
      </w:r>
      <w:r w:rsidRPr="00FC2616">
        <w:t>år. Det innebär att om klimatmålen ska nås, och inte en betydande andel relativt nya bilar ska skrotas i framtiden, behöver nybilsförsäljningen snabbt ställa om till 100 procent fossilfria bilar.</w:t>
      </w:r>
    </w:p>
    <w:p w:rsidRPr="00FC2616" w:rsidR="004E6B3F" w:rsidP="004E6B3F" w:rsidRDefault="004E6B3F" w14:paraId="578E9E02" w14:textId="221BC1E6">
      <w:r w:rsidRPr="00FC2616">
        <w:t>Stocken av bilar förändras sålunda långsamt över tid och styrs av nybilsförsäljningen. Med nuvarande struktur på nybilsförsäljningen kommer fossil</w:t>
      </w:r>
      <w:r w:rsidR="000878D4">
        <w:softHyphen/>
      </w:r>
      <w:r w:rsidRPr="00FC2616">
        <w:t xml:space="preserve">drivna bilar </w:t>
      </w:r>
      <w:r w:rsidR="001E3935">
        <w:t xml:space="preserve">att </w:t>
      </w:r>
      <w:r w:rsidRPr="00FC2616">
        <w:t xml:space="preserve">rulla på svenska vägar </w:t>
      </w:r>
      <w:r w:rsidRPr="00FC2616" w:rsidR="00A75090">
        <w:t xml:space="preserve">under </w:t>
      </w:r>
      <w:r w:rsidRPr="00FC2616">
        <w:t xml:space="preserve">lång tid framöver. Det är därför helt centralt att fortsätta </w:t>
      </w:r>
      <w:r w:rsidR="003F13F3">
        <w:t xml:space="preserve">att </w:t>
      </w:r>
      <w:r w:rsidRPr="00FC2616">
        <w:t xml:space="preserve">stödja köp av elbilar och förbättra </w:t>
      </w:r>
      <w:proofErr w:type="spellStart"/>
      <w:r w:rsidRPr="00FC2616">
        <w:t>laddinfrastrukturen</w:t>
      </w:r>
      <w:proofErr w:type="spellEnd"/>
      <w:r w:rsidRPr="00FC2616">
        <w:t>.</w:t>
      </w:r>
      <w:r w:rsidRPr="00FC2616" w:rsidR="00852E12">
        <w:t xml:space="preserve"> </w:t>
      </w:r>
      <w:bookmarkStart w:name="_Hlk119591439" w:id="199"/>
      <w:r w:rsidRPr="00FC2616" w:rsidR="004A1769">
        <w:t>Ungefär hälften</w:t>
      </w:r>
      <w:r w:rsidRPr="00FC2616" w:rsidR="00852E12">
        <w:t xml:space="preserve"> </w:t>
      </w:r>
      <w:r w:rsidRPr="00FC2616">
        <w:t xml:space="preserve">av </w:t>
      </w:r>
      <w:r w:rsidRPr="00FC2616" w:rsidR="00852E12">
        <w:t>de</w:t>
      </w:r>
      <w:r w:rsidRPr="00FC2616">
        <w:t xml:space="preserve"> nya bilar som </w:t>
      </w:r>
      <w:r w:rsidRPr="00FC2616" w:rsidR="00852E12">
        <w:t>sål</w:t>
      </w:r>
      <w:r w:rsidR="00AC3204">
        <w:t>de</w:t>
      </w:r>
      <w:r w:rsidRPr="00FC2616" w:rsidR="00852E12">
        <w:t>s</w:t>
      </w:r>
      <w:r w:rsidRPr="00FC2616" w:rsidR="00C6378D">
        <w:t xml:space="preserve"> </w:t>
      </w:r>
      <w:r w:rsidRPr="00FC2616">
        <w:t xml:space="preserve">under det senaste året </w:t>
      </w:r>
      <w:r w:rsidRPr="00FC2616" w:rsidR="00852E12">
        <w:t>köpt</w:t>
      </w:r>
      <w:r w:rsidR="00AC3204">
        <w:t>e</w:t>
      </w:r>
      <w:r w:rsidRPr="00FC2616" w:rsidR="00852E12">
        <w:t>s av företag</w:t>
      </w:r>
      <w:r w:rsidRPr="00FC2616">
        <w:t xml:space="preserve">. Av </w:t>
      </w:r>
      <w:r w:rsidRPr="00FC2616" w:rsidR="00C6378D">
        <w:t>de</w:t>
      </w:r>
      <w:r w:rsidRPr="00FC2616" w:rsidR="00852E12">
        <w:t xml:space="preserve">m, totalt </w:t>
      </w:r>
      <w:r w:rsidRPr="00FC2616" w:rsidR="00C6378D">
        <w:t>157</w:t>
      </w:r>
      <w:r w:rsidRPr="00FC2616" w:rsidR="007409FE">
        <w:t> </w:t>
      </w:r>
      <w:r w:rsidRPr="00FC2616" w:rsidR="00C6378D">
        <w:t>594</w:t>
      </w:r>
      <w:r w:rsidRPr="00FC2616">
        <w:t xml:space="preserve"> bilar</w:t>
      </w:r>
      <w:r w:rsidRPr="00FC2616" w:rsidR="00852E12">
        <w:t>,</w:t>
      </w:r>
      <w:r w:rsidRPr="00FC2616">
        <w:t xml:space="preserve"> var endast </w:t>
      </w:r>
      <w:r w:rsidRPr="00FC2616" w:rsidR="00C6378D">
        <w:t>23</w:t>
      </w:r>
      <w:r w:rsidR="00861E45">
        <w:t> </w:t>
      </w:r>
      <w:r w:rsidRPr="00FC2616" w:rsidR="00C6378D">
        <w:t xml:space="preserve">procent </w:t>
      </w:r>
      <w:r w:rsidRPr="00FC2616">
        <w:t xml:space="preserve">elbilar. </w:t>
      </w:r>
      <w:bookmarkEnd w:id="199"/>
      <w:r w:rsidRPr="00FC2616">
        <w:t>Att företagen underpresterar avseende köp av elbilar bör delvis hanteras med skärpt reglering, där det ställs högre krav på tjänstebilar. Det bör exempelvis ställas krav på att företag som erbjuder anställda tjänstebil måste erbjuda ett alternativ som är fossilfritt. På längre sikt bör tjänstebilar endast undantagsvis tillåtas att vara fossildrivna.</w:t>
      </w:r>
    </w:p>
    <w:p w:rsidRPr="00FC2616" w:rsidR="004E6B3F" w:rsidRDefault="004E6B3F" w14:paraId="4EC67683" w14:textId="7001D791">
      <w:r w:rsidRPr="00FC2616">
        <w:t>På hushållssidan är reglering inte ett praktiskt möjligt alternativ. Hushållen behöver transportera sig och kan i normalfallet endast i begränsad omfattning påverka sina inkomster. Hushållen måste därför möta fossilfria alternativ som är ekonomiskt möjliga. Att initialt tillåta att mycket dyra bilar subventioneras, så som gjorts och vars kunder sannolikt har råd att bära hela kostnaden, kan bara motiveras i ett tidigt utvecklingsläge där ny teknik introduceras och är dyr. Elbilsmarknaden är dock så mogen i</w:t>
      </w:r>
      <w:r w:rsidRPr="00FC2616" w:rsidR="0000057A">
        <w:t xml:space="preserve"> </w:t>
      </w:r>
      <w:r w:rsidRPr="00FC2616">
        <w:t xml:space="preserve">dag att stödet måste utformas </w:t>
      </w:r>
      <w:r w:rsidRPr="00FC2616" w:rsidR="0000057A">
        <w:t>så</w:t>
      </w:r>
      <w:r w:rsidRPr="00FC2616">
        <w:t xml:space="preserve"> att det ger incitament till att utveckla bilar som vanliga hushåll har råd med. Den nuvarande utformning</w:t>
      </w:r>
      <w:r w:rsidRPr="00FC2616" w:rsidR="0000057A">
        <w:t>en</w:t>
      </w:r>
      <w:r w:rsidRPr="00FC2616">
        <w:t xml:space="preserve"> har inte stimulerat till prispress och att marknaden producerat elbilar till ett pris som är överkomligt för hushållen. </w:t>
      </w:r>
    </w:p>
    <w:p w:rsidRPr="00FC2616" w:rsidR="004E6B3F" w:rsidP="004E6B3F" w:rsidRDefault="004E6B3F" w14:paraId="33B1C4E4" w14:textId="40F2EBDB">
      <w:r w:rsidRPr="00FC2616">
        <w:t>Vänsterpartiet anser att klimatbonusen bör behållas men reformeras så att</w:t>
      </w:r>
      <w:r w:rsidRPr="00FC2616" w:rsidR="00B433A2">
        <w:t xml:space="preserve"> de</w:t>
      </w:r>
      <w:r w:rsidR="00440FEF">
        <w:t>n</w:t>
      </w:r>
      <w:r w:rsidRPr="00FC2616">
        <w:t xml:space="preserve"> i större utsträckning kan utnyttjas av </w:t>
      </w:r>
      <w:r w:rsidRPr="00FC2616" w:rsidR="00B433A2">
        <w:t xml:space="preserve">dem </w:t>
      </w:r>
      <w:r w:rsidRPr="00FC2616">
        <w:t xml:space="preserve">med lägre inkomster och ger incitament för prispress på marknaden. </w:t>
      </w:r>
    </w:p>
    <w:p w:rsidRPr="00FC2616" w:rsidR="004E6B3F" w:rsidP="004E6B3F" w:rsidRDefault="00C6378D" w14:paraId="01F7F964" w14:textId="039C287C">
      <w:r w:rsidRPr="00FC2616">
        <w:lastRenderedPageBreak/>
        <w:t>Vårt förslag innebär att det pristak som en bil måsta ligga under för att omfa</w:t>
      </w:r>
      <w:r w:rsidRPr="00FC2616" w:rsidR="00E82543">
        <w:t>t</w:t>
      </w:r>
      <w:r w:rsidRPr="00FC2616">
        <w:t>tas av stödet sänks från 700</w:t>
      </w:r>
      <w:r w:rsidRPr="00FC2616" w:rsidR="00F87DDD">
        <w:t> </w:t>
      </w:r>
      <w:r w:rsidRPr="00FC2616">
        <w:t>000</w:t>
      </w:r>
      <w:r w:rsidRPr="00FC2616" w:rsidR="00F87DDD">
        <w:t xml:space="preserve"> kronor</w:t>
      </w:r>
      <w:r w:rsidRPr="00FC2616" w:rsidR="004E6B3F">
        <w:t xml:space="preserve"> till 550</w:t>
      </w:r>
      <w:r w:rsidRPr="00FC2616" w:rsidR="00901B5E">
        <w:t> </w:t>
      </w:r>
      <w:r w:rsidRPr="00FC2616" w:rsidR="004E6B3F">
        <w:t>000 kronor. Bilar som kostar upp till 350</w:t>
      </w:r>
      <w:r w:rsidRPr="00FC2616" w:rsidR="00901B5E">
        <w:t> </w:t>
      </w:r>
      <w:r w:rsidRPr="00FC2616" w:rsidR="004E6B3F">
        <w:t>000 kronor bör ge en bonus motsvarande 30</w:t>
      </w:r>
      <w:r w:rsidR="00CD4798">
        <w:t> </w:t>
      </w:r>
      <w:r w:rsidRPr="00FC2616" w:rsidR="004E6B3F">
        <w:t>procent av bilens pris. För bilar som kostar över 350</w:t>
      </w:r>
      <w:r w:rsidRPr="00FC2616" w:rsidR="00901B5E">
        <w:t> </w:t>
      </w:r>
      <w:r w:rsidRPr="00FC2616" w:rsidR="004E6B3F">
        <w:t>000 kronor betalas 105</w:t>
      </w:r>
      <w:r w:rsidRPr="00FC2616" w:rsidR="00901B5E">
        <w:t> </w:t>
      </w:r>
      <w:r w:rsidRPr="00FC2616" w:rsidR="004E6B3F">
        <w:t>000 kronor minus 25</w:t>
      </w:r>
      <w:r w:rsidR="00CD4798">
        <w:t> </w:t>
      </w:r>
      <w:r w:rsidRPr="00FC2616" w:rsidR="004E6B3F">
        <w:t>procent av bilens pris som överstiger 350</w:t>
      </w:r>
      <w:r w:rsidRPr="00FC2616" w:rsidR="00901B5E">
        <w:t> </w:t>
      </w:r>
      <w:r w:rsidRPr="00FC2616" w:rsidR="004E6B3F">
        <w:t>000. Det innebär att en bil som kostar 450</w:t>
      </w:r>
      <w:r w:rsidRPr="00FC2616" w:rsidR="00901B5E">
        <w:t> </w:t>
      </w:r>
      <w:r w:rsidRPr="00FC2616" w:rsidR="004E6B3F">
        <w:t>000 kronor ger en bonus på 80</w:t>
      </w:r>
      <w:r w:rsidRPr="00FC2616" w:rsidR="00901B5E">
        <w:t> </w:t>
      </w:r>
      <w:r w:rsidRPr="00FC2616" w:rsidR="004E6B3F">
        <w:t>000 kronor och en bil som kostar 550</w:t>
      </w:r>
      <w:r w:rsidRPr="00FC2616" w:rsidR="00901B5E">
        <w:t> </w:t>
      </w:r>
      <w:r w:rsidRPr="00FC2616" w:rsidR="004E6B3F">
        <w:t>000 kronor ger en bonus på 55</w:t>
      </w:r>
      <w:r w:rsidRPr="00FC2616" w:rsidR="00901B5E">
        <w:t> </w:t>
      </w:r>
      <w:r w:rsidRPr="00FC2616" w:rsidR="004E6B3F">
        <w:t xml:space="preserve">000 kronor. </w:t>
      </w:r>
    </w:p>
    <w:p w:rsidRPr="00FC2616" w:rsidR="004E6B3F" w:rsidP="004E6B3F" w:rsidRDefault="004E6B3F" w14:paraId="72F8A452" w14:textId="127022CD">
      <w:r w:rsidRPr="00FC2616">
        <w:t>Även begagnade bilar bör omfattas, men då med ett pristak på 400</w:t>
      </w:r>
      <w:r w:rsidRPr="00FC2616" w:rsidR="00901B5E">
        <w:t> </w:t>
      </w:r>
      <w:r w:rsidRPr="00FC2616">
        <w:t>000 kronor och med en ersättningsgrad om 10</w:t>
      </w:r>
      <w:r w:rsidR="00CD4798">
        <w:t> </w:t>
      </w:r>
      <w:r w:rsidRPr="00FC2616">
        <w:t>procent oavsett prisnivå. Detta för att öka efterfrågan på begagnade elbilar, som i</w:t>
      </w:r>
      <w:r w:rsidRPr="00FC2616" w:rsidR="00901B5E">
        <w:t xml:space="preserve"> </w:t>
      </w:r>
      <w:r w:rsidRPr="00FC2616">
        <w:t>dag ofta säljs utomlands där efterfrågan är större. En begagnad bil ska enligt vårt förslag ge klimatbonus först tre år efter det att den nybilregistrerades och den måste säljas av den ursprungliga ägaren. Begagnade bilar kan bara ge klimat</w:t>
      </w:r>
      <w:r w:rsidR="00446CD6">
        <w:softHyphen/>
      </w:r>
      <w:r w:rsidRPr="00FC2616">
        <w:t xml:space="preserve">bonus en gång. Detta för att förhindra att systemet utnyttjas. </w:t>
      </w:r>
    </w:p>
    <w:p w:rsidRPr="00FC2616" w:rsidR="004E6B3F" w:rsidP="004E6B3F" w:rsidRDefault="004E6B3F" w14:paraId="197B7F1C" w14:textId="72F3CAE4">
      <w:r w:rsidRPr="00FC2616">
        <w:t>Som mest uppgår bonusen till 105</w:t>
      </w:r>
      <w:r w:rsidRPr="00FC2616" w:rsidR="00901B5E">
        <w:t> </w:t>
      </w:r>
      <w:r w:rsidRPr="00FC2616">
        <w:t>000 kronor. Det gäller bilar som kostar 350</w:t>
      </w:r>
      <w:r w:rsidRPr="00FC2616" w:rsidR="007E2686">
        <w:t> </w:t>
      </w:r>
      <w:r w:rsidRPr="00FC2616">
        <w:t>000</w:t>
      </w:r>
      <w:r w:rsidRPr="00FC2616" w:rsidR="007E2686">
        <w:t xml:space="preserve"> kronor</w:t>
      </w:r>
      <w:r w:rsidRPr="00FC2616">
        <w:t xml:space="preserve">. Förändringarna i systemet beräknas vara kostnadsneutrala för staten </w:t>
      </w:r>
      <w:r w:rsidRPr="00FC2616" w:rsidR="00590799">
        <w:t>i för</w:t>
      </w:r>
      <w:r w:rsidR="00446CD6">
        <w:softHyphen/>
      </w:r>
      <w:r w:rsidRPr="00FC2616" w:rsidR="00590799">
        <w:t xml:space="preserve">hållande till det system som gällde före </w:t>
      </w:r>
      <w:r w:rsidRPr="00FC2616">
        <w:t>den 8</w:t>
      </w:r>
      <w:r w:rsidR="003977AD">
        <w:t> </w:t>
      </w:r>
      <w:r w:rsidRPr="00FC2616">
        <w:t xml:space="preserve">november 2022. </w:t>
      </w:r>
    </w:p>
    <w:p w:rsidRPr="00FC2616" w:rsidR="00852E12" w:rsidP="004E6B3F" w:rsidRDefault="00852E12" w14:paraId="51B797E6" w14:textId="4643901A">
      <w:r w:rsidRPr="00FC2616">
        <w:t xml:space="preserve">Vänsterpartiet vill också </w:t>
      </w:r>
      <w:r w:rsidRPr="00FC2616" w:rsidR="00302C37">
        <w:t>införa</w:t>
      </w:r>
      <w:r w:rsidRPr="00FC2616">
        <w:t xml:space="preserve"> ett </w:t>
      </w:r>
      <w:r w:rsidRPr="00FC2616" w:rsidR="00302C37">
        <w:t>klimatomställningsstöd för personbilar</w:t>
      </w:r>
      <w:r w:rsidRPr="00FC2616">
        <w:t xml:space="preserve"> bestående av en skrotningspremie samt ett stöd till konvertering från bensin- och dieselbil till drift med förnybara bränslen. Vi avsätter 250 miljoner kronor 2023 och 550 miljoner kronor per år från 2024 för satsningen. </w:t>
      </w:r>
    </w:p>
    <w:p w:rsidRPr="00E07F0A" w:rsidR="00671E51" w:rsidP="00E07F0A" w:rsidRDefault="00671E51" w14:paraId="0D93294A" w14:textId="77777777">
      <w:pPr>
        <w:pStyle w:val="Normalutanindragellerluft"/>
        <w:spacing w:before="240"/>
        <w:rPr>
          <w:b/>
          <w:bCs/>
        </w:rPr>
      </w:pPr>
      <w:r w:rsidRPr="00E07F0A">
        <w:rPr>
          <w:b/>
          <w:bCs/>
        </w:rPr>
        <w:t>Vänsterpartiets förslag:</w:t>
      </w:r>
    </w:p>
    <w:p w:rsidRPr="00FC2616" w:rsidR="00671E51" w:rsidP="00B21131" w:rsidRDefault="00671E51" w14:paraId="75BC989A" w14:textId="6B8D5E48">
      <w:pPr>
        <w:pStyle w:val="ListaPunkt"/>
        <w:ind w:left="340" w:hanging="340"/>
      </w:pPr>
      <w:r w:rsidRPr="00FC2616">
        <w:t>Behåll klimatbonusen men reformera den enligt beskrivningen ovan.</w:t>
      </w:r>
    </w:p>
    <w:p w:rsidRPr="00FC2616" w:rsidR="00852E12" w:rsidP="00B21131" w:rsidRDefault="00852E12" w14:paraId="0B737837" w14:textId="60953987">
      <w:pPr>
        <w:pStyle w:val="ListaPunkt"/>
        <w:ind w:left="340" w:hanging="340"/>
      </w:pPr>
      <w:r w:rsidRPr="00FC2616">
        <w:t xml:space="preserve">Inför ett </w:t>
      </w:r>
      <w:r w:rsidRPr="00FC2616" w:rsidR="00302C37">
        <w:t>klimatomställningsstöd för personbilar</w:t>
      </w:r>
      <w:r w:rsidRPr="00FC2616">
        <w:t xml:space="preserve"> bestående av en skrotningspremie samt ett stöd till konvertering från bensin- och dieselbil till drift med förnybara bränslen</w:t>
      </w:r>
      <w:r w:rsidRPr="00FC2616" w:rsidR="00CC5FFB">
        <w:t>.</w:t>
      </w:r>
    </w:p>
    <w:p w:rsidRPr="00FC2616" w:rsidR="000B45DB" w:rsidP="00D60AE5" w:rsidRDefault="000B45DB" w14:paraId="7FC023F5" w14:textId="77777777">
      <w:pPr>
        <w:pStyle w:val="Rubrik2numrerat"/>
      </w:pPr>
      <w:bookmarkStart w:name="_Toc149814585" w:id="200"/>
      <w:r w:rsidRPr="00FC2616">
        <w:t>Underhåll befintlig transportinfrastruktur</w:t>
      </w:r>
      <w:bookmarkEnd w:id="200"/>
    </w:p>
    <w:p w:rsidRPr="00FC2616" w:rsidR="000B45DB" w:rsidP="00D60AE5" w:rsidRDefault="000B45DB" w14:paraId="6BFE470F" w14:textId="0DBB846B">
      <w:pPr>
        <w:pStyle w:val="Normalutanindragellerluft"/>
      </w:pPr>
      <w:r w:rsidRPr="00FC2616">
        <w:t>Sett i ett livscykelperspektiv finns det klimatfördelar med att vårda den infrastruktur som redan finns. Vänsterpartiet delar regeringens bedömning att det finns behov av ökade medel till drift och underhåll för såväl järnvägar som vägar, främst på lands</w:t>
      </w:r>
      <w:r w:rsidR="00446CD6">
        <w:softHyphen/>
      </w:r>
      <w:r w:rsidRPr="00FC2616">
        <w:t>bygd</w:t>
      </w:r>
      <w:r w:rsidR="0092303A">
        <w:t>en</w:t>
      </w:r>
      <w:r w:rsidRPr="00FC2616">
        <w:t xml:space="preserve"> och i glesbygd. För klimatomställningen är det nödvändigt att återställa allmänhetens och näringslivets förtroende för järnvägstrafiken. Att åtgärda brister i</w:t>
      </w:r>
      <w:r w:rsidR="00B16DF7">
        <w:t xml:space="preserve"> </w:t>
      </w:r>
      <w:r w:rsidRPr="00FC2616">
        <w:t xml:space="preserve">järnvägsinfrastrukturen </w:t>
      </w:r>
      <w:r w:rsidR="00B16DF7">
        <w:t xml:space="preserve">och </w:t>
      </w:r>
      <w:r w:rsidRPr="00FC2616" w:rsidR="00B16DF7">
        <w:t xml:space="preserve">öka </w:t>
      </w:r>
      <w:r w:rsidR="00B16DF7">
        <w:t xml:space="preserve">dess </w:t>
      </w:r>
      <w:r w:rsidRPr="00FC2616" w:rsidR="00B16DF7">
        <w:t xml:space="preserve">robusthet </w:t>
      </w:r>
      <w:r w:rsidRPr="00FC2616">
        <w:t>är en viktig del av detta.</w:t>
      </w:r>
    </w:p>
    <w:p w:rsidRPr="00FC2616" w:rsidR="000B45DB" w:rsidP="00D60AE5" w:rsidRDefault="000B45DB" w14:paraId="71CBF11D" w14:textId="003E49F6">
      <w:r w:rsidRPr="00FC2616">
        <w:t xml:space="preserve">Regeringens anslag till järnvägsunderhållet är dock otillräckliga. Nuvarande anslagsnivåer för järnvägsunderhållet i nationell plan 2022–2033 räcker inte för att upprätthålla dagens standard i järnvägssystemet. De kommer dessutom att innebära ett antal nedläggningar av regionala järnvägsbanor. </w:t>
      </w:r>
    </w:p>
    <w:p w:rsidRPr="00FC2616" w:rsidR="000B45DB" w:rsidP="00D60AE5" w:rsidRDefault="000B45DB" w14:paraId="393D9BE4" w14:textId="6DD3AC73">
      <w:r w:rsidRPr="00FC2616">
        <w:t>Enligt Trafikverkets egen bedömning kommer både väg</w:t>
      </w:r>
      <w:r w:rsidR="001D019A">
        <w:t>ar</w:t>
      </w:r>
      <w:r w:rsidRPr="00FC2616">
        <w:t xml:space="preserve"> och järnväg</w:t>
      </w:r>
      <w:r w:rsidR="001D019A">
        <w:t>ar</w:t>
      </w:r>
      <w:r w:rsidRPr="00FC2616">
        <w:t xml:space="preserve"> </w:t>
      </w:r>
      <w:r w:rsidR="001D019A">
        <w:t xml:space="preserve">att </w:t>
      </w:r>
      <w:r w:rsidRPr="00FC2616">
        <w:t xml:space="preserve">vara i ett sämre skick vid slutet av transportinfrastrukturens planperiod 2033 på grund av </w:t>
      </w:r>
      <w:r w:rsidR="00786516">
        <w:t xml:space="preserve">en </w:t>
      </w:r>
      <w:r w:rsidRPr="00FC2616">
        <w:t>otillräcklig finansiering och en avreglerad marknad som försämrar den statliga styr</w:t>
      </w:r>
      <w:r w:rsidR="00446CD6">
        <w:softHyphen/>
      </w:r>
      <w:r w:rsidRPr="00FC2616">
        <w:t xml:space="preserve">ningen. Med detta följer ökade förseningar och </w:t>
      </w:r>
      <w:r w:rsidR="00786516">
        <w:t xml:space="preserve">en </w:t>
      </w:r>
      <w:r w:rsidRPr="00FC2616">
        <w:t>ökad risk för olyckor.</w:t>
      </w:r>
    </w:p>
    <w:p w:rsidRPr="00FC2616" w:rsidR="000B45DB" w:rsidP="00B50CBA" w:rsidRDefault="000B45DB" w14:paraId="0B925D7C" w14:textId="77777777">
      <w:pPr>
        <w:pStyle w:val="Rubrik3numrerat"/>
      </w:pPr>
      <w:bookmarkStart w:name="_Toc149814586" w:id="201"/>
      <w:r w:rsidRPr="00FC2616">
        <w:rPr>
          <w:lang w:eastAsia="sv-SE"/>
        </w:rPr>
        <w:t>Lånefinansiera</w:t>
      </w:r>
      <w:r w:rsidRPr="00FC2616">
        <w:t xml:space="preserve"> de nya stambanorna – höghastighetsbanorna</w:t>
      </w:r>
      <w:bookmarkEnd w:id="201"/>
    </w:p>
    <w:p w:rsidRPr="00FC2616" w:rsidR="000B45DB" w:rsidP="00B21131" w:rsidRDefault="000B45DB" w14:paraId="251AACD0" w14:textId="2691B5F9">
      <w:pPr>
        <w:pStyle w:val="Normalutanindragellerluft"/>
      </w:pPr>
      <w:r w:rsidRPr="00FC2616">
        <w:t xml:space="preserve">Det är redan nu fullt på spåren mellan våra tre största städer och det är svårt att i någon större utsträckning öka järnvägstransporterna för personer och gods. När den två mil </w:t>
      </w:r>
      <w:r w:rsidRPr="00FC2616">
        <w:lastRenderedPageBreak/>
        <w:t xml:space="preserve">långa Fehmarn </w:t>
      </w:r>
      <w:r w:rsidR="00C41F73">
        <w:t>B</w:t>
      </w:r>
      <w:r w:rsidRPr="00FC2616">
        <w:t>ält-tunneln mellan Danmark och Tyskland står färdig senast 2029 kommer vi att kunna resa snabbare till Hamburg från Malmö (på 3</w:t>
      </w:r>
      <w:r w:rsidR="00CB71F9">
        <w:t> </w:t>
      </w:r>
      <w:r w:rsidRPr="00FC2616">
        <w:t>timmar jämfört med dagens 5,5) än till Stockholm. Både gods- och persontransporterna väntas öka kraftigt. I</w:t>
      </w:r>
      <w:r w:rsidRPr="00FC2616" w:rsidR="00CC5FFB">
        <w:t xml:space="preserve"> </w:t>
      </w:r>
      <w:r w:rsidRPr="00FC2616">
        <w:t xml:space="preserve">dag finns </w:t>
      </w:r>
      <w:r w:rsidR="009F13E8">
        <w:t xml:space="preserve">det </w:t>
      </w:r>
      <w:r w:rsidRPr="00FC2616">
        <w:t>inte plats för detta. Bygger vi inte ut kapaciteten på våra spår nu kommer hela Sverige att förvandlas till en flaskhals; människor och gods kommer att resa med flyg och på väg</w:t>
      </w:r>
      <w:r w:rsidR="0007238C">
        <w:t>arna</w:t>
      </w:r>
      <w:r w:rsidRPr="00FC2616">
        <w:t>. Därför måste de nya stambanorna byggas.</w:t>
      </w:r>
    </w:p>
    <w:p w:rsidRPr="00FC2616" w:rsidR="000B45DB" w:rsidP="005908F1" w:rsidRDefault="000B45DB" w14:paraId="29A29FA5" w14:textId="18FF3F9C">
      <w:r w:rsidRPr="00FC2616">
        <w:t>När vi bygger ny järnväg anser Vänsterpartiet att det är rimligt att vi bygger för höga hastigheter, dvs. 320</w:t>
      </w:r>
      <w:r w:rsidR="00D717FD">
        <w:t> </w:t>
      </w:r>
      <w:r w:rsidRPr="00FC2616">
        <w:t>km/h. Kostnaden jämfört med att bygga för långsammare tåg är liten och vinns igen mångfalt när fler tåg kan köras i högre hastighet. Erfarenheterna från andra höghastighetsbanor är att om restiden blir under tre timmar väljer resenären tåget framför flyget.</w:t>
      </w:r>
    </w:p>
    <w:p w:rsidRPr="00FC2616" w:rsidR="000B45DB" w:rsidP="000B45DB" w:rsidRDefault="000B45DB" w14:paraId="688D782D" w14:textId="4A612A50">
      <w:r w:rsidRPr="00FC2616">
        <w:t>Det behövs ökade investeringar i främst järnväg</w:t>
      </w:r>
      <w:r w:rsidR="00DF7695">
        <w:t>ar</w:t>
      </w:r>
      <w:r w:rsidRPr="00FC2616">
        <w:t xml:space="preserve"> och underhåll. Vänsterpartiet satsar därför mest av alla partier på hållbara infrastrukturinvesteringar för perioden 2022–2033. Vi kräver också en infrastrukturplanering i linje med vårt klimatmål för transportsektorn, minskade utsläpp med 70</w:t>
      </w:r>
      <w:r w:rsidR="002F7487">
        <w:t> </w:t>
      </w:r>
      <w:r w:rsidRPr="00FC2616">
        <w:t>procent till 2030. Det gör att ett antal storskaliga motorvägsprojekt måste plockas bort från planeringen.</w:t>
      </w:r>
    </w:p>
    <w:p w:rsidRPr="00E07F0A" w:rsidR="00963406" w:rsidP="00E07F0A" w:rsidRDefault="00963406" w14:paraId="35AF09D9" w14:textId="77777777">
      <w:pPr>
        <w:pStyle w:val="Normalutanindragellerluft"/>
        <w:spacing w:before="240"/>
        <w:rPr>
          <w:b/>
          <w:bCs/>
        </w:rPr>
      </w:pPr>
      <w:r w:rsidRPr="00E07F0A">
        <w:rPr>
          <w:b/>
          <w:bCs/>
        </w:rPr>
        <w:t>Vänsterpartiets förslag:</w:t>
      </w:r>
    </w:p>
    <w:p w:rsidRPr="00FC2616" w:rsidR="00963406" w:rsidP="00B21131" w:rsidRDefault="00963406" w14:paraId="1719A912" w14:textId="77777777">
      <w:pPr>
        <w:pStyle w:val="ListaPunkt"/>
        <w:ind w:left="340" w:hanging="340"/>
        <w:rPr>
          <w:rFonts w:eastAsia="Calibri"/>
        </w:rPr>
      </w:pPr>
      <w:bookmarkStart w:name="_Hlk111042849" w:id="202"/>
      <w:r w:rsidRPr="00FC2616">
        <w:rPr>
          <w:rFonts w:eastAsia="Calibri"/>
        </w:rPr>
        <w:t>Ökade ekonomiska ramar. Vi föreslår 170 miljarder kronor utöver regeringens förslag till investeringar i järnväg och utbyggd cykelinfrastruktur.</w:t>
      </w:r>
    </w:p>
    <w:p w:rsidRPr="00FC2616" w:rsidR="00963406" w:rsidP="00B21131" w:rsidRDefault="00963406" w14:paraId="4E77C5D8" w14:textId="3DD4B278">
      <w:pPr>
        <w:pStyle w:val="ListaPunkt"/>
        <w:ind w:left="340" w:hanging="340"/>
        <w:rPr>
          <w:rFonts w:eastAsia="Calibri"/>
        </w:rPr>
      </w:pPr>
      <w:r w:rsidRPr="00FC2616">
        <w:rPr>
          <w:rFonts w:eastAsia="Calibri"/>
        </w:rPr>
        <w:t>Varav 60</w:t>
      </w:r>
      <w:r w:rsidR="00812A9B">
        <w:rPr>
          <w:rFonts w:eastAsia="Calibri"/>
        </w:rPr>
        <w:t> </w:t>
      </w:r>
      <w:r w:rsidRPr="00FC2616">
        <w:rPr>
          <w:rFonts w:eastAsia="Calibri"/>
        </w:rPr>
        <w:t>miljarder kronor mer än regeringen till en finansierad underhållsplan för järnvägssystemet, så att all järnväg kan rustas upp. På så sätt kan underhållsskulden arbetas av.</w:t>
      </w:r>
    </w:p>
    <w:p w:rsidRPr="00FC2616" w:rsidR="00963406" w:rsidP="00B21131" w:rsidRDefault="00963406" w14:paraId="63EDD30C" w14:textId="66F19E2E">
      <w:pPr>
        <w:pStyle w:val="ListaPunkt"/>
        <w:ind w:left="340" w:hanging="340"/>
        <w:rPr>
          <w:rFonts w:eastAsia="Calibri"/>
        </w:rPr>
      </w:pPr>
      <w:r w:rsidRPr="00FC2616">
        <w:rPr>
          <w:rFonts w:eastAsia="Calibri"/>
        </w:rPr>
        <w:t>Varav 9</w:t>
      </w:r>
      <w:r w:rsidR="00812A9B">
        <w:rPr>
          <w:rFonts w:eastAsia="Calibri"/>
        </w:rPr>
        <w:t> </w:t>
      </w:r>
      <w:r w:rsidRPr="00FC2616">
        <w:rPr>
          <w:rFonts w:eastAsia="Calibri"/>
        </w:rPr>
        <w:t>miljarder kronor mer än regeringen till bättre vägunderhåll, i synnerhet i glesbygd.</w:t>
      </w:r>
    </w:p>
    <w:p w:rsidRPr="00FC2616" w:rsidR="00BE319A" w:rsidP="00B21131" w:rsidRDefault="00BE319A" w14:paraId="13F664C8" w14:textId="06D81F46">
      <w:pPr>
        <w:pStyle w:val="ListaPunkt"/>
        <w:ind w:left="340" w:hanging="340"/>
        <w:rPr>
          <w:rFonts w:eastAsia="Calibri"/>
        </w:rPr>
      </w:pPr>
      <w:r w:rsidRPr="00FC2616">
        <w:rPr>
          <w:rFonts w:eastAsia="Calibri"/>
        </w:rPr>
        <w:t xml:space="preserve">Ökade anslag om 15,4 miljarder 2024 och 2025 i syfte att stärka befintlig transportinfrastruktur inklusive nya bansträckningar. </w:t>
      </w:r>
    </w:p>
    <w:p w:rsidRPr="00FC2616" w:rsidR="00335FEE" w:rsidP="00B21131" w:rsidRDefault="00BE319A" w14:paraId="4A0ECCE8" w14:textId="07EEBCB9">
      <w:pPr>
        <w:pStyle w:val="ListaPunkt"/>
        <w:ind w:left="340" w:hanging="340"/>
        <w:rPr>
          <w:rFonts w:eastAsia="Calibri"/>
        </w:rPr>
      </w:pPr>
      <w:r w:rsidRPr="00FC2616">
        <w:rPr>
          <w:rFonts w:eastAsia="Calibri"/>
        </w:rPr>
        <w:t>Tillskjutna medel för realiserandet av höghastighetsbanan, 7,5</w:t>
      </w:r>
      <w:r w:rsidR="00812A9B">
        <w:rPr>
          <w:rFonts w:eastAsia="Calibri"/>
        </w:rPr>
        <w:t> </w:t>
      </w:r>
      <w:r w:rsidRPr="00FC2616">
        <w:rPr>
          <w:rFonts w:eastAsia="Calibri"/>
        </w:rPr>
        <w:t>miljarder 2024 och 10</w:t>
      </w:r>
      <w:r w:rsidR="00812A9B">
        <w:rPr>
          <w:rFonts w:eastAsia="Calibri"/>
        </w:rPr>
        <w:t> </w:t>
      </w:r>
      <w:r w:rsidRPr="00FC2616">
        <w:rPr>
          <w:rFonts w:eastAsia="Calibri"/>
        </w:rPr>
        <w:t xml:space="preserve">miljarder 2025. </w:t>
      </w:r>
      <w:bookmarkEnd w:id="202"/>
    </w:p>
    <w:p w:rsidRPr="00FC2616" w:rsidR="00963406" w:rsidP="00335FEE" w:rsidRDefault="00963406" w14:paraId="35C65C8F" w14:textId="77B085ED">
      <w:pPr>
        <w:pStyle w:val="Normalutanindragellerluft"/>
        <w:rPr>
          <w:rFonts w:eastAsia="Calibri"/>
        </w:rPr>
      </w:pPr>
      <w:r w:rsidRPr="00FC2616">
        <w:rPr>
          <w:rFonts w:eastAsia="Calibri"/>
        </w:rPr>
        <w:t>Exempel på projekt som vi finansierar utöver regeringens anslag:</w:t>
      </w:r>
    </w:p>
    <w:p w:rsidRPr="00FC2616" w:rsidR="00963406" w:rsidP="00B21131" w:rsidRDefault="00963406" w14:paraId="15D9B4B1" w14:textId="77CBC22F">
      <w:pPr>
        <w:pStyle w:val="ListaLinje"/>
        <w:ind w:left="340" w:hanging="340"/>
        <w:rPr>
          <w:rFonts w:eastAsia="Calibri"/>
        </w:rPr>
      </w:pPr>
      <w:proofErr w:type="spellStart"/>
      <w:r w:rsidRPr="00FC2616">
        <w:rPr>
          <w:rFonts w:eastAsia="Calibri"/>
        </w:rPr>
        <w:t>Norrbotniabanan</w:t>
      </w:r>
      <w:proofErr w:type="spellEnd"/>
      <w:r w:rsidR="00277C40">
        <w:rPr>
          <w:rFonts w:eastAsia="Calibri"/>
        </w:rPr>
        <w:t>.</w:t>
      </w:r>
    </w:p>
    <w:p w:rsidRPr="00FC2616" w:rsidR="00963406" w:rsidP="00B21131" w:rsidRDefault="00963406" w14:paraId="5BF59C80" w14:textId="5EE5874C">
      <w:pPr>
        <w:pStyle w:val="ListaLinje"/>
        <w:ind w:left="340" w:hanging="340"/>
        <w:rPr>
          <w:rFonts w:eastAsia="Calibri"/>
        </w:rPr>
      </w:pPr>
      <w:r w:rsidRPr="00FC2616">
        <w:rPr>
          <w:rFonts w:eastAsia="Calibri"/>
        </w:rPr>
        <w:t>Nya ostkustbanan (dubbelspåret Gävle</w:t>
      </w:r>
      <w:r w:rsidR="00B55DF0">
        <w:rPr>
          <w:rFonts w:eastAsia="Calibri"/>
        </w:rPr>
        <w:t>–</w:t>
      </w:r>
      <w:r w:rsidRPr="00FC2616">
        <w:rPr>
          <w:rFonts w:eastAsia="Calibri"/>
        </w:rPr>
        <w:t>Härnösand), fyrspåret Uppsala</w:t>
      </w:r>
      <w:r w:rsidR="00277C40">
        <w:rPr>
          <w:rFonts w:eastAsia="Calibri"/>
        </w:rPr>
        <w:t>–</w:t>
      </w:r>
      <w:r w:rsidRPr="00FC2616">
        <w:rPr>
          <w:rFonts w:eastAsia="Calibri"/>
        </w:rPr>
        <w:t xml:space="preserve">Stockholm (vi tidigarelägger och föreslår även </w:t>
      </w:r>
      <w:r w:rsidR="00277C40">
        <w:rPr>
          <w:rFonts w:eastAsia="Calibri"/>
        </w:rPr>
        <w:t xml:space="preserve">en </w:t>
      </w:r>
      <w:r w:rsidRPr="00FC2616">
        <w:rPr>
          <w:rFonts w:eastAsia="Calibri"/>
        </w:rPr>
        <w:t>ny station i Märsta)</w:t>
      </w:r>
      <w:r w:rsidR="00277C40">
        <w:rPr>
          <w:rFonts w:eastAsia="Calibri"/>
        </w:rPr>
        <w:t>.</w:t>
      </w:r>
    </w:p>
    <w:p w:rsidRPr="00FC2616" w:rsidR="00963406" w:rsidP="00B21131" w:rsidRDefault="00963406" w14:paraId="7881CF29" w14:textId="26846320">
      <w:pPr>
        <w:pStyle w:val="ListaLinje"/>
        <w:ind w:left="340" w:hanging="340"/>
        <w:rPr>
          <w:rFonts w:eastAsia="Calibri"/>
        </w:rPr>
      </w:pPr>
      <w:proofErr w:type="spellStart"/>
      <w:r w:rsidRPr="00FC2616">
        <w:rPr>
          <w:rFonts w:eastAsia="Calibri"/>
        </w:rPr>
        <w:t>Fyrspår</w:t>
      </w:r>
      <w:proofErr w:type="spellEnd"/>
      <w:r w:rsidRPr="00FC2616">
        <w:rPr>
          <w:rFonts w:eastAsia="Calibri"/>
        </w:rPr>
        <w:t xml:space="preserve"> Alingsås</w:t>
      </w:r>
      <w:r w:rsidR="00B55DF0">
        <w:rPr>
          <w:rFonts w:eastAsia="Calibri"/>
        </w:rPr>
        <w:t>–</w:t>
      </w:r>
      <w:r w:rsidRPr="00FC2616">
        <w:rPr>
          <w:rFonts w:eastAsia="Calibri"/>
        </w:rPr>
        <w:t>Göteborg</w:t>
      </w:r>
      <w:r w:rsidR="00277C40">
        <w:rPr>
          <w:rFonts w:eastAsia="Calibri"/>
        </w:rPr>
        <w:t>.</w:t>
      </w:r>
    </w:p>
    <w:p w:rsidRPr="00FC2616" w:rsidR="00963406" w:rsidP="00B21131" w:rsidRDefault="00963406" w14:paraId="26F550FB" w14:textId="3FDB8769">
      <w:pPr>
        <w:pStyle w:val="ListaLinje"/>
        <w:ind w:left="340" w:hanging="340"/>
        <w:rPr>
          <w:rFonts w:eastAsia="Calibri"/>
        </w:rPr>
      </w:pPr>
      <w:r w:rsidRPr="00FC2616">
        <w:rPr>
          <w:rFonts w:eastAsia="Calibri"/>
        </w:rPr>
        <w:t>Dubbelspår genom Skåne: Helsingborg</w:t>
      </w:r>
      <w:r w:rsidR="00B55DF0">
        <w:rPr>
          <w:rFonts w:eastAsia="Calibri"/>
        </w:rPr>
        <w:t>–</w:t>
      </w:r>
      <w:r w:rsidRPr="00FC2616">
        <w:rPr>
          <w:rFonts w:eastAsia="Calibri"/>
        </w:rPr>
        <w:t>Hässleholm</w:t>
      </w:r>
      <w:r w:rsidR="00277C40">
        <w:rPr>
          <w:rFonts w:eastAsia="Calibri"/>
        </w:rPr>
        <w:t>.</w:t>
      </w:r>
    </w:p>
    <w:p w:rsidRPr="00FC2616" w:rsidR="00963406" w:rsidP="008D19CA" w:rsidRDefault="00963406" w14:paraId="5A06E1E3" w14:textId="130538F3">
      <w:pPr>
        <w:pStyle w:val="Normalutanindragellerluft"/>
        <w:rPr>
          <w:rFonts w:eastAsia="Calibri"/>
        </w:rPr>
      </w:pPr>
      <w:r w:rsidRPr="00FC2616">
        <w:rPr>
          <w:rFonts w:eastAsia="Calibri"/>
        </w:rPr>
        <w:t>Exempel på banor som vi vill åtgärda snarast:</w:t>
      </w:r>
    </w:p>
    <w:p w:rsidRPr="00FC2616" w:rsidR="00963406" w:rsidP="00B21131" w:rsidRDefault="00963406" w14:paraId="5514B8D3" w14:textId="4A668629">
      <w:pPr>
        <w:pStyle w:val="ListaLinje"/>
        <w:ind w:left="340" w:hanging="340"/>
        <w:rPr>
          <w:rFonts w:eastAsia="Calibri"/>
        </w:rPr>
      </w:pPr>
      <w:r w:rsidRPr="00FC2616">
        <w:rPr>
          <w:rFonts w:eastAsia="Calibri"/>
        </w:rPr>
        <w:t>Inlandsbanan (den viktiga 110 mil långa järnvägen från Gällivare till Kristinehamn i Värmland) och Dalabanan, Bohusbanan/</w:t>
      </w:r>
      <w:proofErr w:type="spellStart"/>
      <w:r w:rsidRPr="00FC2616">
        <w:rPr>
          <w:rFonts w:eastAsia="Calibri"/>
        </w:rPr>
        <w:t>Lysekilsbanan</w:t>
      </w:r>
      <w:proofErr w:type="spellEnd"/>
      <w:r w:rsidRPr="00FC2616">
        <w:rPr>
          <w:rFonts w:eastAsia="Calibri"/>
        </w:rPr>
        <w:t xml:space="preserve">, Kinnekullebanan, </w:t>
      </w:r>
      <w:proofErr w:type="spellStart"/>
      <w:r w:rsidRPr="00FC2616">
        <w:rPr>
          <w:rFonts w:eastAsia="Calibri"/>
        </w:rPr>
        <w:t>Stångadalsbanan</w:t>
      </w:r>
      <w:proofErr w:type="spellEnd"/>
      <w:r w:rsidRPr="00FC2616">
        <w:rPr>
          <w:rFonts w:eastAsia="Calibri"/>
        </w:rPr>
        <w:t xml:space="preserve"> och </w:t>
      </w:r>
      <w:proofErr w:type="spellStart"/>
      <w:r w:rsidRPr="00FC2616">
        <w:rPr>
          <w:rFonts w:eastAsia="Calibri"/>
        </w:rPr>
        <w:t>Tjustbanan</w:t>
      </w:r>
      <w:proofErr w:type="spellEnd"/>
      <w:r w:rsidRPr="00FC2616">
        <w:rPr>
          <w:rFonts w:eastAsia="Calibri"/>
        </w:rPr>
        <w:t xml:space="preserve"> samt Kust-till-kust-banan och Västkustbanan liksom ny järnväg till Sälenfjällen</w:t>
      </w:r>
      <w:r w:rsidR="00277C40">
        <w:rPr>
          <w:rFonts w:eastAsia="Calibri"/>
        </w:rPr>
        <w:t>.</w:t>
      </w:r>
    </w:p>
    <w:p w:rsidRPr="00FC2616" w:rsidR="00963406" w:rsidP="00B21131" w:rsidRDefault="00963406" w14:paraId="17035E0E" w14:textId="5B721476">
      <w:pPr>
        <w:pStyle w:val="ListaLinje"/>
        <w:ind w:left="340" w:hanging="340"/>
        <w:rPr>
          <w:rFonts w:eastAsia="Calibri"/>
        </w:rPr>
      </w:pPr>
      <w:r w:rsidRPr="00FC2616">
        <w:rPr>
          <w:rFonts w:eastAsia="Calibri"/>
        </w:rPr>
        <w:t>Nya godsspår till hamnar, som Ystad</w:t>
      </w:r>
      <w:r w:rsidR="00277C40">
        <w:rPr>
          <w:rFonts w:eastAsia="Calibri"/>
        </w:rPr>
        <w:t>,</w:t>
      </w:r>
      <w:r w:rsidRPr="00FC2616">
        <w:rPr>
          <w:rFonts w:eastAsia="Calibri"/>
        </w:rPr>
        <w:t xml:space="preserve"> och dubbelspår till nybyggda Norviks hamn, söder om Stockholm</w:t>
      </w:r>
      <w:r w:rsidR="00277C40">
        <w:rPr>
          <w:rFonts w:eastAsia="Calibri"/>
        </w:rPr>
        <w:t>.</w:t>
      </w:r>
    </w:p>
    <w:p w:rsidRPr="00FC2616" w:rsidR="00963406" w:rsidP="00B21131" w:rsidRDefault="00963406" w14:paraId="773C0C09" w14:textId="4287ECC7">
      <w:pPr>
        <w:pStyle w:val="ListaLinje"/>
        <w:ind w:left="340" w:hanging="340"/>
        <w:rPr>
          <w:rFonts w:eastAsia="Calibri"/>
        </w:rPr>
      </w:pPr>
      <w:r w:rsidRPr="00FC2616">
        <w:rPr>
          <w:rFonts w:eastAsia="Calibri"/>
        </w:rPr>
        <w:t>Ytterligare förstärkningar och förbispår på Malmbanan</w:t>
      </w:r>
      <w:r w:rsidR="00277C40">
        <w:rPr>
          <w:rFonts w:eastAsia="Calibri"/>
        </w:rPr>
        <w:t>.</w:t>
      </w:r>
    </w:p>
    <w:p w:rsidRPr="00FC2616" w:rsidR="00963406" w:rsidP="00B21131" w:rsidRDefault="00963406" w14:paraId="55A6A403" w14:textId="4D6A7F2C">
      <w:pPr>
        <w:pStyle w:val="ListaLinje"/>
        <w:ind w:left="340" w:hanging="340"/>
        <w:rPr>
          <w:rFonts w:eastAsia="Calibri"/>
        </w:rPr>
      </w:pPr>
      <w:r w:rsidRPr="00FC2616">
        <w:rPr>
          <w:rFonts w:eastAsia="Calibri"/>
        </w:rPr>
        <w:t xml:space="preserve">Nya järnvägsförbindelser </w:t>
      </w:r>
      <w:r w:rsidR="00277C40">
        <w:rPr>
          <w:rFonts w:eastAsia="Calibri"/>
        </w:rPr>
        <w:t xml:space="preserve">på sträckorna </w:t>
      </w:r>
      <w:r w:rsidRPr="00FC2616">
        <w:rPr>
          <w:rFonts w:eastAsia="Calibri"/>
        </w:rPr>
        <w:t>Göteborg</w:t>
      </w:r>
      <w:r w:rsidR="00277C40">
        <w:rPr>
          <w:rFonts w:eastAsia="Calibri"/>
        </w:rPr>
        <w:t>–</w:t>
      </w:r>
      <w:r w:rsidRPr="00FC2616">
        <w:rPr>
          <w:rFonts w:eastAsia="Calibri"/>
        </w:rPr>
        <w:t>Oslo och Stockholm</w:t>
      </w:r>
      <w:r w:rsidR="00277C40">
        <w:rPr>
          <w:rFonts w:eastAsia="Calibri"/>
        </w:rPr>
        <w:t>–</w:t>
      </w:r>
      <w:r w:rsidRPr="00FC2616">
        <w:rPr>
          <w:rFonts w:eastAsia="Calibri"/>
        </w:rPr>
        <w:t>Oslo</w:t>
      </w:r>
      <w:r w:rsidR="00277C40">
        <w:rPr>
          <w:rFonts w:eastAsia="Calibri"/>
        </w:rPr>
        <w:t>.</w:t>
      </w:r>
    </w:p>
    <w:p w:rsidRPr="00FC2616" w:rsidR="00963406" w:rsidP="00B21131" w:rsidRDefault="00963406" w14:paraId="74EEF2E9" w14:textId="099D9367">
      <w:pPr>
        <w:pStyle w:val="ListaLinje"/>
        <w:ind w:left="340" w:hanging="340"/>
        <w:rPr>
          <w:rFonts w:eastAsia="Calibri"/>
        </w:rPr>
      </w:pPr>
      <w:r w:rsidRPr="00FC2616">
        <w:rPr>
          <w:rFonts w:eastAsia="Calibri"/>
        </w:rPr>
        <w:t>Nya stambanor, s</w:t>
      </w:r>
      <w:r w:rsidRPr="00FC2616" w:rsidR="00970A05">
        <w:rPr>
          <w:rFonts w:eastAsia="Calibri"/>
        </w:rPr>
        <w:t>.k.</w:t>
      </w:r>
      <w:r w:rsidRPr="00FC2616">
        <w:rPr>
          <w:rFonts w:eastAsia="Calibri"/>
        </w:rPr>
        <w:t xml:space="preserve"> höghastighetsbanor</w:t>
      </w:r>
      <w:r w:rsidR="00277C40">
        <w:rPr>
          <w:rFonts w:eastAsia="Calibri"/>
        </w:rPr>
        <w:t>.</w:t>
      </w:r>
    </w:p>
    <w:p w:rsidRPr="00FC2616" w:rsidR="000B45DB" w:rsidP="00B50CBA" w:rsidRDefault="000B45DB" w14:paraId="16484C5D" w14:textId="77777777">
      <w:pPr>
        <w:pStyle w:val="Rubrik3numrerat"/>
      </w:pPr>
      <w:bookmarkStart w:name="_Toc149814587" w:id="203"/>
      <w:r w:rsidRPr="00FC2616">
        <w:rPr>
          <w:lang w:eastAsia="sv-SE"/>
        </w:rPr>
        <w:lastRenderedPageBreak/>
        <w:t>Kollektivtrafikens</w:t>
      </w:r>
      <w:r w:rsidRPr="00FC2616">
        <w:t xml:space="preserve"> roll i omställningen</w:t>
      </w:r>
      <w:bookmarkEnd w:id="203"/>
    </w:p>
    <w:p w:rsidRPr="00FC2616" w:rsidR="000B45DB" w:rsidP="003464A4" w:rsidRDefault="000B45DB" w14:paraId="7B515973" w14:textId="78256EA4">
      <w:pPr>
        <w:pStyle w:val="Normalutanindragellerluft"/>
      </w:pPr>
      <w:r w:rsidRPr="00FC2616">
        <w:t>Möjligheten att röra sig mellan olika platser – till och från arbetet, fritidsaktiviteter, vänner och familj – är en grundförutsättning för levande städer och orter. Kollektiv</w:t>
      </w:r>
      <w:r w:rsidR="00C654CE">
        <w:softHyphen/>
      </w:r>
      <w:r w:rsidRPr="00FC2616">
        <w:t>trafiken spelar en särskild roll i trafiken eftersom dess syfte är att möjliggöra mobilitet för fler. Sverige har på många platser en väl utbyggd kollektivtrafik med god kvalitet, men tillgänglighet</w:t>
      </w:r>
      <w:r w:rsidR="00DB4133">
        <w:t>en</w:t>
      </w:r>
      <w:r w:rsidRPr="00FC2616">
        <w:t>, turtäthet</w:t>
      </w:r>
      <w:r w:rsidR="00DB4133">
        <w:t>en</w:t>
      </w:r>
      <w:r w:rsidRPr="00FC2616">
        <w:t xml:space="preserve"> och pris</w:t>
      </w:r>
      <w:r w:rsidR="00DB4133">
        <w:t>et</w:t>
      </w:r>
      <w:r w:rsidRPr="00FC2616">
        <w:t xml:space="preserve"> varierar kraftigt över landet. Det är naturligt att turtätheten är som högst där det bor flest människor men kollektivtrafiken behöver byggas ut generellt. Den klimatnytta som uppnås av att fler ställer bilen och i</w:t>
      </w:r>
      <w:r w:rsidRPr="00FC2616" w:rsidR="005F5487">
        <w:t xml:space="preserve"> </w:t>
      </w:r>
      <w:r w:rsidRPr="00FC2616">
        <w:t xml:space="preserve">stället åker kollektivt är mycket stor. Sammantaget behöver samhället stärka sitt engagemang för att möjliggöra kollektivt åkande för fler. </w:t>
      </w:r>
    </w:p>
    <w:p w:rsidRPr="00FC2616" w:rsidR="000B45DB" w:rsidP="005908F1" w:rsidRDefault="000B45DB" w14:paraId="36E62893" w14:textId="4D60F0F5">
      <w:r w:rsidRPr="00FC2616">
        <w:t xml:space="preserve">Ett stort hinder för många, förutom turtätheten, är priset på kollektivtrafik. Vänsterpartiet vill att kollektivtrafiken ska betraktas som en del av det moderna samhällets mest självklara infrastruktur. På sikt är det rimligt att kollektivtrafiken görs helt avgiftsfri för att alla, oavsett inkomst, för att vi ska kunna göra oss betydligt mindre bilberoende. Men redan i närtid bör samhället se till att över hela landet justera ned priset så att det blir avsevärt billigare att åka kollektivt. </w:t>
      </w:r>
    </w:p>
    <w:p w:rsidRPr="00FC2616" w:rsidR="000B45DB" w:rsidP="005908F1" w:rsidRDefault="000B45DB" w14:paraId="010690FA" w14:textId="4F128CB4">
      <w:r w:rsidRPr="00FC2616">
        <w:t>Vänsterpartiet vill därför i ett första steg halvera biljettpriserna och samtidigt säker</w:t>
      </w:r>
      <w:r w:rsidR="00C654CE">
        <w:softHyphen/>
      </w:r>
      <w:r w:rsidRPr="00FC2616">
        <w:t>ställa utbyggnaden av kollektivtrafiken. Genom etablerandet av ett nytt investeringsstöd för kollektivtrafiken avsätter Vänsterpartiet 5</w:t>
      </w:r>
      <w:r w:rsidR="00DC5D7E">
        <w:t> </w:t>
      </w:r>
      <w:r w:rsidRPr="00FC2616">
        <w:t>miljarder kronor årligen</w:t>
      </w:r>
      <w:r w:rsidRPr="00FC2616" w:rsidR="002A18F8">
        <w:t>, varav 1</w:t>
      </w:r>
      <w:r w:rsidR="00F47CC4">
        <w:t> </w:t>
      </w:r>
      <w:r w:rsidRPr="00FC2616" w:rsidR="002A18F8">
        <w:t>miljard</w:t>
      </w:r>
      <w:r w:rsidRPr="00FC2616" w:rsidR="005F5487">
        <w:t xml:space="preserve"> kronor</w:t>
      </w:r>
      <w:r w:rsidRPr="00FC2616" w:rsidR="002A18F8">
        <w:t xml:space="preserve"> särskilt avsätts för en </w:t>
      </w:r>
      <w:proofErr w:type="spellStart"/>
      <w:r w:rsidRPr="00FC2616" w:rsidR="002A18F8">
        <w:t>elbusspremie</w:t>
      </w:r>
      <w:proofErr w:type="spellEnd"/>
      <w:r w:rsidRPr="00FC2616" w:rsidR="002A18F8">
        <w:t>, i syfte</w:t>
      </w:r>
      <w:r w:rsidRPr="00FC2616">
        <w:t xml:space="preserve"> att bidra till en utbyggnad samtidigt som biljettpriserna hålls nere. </w:t>
      </w:r>
    </w:p>
    <w:p w:rsidRPr="00FC2616" w:rsidR="000B45DB" w:rsidP="000B45DB" w:rsidRDefault="000B45DB" w14:paraId="73F47DE4" w14:textId="15ACAA70">
      <w:r w:rsidRPr="00FC2616">
        <w:t>Prisutvecklingen inom kollektivtrafiken har varit oproportionerlig under lång tid. Biljettpriserna har skenat och är i</w:t>
      </w:r>
      <w:r w:rsidRPr="00FC2616" w:rsidR="005F5487">
        <w:t xml:space="preserve"> </w:t>
      </w:r>
      <w:r w:rsidRPr="00FC2616">
        <w:t>dag långt över priset på drivmedel eller konsument</w:t>
      </w:r>
      <w:r w:rsidR="00C654CE">
        <w:softHyphen/>
      </w:r>
      <w:r w:rsidRPr="00FC2616">
        <w:t>prisindex.</w:t>
      </w:r>
    </w:p>
    <w:p w:rsidRPr="00FC2616" w:rsidR="00F20A79" w:rsidP="000B45DB" w:rsidRDefault="000B45DB" w14:paraId="058E8114" w14:textId="1C134463">
      <w:r w:rsidRPr="00FC2616">
        <w:t>Vänsterpartiet vill</w:t>
      </w:r>
      <w:r w:rsidRPr="00FC2616" w:rsidR="00432A7A">
        <w:t xml:space="preserve"> </w:t>
      </w:r>
      <w:r w:rsidRPr="00FC2616" w:rsidR="002A18F8">
        <w:t>utreda</w:t>
      </w:r>
      <w:r w:rsidRPr="00FC2616">
        <w:t xml:space="preserve"> en ny modern lagstiftning som säkerställer kollektiv</w:t>
      </w:r>
      <w:r w:rsidR="00C654CE">
        <w:softHyphen/>
      </w:r>
      <w:r w:rsidRPr="00FC2616">
        <w:t>trafikens roll i klimatomställningen och som samtidigt förbjuder huvudmännen att höja priset mer än KPI. En</w:t>
      </w:r>
      <w:r w:rsidRPr="00FC2616" w:rsidR="002A18F8">
        <w:t xml:space="preserve"> modern</w:t>
      </w:r>
      <w:r w:rsidRPr="00FC2616">
        <w:t xml:space="preserve"> </w:t>
      </w:r>
      <w:r w:rsidRPr="00FC2616" w:rsidR="002A18F8">
        <w:t>klimatlag</w:t>
      </w:r>
      <w:r w:rsidRPr="00FC2616">
        <w:t xml:space="preserve"> </w:t>
      </w:r>
      <w:r w:rsidRPr="00FC2616" w:rsidR="002A18F8">
        <w:t>som syftar till att värna kollektivtrafikens tillgänglighet</w:t>
      </w:r>
      <w:r w:rsidRPr="00FC2616" w:rsidR="00FE22AC">
        <w:t xml:space="preserve"> </w:t>
      </w:r>
      <w:r w:rsidRPr="00FC2616">
        <w:t>skulle garantera rätten till en överkomlig kollektivtrafik även framgent</w:t>
      </w:r>
      <w:r w:rsidRPr="00FC2616" w:rsidR="002A18F8">
        <w:t>.</w:t>
      </w:r>
      <w:r w:rsidRPr="00FC2616">
        <w:t xml:space="preserve"> </w:t>
      </w:r>
      <w:r w:rsidRPr="00FC2616" w:rsidR="002A18F8">
        <w:t>Dessutom</w:t>
      </w:r>
      <w:r w:rsidRPr="00FC2616">
        <w:t xml:space="preserve"> </w:t>
      </w:r>
      <w:r w:rsidRPr="00FC2616" w:rsidR="00F20A79">
        <w:t xml:space="preserve">skulle </w:t>
      </w:r>
      <w:r w:rsidRPr="00FC2616" w:rsidR="002A18F8">
        <w:t>lagen</w:t>
      </w:r>
      <w:r w:rsidRPr="00FC2616">
        <w:t xml:space="preserve"> </w:t>
      </w:r>
      <w:r w:rsidRPr="00FC2616" w:rsidR="00F20A79">
        <w:t xml:space="preserve">säkerställa </w:t>
      </w:r>
      <w:r w:rsidRPr="00FC2616">
        <w:t xml:space="preserve">att biljettpriserna inte används som ett sätt för regioner och kommuner att </w:t>
      </w:r>
      <w:r w:rsidRPr="00FC2616" w:rsidR="002A18F8">
        <w:t>i övrigt</w:t>
      </w:r>
      <w:r w:rsidRPr="00FC2616">
        <w:t xml:space="preserve"> öka sina intäkter. Genom stiftandet av denna nya </w:t>
      </w:r>
      <w:proofErr w:type="spellStart"/>
      <w:r w:rsidRPr="00FC2616">
        <w:t>prislag</w:t>
      </w:r>
      <w:proofErr w:type="spellEnd"/>
      <w:r w:rsidRPr="00FC2616">
        <w:t xml:space="preserve"> för kollektivtrafiken etablerar vi kollektivtrafikens roll som en omistlig del av klimatomställningen. </w:t>
      </w:r>
    </w:p>
    <w:p w:rsidRPr="00FC2616" w:rsidR="000244B8" w:rsidP="000B45DB" w:rsidRDefault="000244B8" w14:paraId="17DAEEF5" w14:textId="5B85A300">
      <w:r w:rsidRPr="00FC2616">
        <w:t xml:space="preserve">Regeringens avvisande av den nya modellen för reseersättning har tydligt negativa klimatkonsekvenser. Vänsterpartiet stödjer ett förslag om reseersättning som är färdmedelsneutralt och som skapar positiva incitament för klimatomställningen inom transportsektorn. </w:t>
      </w:r>
      <w:r w:rsidRPr="00FC2616" w:rsidR="00F706DD">
        <w:t>Vår</w:t>
      </w:r>
      <w:r w:rsidRPr="00FC2616" w:rsidR="00F20A79">
        <w:t>t</w:t>
      </w:r>
      <w:r w:rsidRPr="00FC2616" w:rsidR="00F706DD">
        <w:t xml:space="preserve"> förslag utvecklas mer under avsnitt 11.3 Miljöskatter. </w:t>
      </w:r>
    </w:p>
    <w:p w:rsidRPr="00532553" w:rsidR="00963406" w:rsidP="00532553" w:rsidRDefault="00963406" w14:paraId="4DD47551" w14:textId="77777777">
      <w:pPr>
        <w:pStyle w:val="Normalutanindragellerluft"/>
        <w:spacing w:before="240"/>
        <w:rPr>
          <w:b/>
          <w:bCs/>
        </w:rPr>
      </w:pPr>
      <w:r w:rsidRPr="00532553">
        <w:rPr>
          <w:b/>
          <w:bCs/>
        </w:rPr>
        <w:t>Vänsterpartiets förslag:</w:t>
      </w:r>
    </w:p>
    <w:p w:rsidRPr="00FC2616" w:rsidR="00963406" w:rsidP="00B21131" w:rsidRDefault="00963406" w14:paraId="6AA57F63" w14:textId="0928022C">
      <w:pPr>
        <w:pStyle w:val="ListaPunkt"/>
        <w:ind w:left="340" w:hanging="340"/>
      </w:pPr>
      <w:bookmarkStart w:name="_Hlk111042924" w:id="204"/>
      <w:r w:rsidRPr="00FC2616">
        <w:t>Halvera biljettpriserna i svensk kollektivtrafik 2023 och 2024</w:t>
      </w:r>
      <w:r w:rsidRPr="00FC2616" w:rsidR="00BE319A">
        <w:t>, till en kostnad om 12</w:t>
      </w:r>
      <w:r w:rsidR="006B023F">
        <w:t> </w:t>
      </w:r>
      <w:r w:rsidRPr="00FC2616" w:rsidR="00BE319A">
        <w:t>miljarder årligen.</w:t>
      </w:r>
      <w:r w:rsidRPr="00FC2616">
        <w:t xml:space="preserve"> </w:t>
      </w:r>
    </w:p>
    <w:p w:rsidRPr="00FC2616" w:rsidR="00963406" w:rsidP="00B21131" w:rsidRDefault="00963406" w14:paraId="3ED918A0" w14:textId="7B9C323E">
      <w:pPr>
        <w:pStyle w:val="ListaPunkt"/>
        <w:ind w:left="340" w:hanging="340"/>
      </w:pPr>
      <w:r w:rsidRPr="00FC2616">
        <w:t>Inför ett investeringsstöd om 5</w:t>
      </w:r>
      <w:r w:rsidR="009815B5">
        <w:t> </w:t>
      </w:r>
      <w:r w:rsidRPr="00FC2616">
        <w:t xml:space="preserve">miljarder kronor årligen för att säkerställa nyinvesteringar och utbyggnad </w:t>
      </w:r>
      <w:r w:rsidR="007C6C18">
        <w:t xml:space="preserve">av </w:t>
      </w:r>
      <w:r w:rsidRPr="00FC2616">
        <w:t xml:space="preserve">kollektivtrafiken. </w:t>
      </w:r>
    </w:p>
    <w:p w:rsidRPr="00FC2616" w:rsidR="002A18F8" w:rsidP="00B21131" w:rsidRDefault="002A18F8" w14:paraId="345E0788" w14:textId="285CBC16">
      <w:pPr>
        <w:pStyle w:val="ListaPunkt"/>
        <w:ind w:left="340" w:hanging="340"/>
      </w:pPr>
      <w:r w:rsidRPr="00FC2616">
        <w:t>Utred en modern klimatlag för kollektivtrafiken var syfte är att säkra kollektivtrafikens tillgänglighet och del i omställningen.</w:t>
      </w:r>
    </w:p>
    <w:p w:rsidRPr="00FC2616" w:rsidR="000B45DB" w:rsidP="00C61752" w:rsidRDefault="000B45DB" w14:paraId="41AB8ECE" w14:textId="18E09D87">
      <w:pPr>
        <w:pStyle w:val="Rubrik2numrerat"/>
      </w:pPr>
      <w:bookmarkStart w:name="_Toc107588760" w:id="205"/>
      <w:bookmarkStart w:name="_Toc112409816" w:id="206"/>
      <w:bookmarkStart w:name="_Toc149814588" w:id="207"/>
      <w:bookmarkEnd w:id="204"/>
      <w:r w:rsidRPr="00FC2616">
        <w:lastRenderedPageBreak/>
        <w:t>Värnet om naturen/skydda miljön</w:t>
      </w:r>
      <w:bookmarkEnd w:id="205"/>
      <w:bookmarkEnd w:id="206"/>
      <w:bookmarkEnd w:id="207"/>
    </w:p>
    <w:p w:rsidRPr="00FC2616" w:rsidR="000B45DB" w:rsidP="00FE22AC" w:rsidRDefault="000B45DB" w14:paraId="22092733" w14:textId="590A4AA0">
      <w:pPr>
        <w:pStyle w:val="Normalutanindragellerluft"/>
      </w:pPr>
      <w:r w:rsidRPr="00FC2616">
        <w:t>En fungerande natur med rik biologisk mångfald och ett ekosystem i balans är grunden för liv på jorden och framtida välfärd. Skydd av värdefull natur är en förutsättning för att uppnå krav inom EU och enligt globala åtaganden för biologisk mångfald. Klimat</w:t>
      </w:r>
      <w:r w:rsidR="00FD491E">
        <w:softHyphen/>
      </w:r>
      <w:r w:rsidRPr="00FC2616">
        <w:t>krisen och artkrisen måste mötas gemensamt. FN:s klimatpanel konstaterar i sin senaste rapport att åtgärder för att bevara ekosystem är ett förhållandevis billigt sätt att minska utsläppen.</w:t>
      </w:r>
      <w:r w:rsidRPr="00FC2616">
        <w:rPr>
          <w:rStyle w:val="Fotnotsreferens"/>
        </w:rPr>
        <w:footnoteReference w:id="97"/>
      </w:r>
      <w:r w:rsidRPr="00FC2616">
        <w:t xml:space="preserve"> Skydd och restaurering av naturliga ekosystem erbjuder stora möjligheter genom att suga upp och låsa in koldioxid från atmosfären.</w:t>
      </w:r>
    </w:p>
    <w:p w:rsidRPr="00FC2616" w:rsidR="000B45DB" w:rsidP="00C95879" w:rsidRDefault="000B45DB" w14:paraId="0FCE11BD" w14:textId="35B53E08">
      <w:r w:rsidRPr="00FC2616">
        <w:t>Den kända arealen av värdefull skog som behöver skyddas omfattas av 1</w:t>
      </w:r>
      <w:r w:rsidRPr="00FC2616" w:rsidR="00FE22AC">
        <w:t> </w:t>
      </w:r>
      <w:r w:rsidRPr="00FC2616">
        <w:t>180</w:t>
      </w:r>
      <w:r w:rsidRPr="00FC2616" w:rsidR="00FE22AC">
        <w:t> </w:t>
      </w:r>
      <w:r w:rsidRPr="00FC2616">
        <w:t>000 hektar</w:t>
      </w:r>
      <w:r w:rsidR="00AF4BD8">
        <w:t>,</w:t>
      </w:r>
      <w:r w:rsidRPr="00FC2616">
        <w:t xml:space="preserve"> varav ca hälften (525 000 hektar) är fjällnaturskogar. Den samlade kostnaden för att ge markägarersättningar beräknas till 4</w:t>
      </w:r>
      <w:r w:rsidR="00AF4BD8">
        <w:t> </w:t>
      </w:r>
      <w:r w:rsidRPr="00FC2616">
        <w:t>miljarder kronor per år under minst 7</w:t>
      </w:r>
      <w:r w:rsidR="00AF4BD8">
        <w:t> </w:t>
      </w:r>
      <w:r w:rsidRPr="00FC2616">
        <w:t>år. En stor mängd avverkningsanmälningar görs i</w:t>
      </w:r>
      <w:r w:rsidRPr="00FC2616" w:rsidR="00FE22AC">
        <w:t xml:space="preserve"> </w:t>
      </w:r>
      <w:r w:rsidRPr="00FC2616">
        <w:t xml:space="preserve">dag för fjällnära skogar och de som får nekat tillstånd att avverka då skogarna har höga naturvärden kan då få ersättning istället och naturreservat kan bildas. Bara i Västerbotten har skogsägare inkommit med önskemål om att skydda skog </w:t>
      </w:r>
      <w:r w:rsidR="00AF4BD8">
        <w:t xml:space="preserve">till </w:t>
      </w:r>
      <w:r w:rsidRPr="00FC2616">
        <w:t>ett värde av 1,5</w:t>
      </w:r>
      <w:r w:rsidR="00AF4BD8">
        <w:t> </w:t>
      </w:r>
      <w:r w:rsidRPr="00FC2616">
        <w:t xml:space="preserve">miljarder kronor. Om inte anslaget kraftigt ökas riskerar markägare att hamna i kläm (kan varken avverka eller avsätta sin skog för naturvård och rekreation), höga naturvärden </w:t>
      </w:r>
      <w:r w:rsidR="002F693B">
        <w:t xml:space="preserve">att </w:t>
      </w:r>
      <w:r w:rsidRPr="00FC2616">
        <w:t xml:space="preserve">förloras genom avverkning samt möjligheten </w:t>
      </w:r>
      <w:r w:rsidR="002F693B">
        <w:t xml:space="preserve">till </w:t>
      </w:r>
      <w:r w:rsidRPr="00FC2616">
        <w:t xml:space="preserve">utvecklad naturturism på landsbygden </w:t>
      </w:r>
      <w:r w:rsidR="002F693B">
        <w:t xml:space="preserve">att </w:t>
      </w:r>
      <w:r w:rsidRPr="00FC2616">
        <w:t>gå förlorad. Vänsterpartiet anser att de stora sammanhängande fjällnära naturskogarna långsiktigt bör skyddas genom formellt skydd. Besöksnäringen är den snabbast växande näringen i världen och potentialen i framtiden för friluftsliv och naturturism i den fjällnära regionen bedöms som stor. Satsningen omfattar skydd av områden i form av naturreservat och nationalparker.</w:t>
      </w:r>
    </w:p>
    <w:p w:rsidRPr="00FC2616" w:rsidR="000B45DB" w:rsidP="00C95879" w:rsidRDefault="000B45DB" w14:paraId="4A9D12BB" w14:textId="26839770">
      <w:r w:rsidRPr="00FC2616">
        <w:t>Mindre skogsområden med höga naturvärden lämpar sig inte som naturreservat, men det är viktigt att staten kan ge dessa markägare ersättning för att formellt skydda även dessa områden. Skogsstyrelsen kan i dessa fall bilda naturvårdsavtal och biotopskydds</w:t>
      </w:r>
      <w:r w:rsidR="00FD491E">
        <w:softHyphen/>
      </w:r>
      <w:r w:rsidRPr="00FC2616">
        <w:t>områden. Särskilt viktigt är det att resurser finns till skogsägare med mindre skogs</w:t>
      </w:r>
      <w:r w:rsidR="00FD491E">
        <w:softHyphen/>
      </w:r>
      <w:r w:rsidRPr="00FC2616">
        <w:t xml:space="preserve">innehav men med </w:t>
      </w:r>
      <w:r w:rsidR="00387B0A">
        <w:t xml:space="preserve">en </w:t>
      </w:r>
      <w:r w:rsidRPr="00FC2616">
        <w:t xml:space="preserve">hög andel höga naturvärden. Därutöver är behovet stort </w:t>
      </w:r>
      <w:r w:rsidR="00B177B4">
        <w:t xml:space="preserve">att </w:t>
      </w:r>
      <w:r w:rsidRPr="00FC2616">
        <w:t>hantera ersättningar till de fjällnära skogar där nekade avverkningstillstånd ges för att skydda skogar med höga naturvärden.</w:t>
      </w:r>
    </w:p>
    <w:p w:rsidRPr="00FC2616" w:rsidR="00963406" w:rsidP="00855B52" w:rsidRDefault="000B45DB" w14:paraId="64CB041A" w14:textId="4DA26DEF">
      <w:r w:rsidRPr="00FC2616">
        <w:t xml:space="preserve">Att restaurera våtmarker och </w:t>
      </w:r>
      <w:proofErr w:type="spellStart"/>
      <w:r w:rsidRPr="00FC2616">
        <w:t>återväta</w:t>
      </w:r>
      <w:proofErr w:type="spellEnd"/>
      <w:r w:rsidRPr="00FC2616">
        <w:t xml:space="preserve"> torvmarker ger många vinster för miljön och klimatet. Genom att kol </w:t>
      </w:r>
      <w:r w:rsidRPr="00FC2616" w:rsidR="00DB41CF">
        <w:t>bind</w:t>
      </w:r>
      <w:r w:rsidR="00DB41CF">
        <w:t>s</w:t>
      </w:r>
      <w:r w:rsidRPr="00FC2616" w:rsidR="00DB41CF">
        <w:t xml:space="preserve"> </w:t>
      </w:r>
      <w:r w:rsidRPr="00FC2616">
        <w:t xml:space="preserve">i våtmarker kan utsläppen av växthusgaser minska. Att anlägga våtmarker har även stor betydelse för den biologiska mångfalden, då stora delar av landet tidigare dikats ut. Våtmarker stärker även landskapets skydd mot torka, översvämning och brand, vilket är av stor betydelse </w:t>
      </w:r>
      <w:r w:rsidR="00DB41CF">
        <w:t>i ett</w:t>
      </w:r>
      <w:r w:rsidRPr="00FC2616">
        <w:t xml:space="preserve"> klimatanpassningsperspektiv. Vänsterpartiet vill därför öka satsningar</w:t>
      </w:r>
      <w:r w:rsidR="00E246C0">
        <w:t>na</w:t>
      </w:r>
      <w:r w:rsidRPr="00FC2616">
        <w:t xml:space="preserve"> på återskapande av våtmarker och genomföra dessa långsiktigt.</w:t>
      </w:r>
    </w:p>
    <w:p w:rsidRPr="00FC2616" w:rsidR="00E477C7" w:rsidP="00855B52" w:rsidRDefault="00E477C7" w14:paraId="4C350BF6" w14:textId="197C4069">
      <w:pPr>
        <w:rPr>
          <w:b/>
          <w:bCs/>
        </w:rPr>
      </w:pPr>
      <w:r w:rsidRPr="00FC2616">
        <w:t xml:space="preserve">Klimat- och miljöfrågan är betjänt av att forskningen kring hur en rättvis och hållbar omställning kan gå till stärks. Vänsterpartiet värnar det akademiska oberoendet som en grundbult i all forskning och inrättar ett anslag för att kunna möjliggöra en expansiv klimat- och miljöforskning med fokus på social, ekologisk och ekonomisk hållbarhet. </w:t>
      </w:r>
    </w:p>
    <w:p w:rsidRPr="00532553" w:rsidR="00963406" w:rsidP="00532553" w:rsidRDefault="00963406" w14:paraId="0FA6E3A0" w14:textId="77777777">
      <w:pPr>
        <w:pStyle w:val="Normalutanindragellerluft"/>
        <w:spacing w:before="240"/>
        <w:rPr>
          <w:b/>
          <w:bCs/>
        </w:rPr>
      </w:pPr>
      <w:r w:rsidRPr="00532553">
        <w:rPr>
          <w:b/>
          <w:bCs/>
        </w:rPr>
        <w:t>Vänsterpartiets förslag:</w:t>
      </w:r>
    </w:p>
    <w:p w:rsidRPr="00FC2616" w:rsidR="00963406" w:rsidP="00B21131" w:rsidRDefault="00963406" w14:paraId="107737B7" w14:textId="2043E1B7">
      <w:pPr>
        <w:pStyle w:val="ListaPunkt"/>
        <w:ind w:left="340" w:hanging="340"/>
      </w:pPr>
      <w:bookmarkStart w:name="_Hlk111043044" w:id="208"/>
      <w:bookmarkStart w:name="_Hlk116381151" w:id="209"/>
      <w:r w:rsidRPr="00FC2616">
        <w:t>Öka ambitionsnivån för att värna värdefull natur och naturliga kolsänkor</w:t>
      </w:r>
      <w:r w:rsidR="00697748">
        <w:t>;</w:t>
      </w:r>
      <w:r w:rsidRPr="00FC2616">
        <w:t xml:space="preserve"> investera 5</w:t>
      </w:r>
      <w:r w:rsidRPr="00FC2616" w:rsidR="00466326">
        <w:t>,32</w:t>
      </w:r>
      <w:r w:rsidRPr="00FC2616">
        <w:t xml:space="preserve"> miljarder</w:t>
      </w:r>
      <w:r w:rsidRPr="00FC2616" w:rsidR="00054973">
        <w:t xml:space="preserve"> kronor</w:t>
      </w:r>
      <w:r w:rsidRPr="00FC2616">
        <w:t xml:space="preserve"> </w:t>
      </w:r>
      <w:r w:rsidRPr="00FC2616" w:rsidR="00466326">
        <w:t xml:space="preserve">2023 </w:t>
      </w:r>
      <w:r w:rsidRPr="00FC2616">
        <w:t xml:space="preserve">för det ändamålet. </w:t>
      </w:r>
    </w:p>
    <w:p w:rsidRPr="00FC2616" w:rsidR="00963406" w:rsidP="00B21131" w:rsidRDefault="00963406" w14:paraId="48A10FA4" w14:textId="77777777">
      <w:pPr>
        <w:pStyle w:val="ListaPunkt"/>
        <w:ind w:left="340" w:hanging="340"/>
      </w:pPr>
      <w:r w:rsidRPr="00FC2616">
        <w:lastRenderedPageBreak/>
        <w:t xml:space="preserve">Återskapa våtmarker i syfte att stärka de naturliga kolsänkorna i naturen. </w:t>
      </w:r>
    </w:p>
    <w:p w:rsidRPr="00FC2616" w:rsidR="00963406" w:rsidP="00B21131" w:rsidRDefault="00963406" w14:paraId="332038CD" w14:textId="1F2A08AF">
      <w:pPr>
        <w:pStyle w:val="ListaPunkt"/>
        <w:ind w:left="340" w:hanging="340"/>
        <w:rPr>
          <w:b/>
        </w:rPr>
      </w:pPr>
      <w:r w:rsidRPr="00FC2616">
        <w:t>Öka skyddet av mindre skogsområden och öka resurser</w:t>
      </w:r>
      <w:r w:rsidR="00697748">
        <w:t>na</w:t>
      </w:r>
      <w:r w:rsidRPr="00FC2616">
        <w:t xml:space="preserve"> för ersättning till fjällnära skog.</w:t>
      </w:r>
      <w:bookmarkEnd w:id="208"/>
    </w:p>
    <w:p w:rsidRPr="00FC2616" w:rsidR="00E477C7" w:rsidP="00B21131" w:rsidRDefault="00E477C7" w14:paraId="25946D97" w14:textId="59CCD308">
      <w:pPr>
        <w:pStyle w:val="ListaPunkt"/>
        <w:ind w:left="340" w:hanging="340"/>
        <w:rPr>
          <w:b/>
          <w:bCs/>
        </w:rPr>
      </w:pPr>
      <w:r w:rsidRPr="00FC2616">
        <w:t>Stärk forskningsanslagen för en rättvis och hållbar klimatomställning</w:t>
      </w:r>
      <w:r w:rsidRPr="00FC2616" w:rsidR="00054973">
        <w:t>.</w:t>
      </w:r>
    </w:p>
    <w:p w:rsidRPr="00FC2616" w:rsidR="000B45DB" w:rsidP="00C61752" w:rsidRDefault="000B45DB" w14:paraId="3B974056" w14:textId="77777777">
      <w:pPr>
        <w:pStyle w:val="Rubrik2numrerat"/>
      </w:pPr>
      <w:bookmarkStart w:name="_Toc107588761" w:id="210"/>
      <w:bookmarkStart w:name="_Toc112409817" w:id="211"/>
      <w:bookmarkStart w:name="_Hlk111043052" w:id="212"/>
      <w:bookmarkStart w:name="_Toc149814589" w:id="213"/>
      <w:bookmarkEnd w:id="209"/>
      <w:r w:rsidRPr="00FC2616">
        <w:t>Institutionalisera klimatinvesteringspolitiken</w:t>
      </w:r>
      <w:bookmarkEnd w:id="210"/>
      <w:bookmarkEnd w:id="211"/>
      <w:bookmarkEnd w:id="213"/>
    </w:p>
    <w:p w:rsidRPr="00FC2616" w:rsidR="000B45DB" w:rsidP="00C61752" w:rsidRDefault="000B45DB" w14:paraId="348C0972" w14:textId="14C47FBE">
      <w:pPr>
        <w:pStyle w:val="Normalutanindragellerluft"/>
      </w:pPr>
      <w:r w:rsidRPr="00FC2616">
        <w:t>Omställningstakten och volymerna i investeringarna utgör en förvaltningspolitisk utmaning. Frågan om prioritering, regional och lokal förankring och en samlad handels</w:t>
      </w:r>
      <w:r w:rsidR="00122B30">
        <w:softHyphen/>
      </w:r>
      <w:r w:rsidRPr="00FC2616">
        <w:t xml:space="preserve">politik som gynnar omställningens ansträngningar innebär att det finns ett behov av central samordning. </w:t>
      </w:r>
    </w:p>
    <w:p w:rsidRPr="00FC2616" w:rsidR="000B45DB" w:rsidP="000B45DB" w:rsidRDefault="000B45DB" w14:paraId="762FD302" w14:textId="516568C0">
      <w:r w:rsidRPr="00FC2616">
        <w:t>Samhällets samlade resurser behöver ställas till förfogande för att omställningen ska genomföras effektivt och ändamålsenligt. Vänsterpartiet föreslår därför två huvud</w:t>
      </w:r>
      <w:r w:rsidR="00122B30">
        <w:softHyphen/>
      </w:r>
      <w:r w:rsidRPr="00FC2616">
        <w:t>sakliga åtgärder för att institutionalisera omställningen.</w:t>
      </w:r>
    </w:p>
    <w:p w:rsidRPr="00FC2616" w:rsidR="000B45DB" w:rsidP="000B45DB" w:rsidRDefault="000B45DB" w14:paraId="6F20469D" w14:textId="6B8B6863">
      <w:r w:rsidRPr="00FC2616">
        <w:t xml:space="preserve">Dels vill vi inrätta en klimatinvesteringsmyndighet med det explicita uppdraget att planera, samordna och prioritera inom ramen för det omfattande investeringsprogram som vi söker mandat för att genomföra. </w:t>
      </w:r>
      <w:r w:rsidRPr="00FC2616" w:rsidR="00111029">
        <w:t>Myndigheten behöver inleda sitt arbete omgående för att 2023 effektivt ska tas till</w:t>
      </w:r>
      <w:r w:rsidR="00523041">
        <w:t xml:space="preserve"> </w:t>
      </w:r>
      <w:r w:rsidRPr="00FC2616" w:rsidR="00111029">
        <w:t>vara i syfte att planera för en fullskalig klimatinvesteringsplan 2024.</w:t>
      </w:r>
      <w:r w:rsidRPr="00FC2616">
        <w:t xml:space="preserve"> Men en myndighetsförstärkning med det syftet förutsätter också en gedigen politisk förankring. Därför avser Vänsterpartiet att etablera en omställningsminister, ett statsråd med ansvar för den politiska styrningen avseende klimatinvesteringar. </w:t>
      </w:r>
    </w:p>
    <w:p w:rsidRPr="00532553" w:rsidR="00963406" w:rsidP="00532553" w:rsidRDefault="00963406" w14:paraId="1EE75548" w14:textId="77777777">
      <w:pPr>
        <w:pStyle w:val="Normalutanindragellerluft"/>
        <w:spacing w:before="240"/>
        <w:rPr>
          <w:b/>
          <w:bCs/>
        </w:rPr>
      </w:pPr>
      <w:r w:rsidRPr="00532553">
        <w:rPr>
          <w:b/>
          <w:bCs/>
        </w:rPr>
        <w:t>Vänsterpartiets förslag:</w:t>
      </w:r>
    </w:p>
    <w:p w:rsidRPr="00FC2616" w:rsidR="00963406" w:rsidP="00F71593" w:rsidRDefault="00963406" w14:paraId="44DA8E10" w14:textId="144FFD63">
      <w:pPr>
        <w:pStyle w:val="ListaPunkt"/>
        <w:ind w:left="340" w:hanging="340"/>
      </w:pPr>
      <w:bookmarkStart w:name="_Hlk111043066" w:id="214"/>
      <w:r w:rsidRPr="00FC2616">
        <w:t>Inrätta en klimatinvesteringsmyndighet</w:t>
      </w:r>
      <w:r w:rsidRPr="00FC2616" w:rsidR="008E726F">
        <w:t>, en satsning på 70</w:t>
      </w:r>
      <w:r w:rsidR="00523041">
        <w:t> </w:t>
      </w:r>
      <w:r w:rsidRPr="00FC2616" w:rsidR="008E726F">
        <w:t>miljoner</w:t>
      </w:r>
      <w:r w:rsidRPr="00FC2616" w:rsidR="002B7E5E">
        <w:t xml:space="preserve"> kronor</w:t>
      </w:r>
      <w:r w:rsidRPr="00FC2616" w:rsidR="008E726F">
        <w:t xml:space="preserve"> 2023, 75</w:t>
      </w:r>
      <w:r w:rsidR="00523041">
        <w:t> </w:t>
      </w:r>
      <w:r w:rsidRPr="00FC2616" w:rsidR="008E726F">
        <w:t xml:space="preserve">miljoner </w:t>
      </w:r>
      <w:r w:rsidRPr="00FC2616" w:rsidR="002B7E5E">
        <w:t xml:space="preserve">kronor </w:t>
      </w:r>
      <w:r w:rsidRPr="00FC2616" w:rsidR="008E726F">
        <w:t>2024 och 80</w:t>
      </w:r>
      <w:r w:rsidR="00523041">
        <w:t> </w:t>
      </w:r>
      <w:r w:rsidRPr="00FC2616" w:rsidR="008E726F">
        <w:t xml:space="preserve">miljoner </w:t>
      </w:r>
      <w:r w:rsidRPr="00FC2616" w:rsidR="002B7E5E">
        <w:t xml:space="preserve">kronor </w:t>
      </w:r>
      <w:r w:rsidRPr="00FC2616" w:rsidR="008E726F">
        <w:t xml:space="preserve">2025. </w:t>
      </w:r>
    </w:p>
    <w:p w:rsidRPr="00FC2616" w:rsidR="00811049" w:rsidP="00EE5435" w:rsidRDefault="00963406" w14:paraId="64B14D0D" w14:textId="07196440">
      <w:pPr>
        <w:pStyle w:val="ListaPunkt"/>
        <w:ind w:left="340" w:hanging="340"/>
      </w:pPr>
      <w:r w:rsidRPr="00FC2616">
        <w:t>Inrätta en omställningsministerpost</w:t>
      </w:r>
      <w:bookmarkEnd w:id="195"/>
      <w:bookmarkEnd w:id="197"/>
      <w:bookmarkEnd w:id="212"/>
      <w:bookmarkEnd w:id="214"/>
      <w:r w:rsidRPr="00FC2616" w:rsidR="00E41FF6">
        <w:t>.</w:t>
      </w:r>
    </w:p>
    <w:p w:rsidRPr="00FC2616" w:rsidR="0005239A" w:rsidP="00CF026D" w:rsidRDefault="0005239A" w14:paraId="400C453C" w14:textId="03C14A6B">
      <w:pPr>
        <w:pStyle w:val="Rubrik2numrerat"/>
      </w:pPr>
      <w:bookmarkStart w:name="_Toc149814590" w:id="215"/>
      <w:r w:rsidRPr="00FC2616">
        <w:rPr>
          <w:lang w:eastAsia="sv-SE"/>
        </w:rPr>
        <w:t>Reformtabell</w:t>
      </w:r>
      <w:bookmarkEnd w:id="215"/>
    </w:p>
    <w:p w:rsidRPr="00B21131" w:rsidR="0005239A" w:rsidP="00B21131" w:rsidRDefault="0005239A" w14:paraId="31C8E710" w14:textId="52840BE5">
      <w:pPr>
        <w:pStyle w:val="Tabellrubrik"/>
      </w:pPr>
      <w:r w:rsidRPr="00B21131">
        <w:t xml:space="preserve">Tabell </w:t>
      </w:r>
      <w:r w:rsidRPr="00B21131" w:rsidR="0008121C">
        <w:t>7</w:t>
      </w:r>
      <w:r w:rsidRPr="00B21131">
        <w:t xml:space="preserve"> Reformtabell: Hållbara investeringar för en hållbar framtid (miljarder kr)</w:t>
      </w:r>
    </w:p>
    <w:tbl>
      <w:tblPr>
        <w:tblW w:w="8505" w:type="dxa"/>
        <w:tblLayout w:type="fixed"/>
        <w:tblCellMar>
          <w:left w:w="28" w:type="dxa"/>
          <w:right w:w="28" w:type="dxa"/>
        </w:tblCellMar>
        <w:tblLook w:val="04A0" w:firstRow="1" w:lastRow="0" w:firstColumn="1" w:lastColumn="0" w:noHBand="0" w:noVBand="1"/>
      </w:tblPr>
      <w:tblGrid>
        <w:gridCol w:w="5211"/>
        <w:gridCol w:w="1100"/>
        <w:gridCol w:w="1112"/>
        <w:gridCol w:w="1082"/>
      </w:tblGrid>
      <w:tr w:rsidRPr="00003202" w:rsidR="0005239A" w:rsidTr="00003202" w14:paraId="2BE2695B" w14:textId="77777777">
        <w:trPr>
          <w:trHeight w:val="296"/>
          <w:tblHeader/>
        </w:trPr>
        <w:tc>
          <w:tcPr>
            <w:tcW w:w="5670" w:type="dxa"/>
            <w:tcBorders>
              <w:top w:val="single" w:color="auto" w:sz="4" w:space="0"/>
              <w:left w:val="nil"/>
              <w:bottom w:val="single" w:color="auto" w:sz="4" w:space="0"/>
              <w:right w:val="nil"/>
            </w:tcBorders>
            <w:noWrap/>
            <w:vAlign w:val="bottom"/>
            <w:hideMark/>
          </w:tcPr>
          <w:p w:rsidRPr="00003202" w:rsidR="0005239A" w:rsidP="003119A7" w:rsidRDefault="0005239A" w14:paraId="0355299B" w14:textId="77777777">
            <w:pPr>
              <w:spacing w:before="80" w:line="240" w:lineRule="exact"/>
              <w:rPr>
                <w:b/>
                <w:color w:val="000000"/>
                <w:sz w:val="20"/>
                <w:szCs w:val="20"/>
              </w:rPr>
            </w:pPr>
          </w:p>
        </w:tc>
        <w:tc>
          <w:tcPr>
            <w:tcW w:w="1192" w:type="dxa"/>
            <w:tcBorders>
              <w:top w:val="single" w:color="auto" w:sz="4" w:space="0"/>
              <w:left w:val="nil"/>
              <w:bottom w:val="single" w:color="auto" w:sz="4" w:space="0"/>
              <w:right w:val="nil"/>
            </w:tcBorders>
            <w:noWrap/>
            <w:vAlign w:val="bottom"/>
          </w:tcPr>
          <w:p w:rsidRPr="00003202" w:rsidR="0005239A" w:rsidP="003119A7" w:rsidRDefault="0005239A" w14:paraId="7529DC26" w14:textId="77777777">
            <w:pPr>
              <w:spacing w:before="80" w:line="240" w:lineRule="exact"/>
              <w:jc w:val="right"/>
              <w:rPr>
                <w:b/>
                <w:bCs/>
                <w:sz w:val="20"/>
                <w:szCs w:val="20"/>
              </w:rPr>
            </w:pPr>
            <w:r w:rsidRPr="00003202">
              <w:rPr>
                <w:b/>
                <w:bCs/>
                <w:sz w:val="20"/>
                <w:szCs w:val="20"/>
              </w:rPr>
              <w:t>2023</w:t>
            </w:r>
          </w:p>
        </w:tc>
        <w:tc>
          <w:tcPr>
            <w:tcW w:w="1205" w:type="dxa"/>
            <w:tcBorders>
              <w:top w:val="single" w:color="auto" w:sz="4" w:space="0"/>
              <w:left w:val="nil"/>
              <w:bottom w:val="single" w:color="auto" w:sz="4" w:space="0"/>
              <w:right w:val="nil"/>
            </w:tcBorders>
            <w:noWrap/>
            <w:vAlign w:val="bottom"/>
          </w:tcPr>
          <w:p w:rsidRPr="00003202" w:rsidR="0005239A" w:rsidP="003119A7" w:rsidRDefault="0005239A" w14:paraId="61EF8A87" w14:textId="77777777">
            <w:pPr>
              <w:spacing w:before="80" w:line="240" w:lineRule="exact"/>
              <w:jc w:val="right"/>
              <w:rPr>
                <w:b/>
                <w:bCs/>
                <w:sz w:val="20"/>
                <w:szCs w:val="20"/>
              </w:rPr>
            </w:pPr>
            <w:r w:rsidRPr="00003202">
              <w:rPr>
                <w:b/>
                <w:bCs/>
                <w:sz w:val="20"/>
                <w:szCs w:val="20"/>
              </w:rPr>
              <w:t>2024</w:t>
            </w:r>
          </w:p>
        </w:tc>
        <w:tc>
          <w:tcPr>
            <w:tcW w:w="1172" w:type="dxa"/>
            <w:tcBorders>
              <w:top w:val="single" w:color="auto" w:sz="4" w:space="0"/>
              <w:left w:val="nil"/>
              <w:bottom w:val="single" w:color="auto" w:sz="4" w:space="0"/>
              <w:right w:val="nil"/>
            </w:tcBorders>
            <w:noWrap/>
            <w:vAlign w:val="bottom"/>
          </w:tcPr>
          <w:p w:rsidRPr="00003202" w:rsidR="0005239A" w:rsidP="003119A7" w:rsidRDefault="0005239A" w14:paraId="3DA23D07" w14:textId="77777777">
            <w:pPr>
              <w:spacing w:before="80" w:line="240" w:lineRule="exact"/>
              <w:jc w:val="right"/>
              <w:rPr>
                <w:b/>
                <w:bCs/>
                <w:sz w:val="20"/>
                <w:szCs w:val="20"/>
              </w:rPr>
            </w:pPr>
            <w:r w:rsidRPr="00003202">
              <w:rPr>
                <w:b/>
                <w:bCs/>
                <w:sz w:val="20"/>
                <w:szCs w:val="20"/>
              </w:rPr>
              <w:t>2025</w:t>
            </w:r>
          </w:p>
        </w:tc>
      </w:tr>
      <w:tr w:rsidRPr="00003202" w:rsidR="0005239A" w:rsidTr="00003202" w14:paraId="4FB473D9" w14:textId="77777777">
        <w:trPr>
          <w:trHeight w:val="296"/>
        </w:trPr>
        <w:tc>
          <w:tcPr>
            <w:tcW w:w="5670" w:type="dxa"/>
            <w:tcBorders>
              <w:top w:val="single" w:color="auto" w:sz="4" w:space="0"/>
              <w:left w:val="nil"/>
              <w:bottom w:val="nil"/>
              <w:right w:val="nil"/>
            </w:tcBorders>
            <w:noWrap/>
            <w:vAlign w:val="bottom"/>
            <w:hideMark/>
          </w:tcPr>
          <w:p w:rsidRPr="00003202" w:rsidR="0005239A" w:rsidP="003119A7" w:rsidRDefault="0005239A" w14:paraId="27F08EA5" w14:textId="50DE4EF1">
            <w:pPr>
              <w:spacing w:before="80" w:line="240" w:lineRule="exact"/>
              <w:ind w:firstLine="0"/>
              <w:rPr>
                <w:b/>
                <w:i/>
                <w:color w:val="000000" w:themeColor="text1"/>
                <w:sz w:val="20"/>
                <w:szCs w:val="20"/>
              </w:rPr>
            </w:pPr>
            <w:r w:rsidRPr="00003202">
              <w:rPr>
                <w:b/>
                <w:i/>
                <w:color w:val="000000" w:themeColor="text1"/>
                <w:sz w:val="20"/>
                <w:szCs w:val="20"/>
              </w:rPr>
              <w:t>Investeringsplanen</w:t>
            </w:r>
          </w:p>
        </w:tc>
        <w:tc>
          <w:tcPr>
            <w:tcW w:w="1192" w:type="dxa"/>
            <w:tcBorders>
              <w:top w:val="single" w:color="auto" w:sz="4" w:space="0"/>
              <w:left w:val="nil"/>
              <w:bottom w:val="nil"/>
              <w:right w:val="nil"/>
            </w:tcBorders>
            <w:noWrap/>
            <w:vAlign w:val="bottom"/>
            <w:hideMark/>
          </w:tcPr>
          <w:p w:rsidRPr="00003202" w:rsidR="0005239A" w:rsidP="003119A7" w:rsidRDefault="00E41FF6" w14:paraId="529D0776" w14:textId="510C05EB">
            <w:pPr>
              <w:spacing w:before="80" w:line="240" w:lineRule="exact"/>
              <w:jc w:val="right"/>
              <w:rPr>
                <w:b/>
                <w:i/>
                <w:sz w:val="20"/>
                <w:szCs w:val="20"/>
              </w:rPr>
            </w:pPr>
            <w:r w:rsidRPr="00003202">
              <w:rPr>
                <w:b/>
                <w:bCs/>
                <w:i/>
                <w:iCs/>
                <w:sz w:val="20"/>
                <w:szCs w:val="20"/>
              </w:rPr>
              <w:t>2,56</w:t>
            </w:r>
          </w:p>
        </w:tc>
        <w:tc>
          <w:tcPr>
            <w:tcW w:w="1205" w:type="dxa"/>
            <w:tcBorders>
              <w:top w:val="single" w:color="auto" w:sz="4" w:space="0"/>
              <w:left w:val="nil"/>
              <w:bottom w:val="nil"/>
              <w:right w:val="nil"/>
            </w:tcBorders>
            <w:noWrap/>
            <w:vAlign w:val="bottom"/>
            <w:hideMark/>
          </w:tcPr>
          <w:p w:rsidRPr="00003202" w:rsidR="0005239A" w:rsidP="003119A7" w:rsidRDefault="00FA39DF" w14:paraId="6D342A8F" w14:textId="6B819D96">
            <w:pPr>
              <w:spacing w:before="80" w:line="240" w:lineRule="exact"/>
              <w:jc w:val="right"/>
              <w:rPr>
                <w:b/>
                <w:i/>
                <w:sz w:val="20"/>
                <w:szCs w:val="20"/>
              </w:rPr>
            </w:pPr>
            <w:r w:rsidRPr="00003202">
              <w:rPr>
                <w:b/>
                <w:bCs/>
                <w:i/>
                <w:iCs/>
                <w:sz w:val="20"/>
                <w:szCs w:val="20"/>
              </w:rPr>
              <w:t>35,4</w:t>
            </w:r>
          </w:p>
        </w:tc>
        <w:tc>
          <w:tcPr>
            <w:tcW w:w="1172" w:type="dxa"/>
            <w:tcBorders>
              <w:top w:val="single" w:color="auto" w:sz="4" w:space="0"/>
              <w:left w:val="nil"/>
              <w:bottom w:val="nil"/>
              <w:right w:val="nil"/>
            </w:tcBorders>
            <w:noWrap/>
            <w:vAlign w:val="bottom"/>
            <w:hideMark/>
          </w:tcPr>
          <w:p w:rsidRPr="00003202" w:rsidR="0005239A" w:rsidP="003119A7" w:rsidRDefault="00FA39DF" w14:paraId="055190FC" w14:textId="3B8D4CB9">
            <w:pPr>
              <w:spacing w:before="80" w:line="240" w:lineRule="exact"/>
              <w:jc w:val="right"/>
              <w:rPr>
                <w:b/>
                <w:i/>
                <w:sz w:val="20"/>
                <w:szCs w:val="20"/>
              </w:rPr>
            </w:pPr>
            <w:r w:rsidRPr="00003202">
              <w:rPr>
                <w:b/>
                <w:bCs/>
                <w:i/>
                <w:iCs/>
                <w:sz w:val="20"/>
                <w:szCs w:val="20"/>
              </w:rPr>
              <w:t>42,9</w:t>
            </w:r>
          </w:p>
        </w:tc>
      </w:tr>
      <w:tr w:rsidRPr="00003202" w:rsidR="0005239A" w:rsidTr="00003202" w14:paraId="5DB4B60D" w14:textId="77777777">
        <w:trPr>
          <w:trHeight w:val="296"/>
        </w:trPr>
        <w:tc>
          <w:tcPr>
            <w:tcW w:w="5670" w:type="dxa"/>
            <w:tcBorders>
              <w:top w:val="nil"/>
              <w:left w:val="nil"/>
              <w:bottom w:val="nil"/>
              <w:right w:val="nil"/>
            </w:tcBorders>
            <w:noWrap/>
            <w:vAlign w:val="center"/>
            <w:hideMark/>
          </w:tcPr>
          <w:p w:rsidRPr="00003202" w:rsidR="0005239A" w:rsidP="003119A7" w:rsidRDefault="0005239A" w14:paraId="58CD39E7" w14:textId="425785D1">
            <w:pPr>
              <w:spacing w:before="80" w:line="240" w:lineRule="exact"/>
              <w:ind w:firstLine="0"/>
              <w:rPr>
                <w:i/>
                <w:color w:val="000000" w:themeColor="text1"/>
                <w:sz w:val="20"/>
                <w:szCs w:val="20"/>
              </w:rPr>
            </w:pPr>
            <w:r w:rsidRPr="00003202">
              <w:rPr>
                <w:i/>
                <w:color w:val="000000" w:themeColor="text1"/>
                <w:sz w:val="20"/>
                <w:szCs w:val="20"/>
              </w:rPr>
              <w:t xml:space="preserve">Befintlig transportinfrastruktur, inkl. nya sträckningar </w:t>
            </w:r>
          </w:p>
        </w:tc>
        <w:tc>
          <w:tcPr>
            <w:tcW w:w="1192" w:type="dxa"/>
            <w:tcBorders>
              <w:top w:val="nil"/>
              <w:left w:val="nil"/>
              <w:bottom w:val="nil"/>
              <w:right w:val="nil"/>
            </w:tcBorders>
            <w:noWrap/>
            <w:vAlign w:val="bottom"/>
            <w:hideMark/>
          </w:tcPr>
          <w:p w:rsidRPr="00003202" w:rsidR="0005239A" w:rsidP="003119A7" w:rsidRDefault="00DE0271" w14:paraId="5433263D" w14:textId="092BD9AF">
            <w:pPr>
              <w:spacing w:before="80" w:line="240" w:lineRule="exact"/>
              <w:jc w:val="right"/>
              <w:rPr>
                <w:i/>
                <w:iCs/>
                <w:sz w:val="20"/>
                <w:szCs w:val="20"/>
              </w:rPr>
            </w:pPr>
            <w:r w:rsidRPr="00003202">
              <w:rPr>
                <w:i/>
                <w:iCs/>
                <w:sz w:val="20"/>
                <w:szCs w:val="20"/>
              </w:rPr>
              <w:t>0</w:t>
            </w:r>
            <w:r w:rsidRPr="00003202" w:rsidR="0005239A">
              <w:rPr>
                <w:i/>
                <w:iCs/>
                <w:sz w:val="20"/>
                <w:szCs w:val="20"/>
              </w:rPr>
              <w:t>,</w:t>
            </w:r>
            <w:r w:rsidRPr="00003202">
              <w:rPr>
                <w:i/>
                <w:iCs/>
                <w:sz w:val="20"/>
                <w:szCs w:val="20"/>
              </w:rPr>
              <w:t>0</w:t>
            </w:r>
          </w:p>
        </w:tc>
        <w:tc>
          <w:tcPr>
            <w:tcW w:w="1205" w:type="dxa"/>
            <w:tcBorders>
              <w:top w:val="nil"/>
              <w:left w:val="nil"/>
              <w:bottom w:val="nil"/>
              <w:right w:val="nil"/>
            </w:tcBorders>
            <w:noWrap/>
            <w:vAlign w:val="bottom"/>
            <w:hideMark/>
          </w:tcPr>
          <w:p w:rsidRPr="00003202" w:rsidR="0005239A" w:rsidP="003119A7" w:rsidRDefault="00F71593" w14:paraId="494ECB66" w14:textId="4E3780DA">
            <w:pPr>
              <w:spacing w:before="80" w:line="240" w:lineRule="exact"/>
              <w:jc w:val="right"/>
              <w:rPr>
                <w:i/>
                <w:iCs/>
                <w:sz w:val="20"/>
                <w:szCs w:val="20"/>
              </w:rPr>
            </w:pPr>
            <w:r w:rsidRPr="00003202">
              <w:rPr>
                <w:i/>
                <w:iCs/>
                <w:sz w:val="20"/>
                <w:szCs w:val="20"/>
              </w:rPr>
              <w:t>1</w:t>
            </w:r>
            <w:r w:rsidRPr="00003202" w:rsidR="00882F5B">
              <w:rPr>
                <w:i/>
                <w:iCs/>
                <w:sz w:val="20"/>
                <w:szCs w:val="20"/>
              </w:rPr>
              <w:t>5,</w:t>
            </w:r>
            <w:r w:rsidRPr="00003202">
              <w:rPr>
                <w:i/>
                <w:iCs/>
                <w:sz w:val="20"/>
                <w:szCs w:val="20"/>
              </w:rPr>
              <w:t>4</w:t>
            </w:r>
          </w:p>
        </w:tc>
        <w:tc>
          <w:tcPr>
            <w:tcW w:w="1172" w:type="dxa"/>
            <w:tcBorders>
              <w:top w:val="nil"/>
              <w:left w:val="nil"/>
              <w:bottom w:val="nil"/>
              <w:right w:val="nil"/>
            </w:tcBorders>
            <w:noWrap/>
            <w:vAlign w:val="bottom"/>
            <w:hideMark/>
          </w:tcPr>
          <w:p w:rsidRPr="00003202" w:rsidR="0005239A" w:rsidP="003119A7" w:rsidRDefault="0005239A" w14:paraId="6EDDEEB4" w14:textId="1EB10438">
            <w:pPr>
              <w:spacing w:before="80" w:line="240" w:lineRule="exact"/>
              <w:jc w:val="right"/>
              <w:rPr>
                <w:i/>
                <w:iCs/>
                <w:sz w:val="20"/>
                <w:szCs w:val="20"/>
              </w:rPr>
            </w:pPr>
            <w:r w:rsidRPr="00003202">
              <w:rPr>
                <w:i/>
                <w:iCs/>
                <w:sz w:val="20"/>
                <w:szCs w:val="20"/>
              </w:rPr>
              <w:t>15,</w:t>
            </w:r>
            <w:r w:rsidRPr="00003202" w:rsidR="00F71593">
              <w:rPr>
                <w:i/>
                <w:iCs/>
                <w:sz w:val="20"/>
                <w:szCs w:val="20"/>
              </w:rPr>
              <w:t>4</w:t>
            </w:r>
          </w:p>
        </w:tc>
      </w:tr>
      <w:tr w:rsidRPr="00003202" w:rsidR="0005239A" w:rsidTr="00003202" w14:paraId="54811295" w14:textId="77777777">
        <w:trPr>
          <w:trHeight w:val="296"/>
        </w:trPr>
        <w:tc>
          <w:tcPr>
            <w:tcW w:w="5670" w:type="dxa"/>
            <w:tcBorders>
              <w:top w:val="nil"/>
              <w:left w:val="nil"/>
              <w:bottom w:val="nil"/>
              <w:right w:val="nil"/>
            </w:tcBorders>
            <w:noWrap/>
            <w:vAlign w:val="center"/>
            <w:hideMark/>
          </w:tcPr>
          <w:p w:rsidRPr="00003202" w:rsidR="0005239A" w:rsidP="003119A7" w:rsidRDefault="0005239A" w14:paraId="78B8FF9D" w14:textId="26D980D5">
            <w:pPr>
              <w:spacing w:before="80" w:line="240" w:lineRule="exact"/>
              <w:ind w:firstLine="0"/>
              <w:rPr>
                <w:i/>
                <w:color w:val="000000" w:themeColor="text1"/>
                <w:sz w:val="20"/>
                <w:szCs w:val="20"/>
              </w:rPr>
            </w:pPr>
            <w:r w:rsidRPr="00003202">
              <w:rPr>
                <w:i/>
                <w:color w:val="000000" w:themeColor="text1"/>
                <w:sz w:val="20"/>
                <w:szCs w:val="20"/>
              </w:rPr>
              <w:t>Höghastighetsbana</w:t>
            </w:r>
            <w:r w:rsidRPr="00003202" w:rsidR="003C59AE">
              <w:rPr>
                <w:i/>
                <w:color w:val="000000" w:themeColor="text1"/>
                <w:sz w:val="20"/>
                <w:szCs w:val="20"/>
              </w:rPr>
              <w:t>*</w:t>
            </w:r>
          </w:p>
        </w:tc>
        <w:tc>
          <w:tcPr>
            <w:tcW w:w="1192" w:type="dxa"/>
            <w:tcBorders>
              <w:top w:val="nil"/>
              <w:left w:val="nil"/>
              <w:bottom w:val="nil"/>
              <w:right w:val="nil"/>
            </w:tcBorders>
            <w:noWrap/>
            <w:vAlign w:val="bottom"/>
            <w:hideMark/>
          </w:tcPr>
          <w:p w:rsidRPr="00003202" w:rsidR="0005239A" w:rsidP="003119A7" w:rsidRDefault="00DE0271" w14:paraId="6C3323A4" w14:textId="63CA4023">
            <w:pPr>
              <w:spacing w:before="80" w:line="240" w:lineRule="exact"/>
              <w:jc w:val="right"/>
              <w:rPr>
                <w:i/>
                <w:iCs/>
                <w:sz w:val="20"/>
                <w:szCs w:val="20"/>
              </w:rPr>
            </w:pPr>
            <w:r w:rsidRPr="00003202">
              <w:rPr>
                <w:i/>
                <w:iCs/>
                <w:sz w:val="20"/>
                <w:szCs w:val="20"/>
              </w:rPr>
              <w:t>0,0</w:t>
            </w:r>
          </w:p>
        </w:tc>
        <w:tc>
          <w:tcPr>
            <w:tcW w:w="1205" w:type="dxa"/>
            <w:tcBorders>
              <w:top w:val="nil"/>
              <w:left w:val="nil"/>
              <w:bottom w:val="nil"/>
              <w:right w:val="nil"/>
            </w:tcBorders>
            <w:noWrap/>
            <w:vAlign w:val="bottom"/>
            <w:hideMark/>
          </w:tcPr>
          <w:p w:rsidRPr="00003202" w:rsidR="0005239A" w:rsidP="003119A7" w:rsidRDefault="003C59AE" w14:paraId="00EB434B" w14:textId="610B6B95">
            <w:pPr>
              <w:spacing w:before="80" w:line="240" w:lineRule="exact"/>
              <w:jc w:val="right"/>
              <w:rPr>
                <w:i/>
                <w:iCs/>
                <w:sz w:val="20"/>
                <w:szCs w:val="20"/>
              </w:rPr>
            </w:pPr>
            <w:r w:rsidRPr="00003202">
              <w:rPr>
                <w:i/>
                <w:iCs/>
                <w:sz w:val="20"/>
                <w:szCs w:val="20"/>
              </w:rPr>
              <w:t>7,5</w:t>
            </w:r>
          </w:p>
        </w:tc>
        <w:tc>
          <w:tcPr>
            <w:tcW w:w="1172" w:type="dxa"/>
            <w:tcBorders>
              <w:top w:val="nil"/>
              <w:left w:val="nil"/>
              <w:bottom w:val="nil"/>
              <w:right w:val="nil"/>
            </w:tcBorders>
            <w:noWrap/>
            <w:vAlign w:val="bottom"/>
            <w:hideMark/>
          </w:tcPr>
          <w:p w:rsidRPr="00003202" w:rsidR="0005239A" w:rsidP="003119A7" w:rsidRDefault="003C59AE" w14:paraId="5C813956" w14:textId="29ECFA99">
            <w:pPr>
              <w:spacing w:before="80" w:line="240" w:lineRule="exact"/>
              <w:jc w:val="right"/>
              <w:rPr>
                <w:i/>
                <w:iCs/>
                <w:sz w:val="20"/>
                <w:szCs w:val="20"/>
              </w:rPr>
            </w:pPr>
            <w:r w:rsidRPr="00003202">
              <w:rPr>
                <w:i/>
                <w:iCs/>
                <w:sz w:val="20"/>
                <w:szCs w:val="20"/>
              </w:rPr>
              <w:t>10</w:t>
            </w:r>
            <w:r w:rsidRPr="00003202" w:rsidR="0005239A">
              <w:rPr>
                <w:i/>
                <w:iCs/>
                <w:sz w:val="20"/>
                <w:szCs w:val="20"/>
              </w:rPr>
              <w:t>,0</w:t>
            </w:r>
          </w:p>
        </w:tc>
      </w:tr>
      <w:tr w:rsidRPr="00003202" w:rsidR="0005239A" w:rsidTr="00003202" w14:paraId="4FE87638" w14:textId="77777777">
        <w:trPr>
          <w:trHeight w:val="296"/>
        </w:trPr>
        <w:tc>
          <w:tcPr>
            <w:tcW w:w="5670" w:type="dxa"/>
            <w:tcBorders>
              <w:top w:val="nil"/>
              <w:left w:val="nil"/>
              <w:bottom w:val="nil"/>
              <w:right w:val="nil"/>
            </w:tcBorders>
            <w:noWrap/>
            <w:vAlign w:val="center"/>
            <w:hideMark/>
          </w:tcPr>
          <w:p w:rsidRPr="00003202" w:rsidR="0005239A" w:rsidP="003119A7" w:rsidRDefault="0005239A" w14:paraId="76B2CF7E" w14:textId="57D96B81">
            <w:pPr>
              <w:spacing w:before="80" w:line="240" w:lineRule="exact"/>
              <w:ind w:firstLine="0"/>
              <w:rPr>
                <w:i/>
                <w:iCs/>
                <w:color w:val="000000" w:themeColor="text1"/>
                <w:sz w:val="20"/>
                <w:szCs w:val="20"/>
              </w:rPr>
            </w:pPr>
            <w:r w:rsidRPr="00003202">
              <w:rPr>
                <w:i/>
                <w:iCs/>
                <w:color w:val="000000" w:themeColor="text1"/>
                <w:sz w:val="20"/>
                <w:szCs w:val="20"/>
              </w:rPr>
              <w:t xml:space="preserve">Stärkt </w:t>
            </w:r>
            <w:proofErr w:type="spellStart"/>
            <w:r w:rsidRPr="00003202">
              <w:rPr>
                <w:i/>
                <w:iCs/>
                <w:color w:val="000000" w:themeColor="text1"/>
                <w:sz w:val="20"/>
                <w:szCs w:val="20"/>
              </w:rPr>
              <w:t>elöverföringskapacitet</w:t>
            </w:r>
            <w:proofErr w:type="spellEnd"/>
            <w:r w:rsidRPr="00003202">
              <w:rPr>
                <w:i/>
                <w:iCs/>
                <w:color w:val="000000" w:themeColor="text1"/>
                <w:sz w:val="20"/>
                <w:szCs w:val="20"/>
              </w:rPr>
              <w:t xml:space="preserve"> </w:t>
            </w:r>
          </w:p>
        </w:tc>
        <w:tc>
          <w:tcPr>
            <w:tcW w:w="1192" w:type="dxa"/>
            <w:tcBorders>
              <w:top w:val="nil"/>
              <w:left w:val="nil"/>
              <w:bottom w:val="nil"/>
              <w:right w:val="nil"/>
            </w:tcBorders>
            <w:noWrap/>
            <w:vAlign w:val="bottom"/>
            <w:hideMark/>
          </w:tcPr>
          <w:p w:rsidRPr="00003202" w:rsidR="0005239A" w:rsidP="003119A7" w:rsidRDefault="00DE0271" w14:paraId="44CF0E28" w14:textId="44A10194">
            <w:pPr>
              <w:spacing w:before="80" w:line="240" w:lineRule="exact"/>
              <w:jc w:val="right"/>
              <w:rPr>
                <w:i/>
                <w:iCs/>
                <w:sz w:val="20"/>
                <w:szCs w:val="20"/>
              </w:rPr>
            </w:pPr>
            <w:r w:rsidRPr="00003202">
              <w:rPr>
                <w:i/>
                <w:iCs/>
                <w:sz w:val="20"/>
                <w:szCs w:val="20"/>
              </w:rPr>
              <w:t>0</w:t>
            </w:r>
          </w:p>
        </w:tc>
        <w:tc>
          <w:tcPr>
            <w:tcW w:w="1205" w:type="dxa"/>
            <w:tcBorders>
              <w:top w:val="nil"/>
              <w:left w:val="nil"/>
              <w:bottom w:val="nil"/>
              <w:right w:val="nil"/>
            </w:tcBorders>
            <w:noWrap/>
            <w:vAlign w:val="bottom"/>
            <w:hideMark/>
          </w:tcPr>
          <w:p w:rsidRPr="00003202" w:rsidR="0005239A" w:rsidP="003119A7" w:rsidRDefault="00BE32C5" w14:paraId="565EF843" w14:textId="3880207A">
            <w:pPr>
              <w:spacing w:before="80" w:line="240" w:lineRule="exact"/>
              <w:jc w:val="right"/>
              <w:rPr>
                <w:i/>
                <w:iCs/>
                <w:sz w:val="20"/>
                <w:szCs w:val="20"/>
              </w:rPr>
            </w:pPr>
            <w:r w:rsidRPr="00003202">
              <w:rPr>
                <w:i/>
                <w:iCs/>
                <w:sz w:val="20"/>
                <w:szCs w:val="20"/>
              </w:rPr>
              <w:t>2,5</w:t>
            </w:r>
          </w:p>
        </w:tc>
        <w:tc>
          <w:tcPr>
            <w:tcW w:w="1172" w:type="dxa"/>
            <w:tcBorders>
              <w:top w:val="nil"/>
              <w:left w:val="nil"/>
              <w:bottom w:val="nil"/>
              <w:right w:val="nil"/>
            </w:tcBorders>
            <w:noWrap/>
            <w:vAlign w:val="bottom"/>
            <w:hideMark/>
          </w:tcPr>
          <w:p w:rsidRPr="00003202" w:rsidR="0005239A" w:rsidP="003119A7" w:rsidRDefault="00BE32C5" w14:paraId="1466F31E" w14:textId="22572ACD">
            <w:pPr>
              <w:spacing w:before="80" w:line="240" w:lineRule="exact"/>
              <w:jc w:val="right"/>
              <w:rPr>
                <w:i/>
                <w:iCs/>
                <w:sz w:val="20"/>
                <w:szCs w:val="20"/>
              </w:rPr>
            </w:pPr>
            <w:r w:rsidRPr="00003202">
              <w:rPr>
                <w:i/>
                <w:iCs/>
                <w:sz w:val="20"/>
                <w:szCs w:val="20"/>
              </w:rPr>
              <w:t>4</w:t>
            </w:r>
            <w:r w:rsidRPr="00003202" w:rsidR="0005239A">
              <w:rPr>
                <w:i/>
                <w:iCs/>
                <w:sz w:val="20"/>
                <w:szCs w:val="20"/>
              </w:rPr>
              <w:t>,0</w:t>
            </w:r>
          </w:p>
        </w:tc>
      </w:tr>
      <w:tr w:rsidRPr="00003202" w:rsidR="0005239A" w:rsidTr="00003202" w14:paraId="651E081D" w14:textId="77777777">
        <w:trPr>
          <w:trHeight w:val="296"/>
        </w:trPr>
        <w:tc>
          <w:tcPr>
            <w:tcW w:w="5670" w:type="dxa"/>
            <w:tcBorders>
              <w:top w:val="nil"/>
              <w:left w:val="nil"/>
              <w:bottom w:val="nil"/>
              <w:right w:val="nil"/>
            </w:tcBorders>
            <w:noWrap/>
            <w:vAlign w:val="center"/>
            <w:hideMark/>
          </w:tcPr>
          <w:p w:rsidRPr="00003202" w:rsidR="0005239A" w:rsidP="003119A7" w:rsidRDefault="00BE32C5" w14:paraId="240C2FF7" w14:textId="71B59031">
            <w:pPr>
              <w:spacing w:before="80" w:line="240" w:lineRule="exact"/>
              <w:ind w:firstLine="0"/>
              <w:rPr>
                <w:i/>
                <w:iCs/>
                <w:color w:val="000000" w:themeColor="text1"/>
                <w:sz w:val="20"/>
                <w:szCs w:val="20"/>
              </w:rPr>
            </w:pPr>
            <w:r w:rsidRPr="00003202">
              <w:rPr>
                <w:i/>
                <w:iCs/>
                <w:color w:val="000000" w:themeColor="text1"/>
                <w:sz w:val="20"/>
                <w:szCs w:val="20"/>
              </w:rPr>
              <w:t>Investeringar</w:t>
            </w:r>
            <w:r w:rsidRPr="00003202" w:rsidR="00B21131">
              <w:rPr>
                <w:i/>
                <w:iCs/>
                <w:color w:val="000000" w:themeColor="text1"/>
                <w:sz w:val="20"/>
                <w:szCs w:val="20"/>
              </w:rPr>
              <w:t xml:space="preserve"> i</w:t>
            </w:r>
            <w:r w:rsidRPr="00003202">
              <w:rPr>
                <w:i/>
                <w:iCs/>
                <w:color w:val="000000" w:themeColor="text1"/>
                <w:sz w:val="20"/>
                <w:szCs w:val="20"/>
              </w:rPr>
              <w:t xml:space="preserve"> lokal förnybar elproduktion</w:t>
            </w:r>
          </w:p>
        </w:tc>
        <w:tc>
          <w:tcPr>
            <w:tcW w:w="1192" w:type="dxa"/>
            <w:tcBorders>
              <w:top w:val="nil"/>
              <w:left w:val="nil"/>
              <w:bottom w:val="nil"/>
              <w:right w:val="nil"/>
            </w:tcBorders>
            <w:noWrap/>
            <w:vAlign w:val="bottom"/>
            <w:hideMark/>
          </w:tcPr>
          <w:p w:rsidRPr="00003202" w:rsidR="0005239A" w:rsidP="003119A7" w:rsidRDefault="00DE0271" w14:paraId="0298E69C" w14:textId="6FC65C36">
            <w:pPr>
              <w:spacing w:before="80" w:line="240" w:lineRule="exact"/>
              <w:jc w:val="right"/>
              <w:rPr>
                <w:i/>
                <w:iCs/>
                <w:sz w:val="20"/>
                <w:szCs w:val="20"/>
              </w:rPr>
            </w:pPr>
            <w:r w:rsidRPr="00003202">
              <w:rPr>
                <w:i/>
                <w:iCs/>
                <w:sz w:val="20"/>
                <w:szCs w:val="20"/>
              </w:rPr>
              <w:t>0</w:t>
            </w:r>
          </w:p>
        </w:tc>
        <w:tc>
          <w:tcPr>
            <w:tcW w:w="1205" w:type="dxa"/>
            <w:tcBorders>
              <w:top w:val="nil"/>
              <w:left w:val="nil"/>
              <w:bottom w:val="nil"/>
              <w:right w:val="nil"/>
            </w:tcBorders>
            <w:noWrap/>
            <w:vAlign w:val="bottom"/>
            <w:hideMark/>
          </w:tcPr>
          <w:p w:rsidRPr="00003202" w:rsidR="0005239A" w:rsidP="003119A7" w:rsidRDefault="00BE32C5" w14:paraId="3ED393E9" w14:textId="6369867F">
            <w:pPr>
              <w:spacing w:before="80" w:line="240" w:lineRule="exact"/>
              <w:jc w:val="right"/>
              <w:rPr>
                <w:i/>
                <w:iCs/>
                <w:sz w:val="20"/>
                <w:szCs w:val="20"/>
              </w:rPr>
            </w:pPr>
            <w:r w:rsidRPr="00003202">
              <w:rPr>
                <w:i/>
                <w:iCs/>
                <w:sz w:val="20"/>
                <w:szCs w:val="20"/>
              </w:rPr>
              <w:t>2</w:t>
            </w:r>
            <w:r w:rsidRPr="00003202" w:rsidR="0005239A">
              <w:rPr>
                <w:i/>
                <w:iCs/>
                <w:sz w:val="20"/>
                <w:szCs w:val="20"/>
              </w:rPr>
              <w:t>,0</w:t>
            </w:r>
          </w:p>
        </w:tc>
        <w:tc>
          <w:tcPr>
            <w:tcW w:w="1172" w:type="dxa"/>
            <w:tcBorders>
              <w:top w:val="nil"/>
              <w:left w:val="nil"/>
              <w:bottom w:val="nil"/>
              <w:right w:val="nil"/>
            </w:tcBorders>
            <w:noWrap/>
            <w:vAlign w:val="bottom"/>
            <w:hideMark/>
          </w:tcPr>
          <w:p w:rsidRPr="00003202" w:rsidR="0005239A" w:rsidP="003119A7" w:rsidRDefault="00BE32C5" w14:paraId="55DE360D" w14:textId="62598F3A">
            <w:pPr>
              <w:spacing w:before="80" w:line="240" w:lineRule="exact"/>
              <w:jc w:val="right"/>
              <w:rPr>
                <w:i/>
                <w:iCs/>
                <w:sz w:val="20"/>
                <w:szCs w:val="20"/>
              </w:rPr>
            </w:pPr>
            <w:r w:rsidRPr="00003202">
              <w:rPr>
                <w:i/>
                <w:iCs/>
                <w:sz w:val="20"/>
                <w:szCs w:val="20"/>
              </w:rPr>
              <w:t>3</w:t>
            </w:r>
            <w:r w:rsidRPr="00003202" w:rsidR="0005239A">
              <w:rPr>
                <w:i/>
                <w:iCs/>
                <w:sz w:val="20"/>
                <w:szCs w:val="20"/>
              </w:rPr>
              <w:t>,0</w:t>
            </w:r>
          </w:p>
        </w:tc>
      </w:tr>
      <w:tr w:rsidRPr="00003202" w:rsidR="0005239A" w:rsidTr="00003202" w14:paraId="7487AE4B" w14:textId="77777777">
        <w:trPr>
          <w:trHeight w:val="296"/>
        </w:trPr>
        <w:tc>
          <w:tcPr>
            <w:tcW w:w="5670" w:type="dxa"/>
            <w:tcBorders>
              <w:top w:val="nil"/>
              <w:left w:val="nil"/>
              <w:bottom w:val="nil"/>
              <w:right w:val="nil"/>
            </w:tcBorders>
            <w:noWrap/>
            <w:vAlign w:val="center"/>
            <w:hideMark/>
          </w:tcPr>
          <w:p w:rsidRPr="00003202" w:rsidR="0005239A" w:rsidP="003119A7" w:rsidRDefault="0005239A" w14:paraId="4C2A1E0C" w14:textId="5418DC5F">
            <w:pPr>
              <w:spacing w:before="80" w:line="240" w:lineRule="exact"/>
              <w:ind w:firstLine="0"/>
              <w:rPr>
                <w:i/>
                <w:iCs/>
                <w:color w:val="000000" w:themeColor="text1"/>
                <w:sz w:val="20"/>
                <w:szCs w:val="20"/>
              </w:rPr>
            </w:pPr>
            <w:r w:rsidRPr="00003202">
              <w:rPr>
                <w:i/>
                <w:iCs/>
                <w:color w:val="000000" w:themeColor="text1"/>
                <w:sz w:val="20"/>
                <w:szCs w:val="20"/>
              </w:rPr>
              <w:t>Klimatanpassningar</w:t>
            </w:r>
            <w:r w:rsidRPr="00003202" w:rsidR="00B21131">
              <w:rPr>
                <w:i/>
                <w:iCs/>
                <w:color w:val="000000" w:themeColor="text1"/>
                <w:sz w:val="20"/>
                <w:szCs w:val="20"/>
              </w:rPr>
              <w:t xml:space="preserve"> av</w:t>
            </w:r>
            <w:r w:rsidRPr="00003202">
              <w:rPr>
                <w:i/>
                <w:iCs/>
                <w:color w:val="000000" w:themeColor="text1"/>
                <w:sz w:val="20"/>
                <w:szCs w:val="20"/>
              </w:rPr>
              <w:t xml:space="preserve"> befintligt bostadsbestånd</w:t>
            </w:r>
          </w:p>
        </w:tc>
        <w:tc>
          <w:tcPr>
            <w:tcW w:w="1192" w:type="dxa"/>
            <w:tcBorders>
              <w:top w:val="nil"/>
              <w:left w:val="nil"/>
              <w:bottom w:val="nil"/>
              <w:right w:val="nil"/>
            </w:tcBorders>
            <w:noWrap/>
            <w:vAlign w:val="bottom"/>
            <w:hideMark/>
          </w:tcPr>
          <w:p w:rsidRPr="00003202" w:rsidR="0005239A" w:rsidP="003119A7" w:rsidRDefault="00963F6E" w14:paraId="06CF8037" w14:textId="68B6A5F7">
            <w:pPr>
              <w:spacing w:before="80" w:line="240" w:lineRule="exact"/>
              <w:jc w:val="right"/>
              <w:rPr>
                <w:i/>
                <w:iCs/>
                <w:sz w:val="20"/>
                <w:szCs w:val="20"/>
              </w:rPr>
            </w:pPr>
            <w:r w:rsidRPr="00003202">
              <w:rPr>
                <w:i/>
                <w:iCs/>
                <w:sz w:val="20"/>
                <w:szCs w:val="20"/>
              </w:rPr>
              <w:t>2,56</w:t>
            </w:r>
          </w:p>
        </w:tc>
        <w:tc>
          <w:tcPr>
            <w:tcW w:w="1205" w:type="dxa"/>
            <w:tcBorders>
              <w:top w:val="nil"/>
              <w:left w:val="nil"/>
              <w:bottom w:val="nil"/>
              <w:right w:val="nil"/>
            </w:tcBorders>
            <w:noWrap/>
            <w:vAlign w:val="bottom"/>
            <w:hideMark/>
          </w:tcPr>
          <w:p w:rsidRPr="00003202" w:rsidR="0005239A" w:rsidP="003119A7" w:rsidRDefault="00BE32C5" w14:paraId="617666E4" w14:textId="2C380742">
            <w:pPr>
              <w:spacing w:before="80" w:line="240" w:lineRule="exact"/>
              <w:jc w:val="right"/>
              <w:rPr>
                <w:i/>
                <w:iCs/>
                <w:sz w:val="20"/>
                <w:szCs w:val="20"/>
              </w:rPr>
            </w:pPr>
            <w:r w:rsidRPr="00003202">
              <w:rPr>
                <w:i/>
                <w:iCs/>
                <w:sz w:val="20"/>
                <w:szCs w:val="20"/>
              </w:rPr>
              <w:t>5,0</w:t>
            </w:r>
            <w:r w:rsidRPr="00003202" w:rsidR="0005239A">
              <w:rPr>
                <w:i/>
                <w:iCs/>
                <w:sz w:val="20"/>
                <w:szCs w:val="20"/>
              </w:rPr>
              <w:t>,</w:t>
            </w:r>
          </w:p>
        </w:tc>
        <w:tc>
          <w:tcPr>
            <w:tcW w:w="1172" w:type="dxa"/>
            <w:tcBorders>
              <w:top w:val="nil"/>
              <w:left w:val="nil"/>
              <w:bottom w:val="nil"/>
              <w:right w:val="nil"/>
            </w:tcBorders>
            <w:noWrap/>
            <w:vAlign w:val="bottom"/>
            <w:hideMark/>
          </w:tcPr>
          <w:p w:rsidRPr="00003202" w:rsidR="0005239A" w:rsidP="003119A7" w:rsidRDefault="00BE32C5" w14:paraId="1656196A" w14:textId="7C7B3974">
            <w:pPr>
              <w:spacing w:before="80" w:line="240" w:lineRule="exact"/>
              <w:jc w:val="right"/>
              <w:rPr>
                <w:i/>
                <w:iCs/>
                <w:sz w:val="20"/>
                <w:szCs w:val="20"/>
              </w:rPr>
            </w:pPr>
            <w:r w:rsidRPr="00003202">
              <w:rPr>
                <w:i/>
                <w:iCs/>
                <w:sz w:val="20"/>
                <w:szCs w:val="20"/>
              </w:rPr>
              <w:t>7,5</w:t>
            </w:r>
          </w:p>
        </w:tc>
      </w:tr>
      <w:tr w:rsidRPr="00003202" w:rsidR="0005239A" w:rsidTr="00003202" w14:paraId="20A35FAB" w14:textId="77777777">
        <w:trPr>
          <w:trHeight w:val="296"/>
        </w:trPr>
        <w:tc>
          <w:tcPr>
            <w:tcW w:w="5670" w:type="dxa"/>
            <w:tcBorders>
              <w:top w:val="nil"/>
              <w:left w:val="nil"/>
              <w:bottom w:val="nil"/>
              <w:right w:val="nil"/>
            </w:tcBorders>
            <w:noWrap/>
            <w:vAlign w:val="center"/>
            <w:hideMark/>
          </w:tcPr>
          <w:p w:rsidRPr="00003202" w:rsidR="0005239A" w:rsidP="003119A7" w:rsidRDefault="0005239A" w14:paraId="14366332" w14:textId="6310EC73">
            <w:pPr>
              <w:spacing w:before="80" w:line="240" w:lineRule="exact"/>
              <w:ind w:firstLine="0"/>
              <w:rPr>
                <w:i/>
                <w:iCs/>
                <w:color w:val="000000" w:themeColor="text1"/>
                <w:sz w:val="20"/>
                <w:szCs w:val="20"/>
              </w:rPr>
            </w:pPr>
            <w:r w:rsidRPr="00003202">
              <w:rPr>
                <w:i/>
                <w:iCs/>
                <w:color w:val="000000" w:themeColor="text1"/>
                <w:sz w:val="20"/>
                <w:szCs w:val="20"/>
              </w:rPr>
              <w:t>Klimatanpassningar</w:t>
            </w:r>
            <w:r w:rsidRPr="00003202" w:rsidR="00B21131">
              <w:rPr>
                <w:i/>
                <w:iCs/>
                <w:color w:val="000000" w:themeColor="text1"/>
                <w:sz w:val="20"/>
                <w:szCs w:val="20"/>
              </w:rPr>
              <w:t xml:space="preserve"> av</w:t>
            </w:r>
            <w:r w:rsidRPr="00003202">
              <w:rPr>
                <w:i/>
                <w:iCs/>
                <w:color w:val="000000" w:themeColor="text1"/>
                <w:sz w:val="20"/>
                <w:szCs w:val="20"/>
              </w:rPr>
              <w:t xml:space="preserve"> nytt bostadsbestånd</w:t>
            </w:r>
          </w:p>
        </w:tc>
        <w:tc>
          <w:tcPr>
            <w:tcW w:w="1192" w:type="dxa"/>
            <w:tcBorders>
              <w:top w:val="nil"/>
              <w:left w:val="nil"/>
              <w:bottom w:val="nil"/>
              <w:right w:val="nil"/>
            </w:tcBorders>
            <w:noWrap/>
            <w:vAlign w:val="bottom"/>
            <w:hideMark/>
          </w:tcPr>
          <w:p w:rsidRPr="00003202" w:rsidR="0005239A" w:rsidP="003119A7" w:rsidRDefault="00963F6E" w14:paraId="05881E4E" w14:textId="4209F3A9">
            <w:pPr>
              <w:spacing w:before="80" w:line="240" w:lineRule="exact"/>
              <w:jc w:val="right"/>
              <w:rPr>
                <w:i/>
                <w:iCs/>
                <w:sz w:val="20"/>
                <w:szCs w:val="20"/>
              </w:rPr>
            </w:pPr>
            <w:r w:rsidRPr="00003202">
              <w:rPr>
                <w:i/>
                <w:iCs/>
                <w:sz w:val="20"/>
                <w:szCs w:val="20"/>
              </w:rPr>
              <w:t>0</w:t>
            </w:r>
          </w:p>
        </w:tc>
        <w:tc>
          <w:tcPr>
            <w:tcW w:w="1205" w:type="dxa"/>
            <w:tcBorders>
              <w:top w:val="nil"/>
              <w:left w:val="nil"/>
              <w:bottom w:val="nil"/>
              <w:right w:val="nil"/>
            </w:tcBorders>
            <w:noWrap/>
            <w:vAlign w:val="bottom"/>
            <w:hideMark/>
          </w:tcPr>
          <w:p w:rsidRPr="00003202" w:rsidR="0005239A" w:rsidP="003119A7" w:rsidRDefault="0005239A" w14:paraId="51FF3F19" w14:textId="77777777">
            <w:pPr>
              <w:spacing w:before="80" w:line="240" w:lineRule="exact"/>
              <w:jc w:val="right"/>
              <w:rPr>
                <w:i/>
                <w:iCs/>
                <w:sz w:val="20"/>
                <w:szCs w:val="20"/>
              </w:rPr>
            </w:pPr>
            <w:r w:rsidRPr="00003202">
              <w:rPr>
                <w:i/>
                <w:iCs/>
                <w:sz w:val="20"/>
                <w:szCs w:val="20"/>
              </w:rPr>
              <w:t>3,0</w:t>
            </w:r>
          </w:p>
        </w:tc>
        <w:tc>
          <w:tcPr>
            <w:tcW w:w="1172" w:type="dxa"/>
            <w:tcBorders>
              <w:top w:val="nil"/>
              <w:left w:val="nil"/>
              <w:bottom w:val="nil"/>
              <w:right w:val="nil"/>
            </w:tcBorders>
            <w:noWrap/>
            <w:vAlign w:val="bottom"/>
            <w:hideMark/>
          </w:tcPr>
          <w:p w:rsidRPr="00003202" w:rsidR="0005239A" w:rsidP="003119A7" w:rsidRDefault="0005239A" w14:paraId="482474BA" w14:textId="77777777">
            <w:pPr>
              <w:spacing w:before="80" w:line="240" w:lineRule="exact"/>
              <w:jc w:val="right"/>
              <w:rPr>
                <w:i/>
                <w:iCs/>
                <w:sz w:val="20"/>
                <w:szCs w:val="20"/>
              </w:rPr>
            </w:pPr>
            <w:r w:rsidRPr="00003202">
              <w:rPr>
                <w:i/>
                <w:iCs/>
                <w:sz w:val="20"/>
                <w:szCs w:val="20"/>
              </w:rPr>
              <w:t>3,0</w:t>
            </w:r>
          </w:p>
        </w:tc>
      </w:tr>
      <w:tr w:rsidRPr="00003202" w:rsidR="00E41FF6" w:rsidTr="00003202" w14:paraId="5E240918" w14:textId="77777777">
        <w:trPr>
          <w:trHeight w:val="296"/>
        </w:trPr>
        <w:tc>
          <w:tcPr>
            <w:tcW w:w="5670" w:type="dxa"/>
            <w:tcBorders>
              <w:top w:val="nil"/>
              <w:left w:val="nil"/>
              <w:bottom w:val="nil"/>
              <w:right w:val="nil"/>
            </w:tcBorders>
            <w:noWrap/>
            <w:vAlign w:val="center"/>
          </w:tcPr>
          <w:p w:rsidRPr="00003202" w:rsidR="00E41FF6" w:rsidP="003119A7" w:rsidRDefault="00E41FF6" w14:paraId="7A4D7B29" w14:textId="44EADFE1">
            <w:pPr>
              <w:spacing w:before="80" w:line="240" w:lineRule="exact"/>
              <w:ind w:firstLine="0"/>
              <w:rPr>
                <w:b/>
                <w:i/>
                <w:color w:val="000000" w:themeColor="text1"/>
                <w:sz w:val="20"/>
                <w:szCs w:val="20"/>
              </w:rPr>
            </w:pPr>
            <w:r w:rsidRPr="00003202">
              <w:rPr>
                <w:b/>
                <w:bCs/>
                <w:i/>
                <w:iCs/>
                <w:color w:val="000000" w:themeColor="text1"/>
                <w:sz w:val="20"/>
                <w:szCs w:val="20"/>
              </w:rPr>
              <w:t>Övriga satsningar</w:t>
            </w:r>
          </w:p>
        </w:tc>
        <w:tc>
          <w:tcPr>
            <w:tcW w:w="1192" w:type="dxa"/>
            <w:tcBorders>
              <w:top w:val="nil"/>
              <w:left w:val="nil"/>
              <w:bottom w:val="nil"/>
              <w:right w:val="nil"/>
            </w:tcBorders>
            <w:noWrap/>
            <w:vAlign w:val="bottom"/>
          </w:tcPr>
          <w:p w:rsidRPr="00003202" w:rsidR="00E41FF6" w:rsidP="003119A7" w:rsidRDefault="00EB6024" w14:paraId="097ADCA4" w14:textId="1898CBFE">
            <w:pPr>
              <w:spacing w:before="80" w:line="240" w:lineRule="exact"/>
              <w:jc w:val="right"/>
              <w:rPr>
                <w:b/>
                <w:sz w:val="20"/>
                <w:szCs w:val="20"/>
              </w:rPr>
            </w:pPr>
            <w:r w:rsidRPr="00003202">
              <w:rPr>
                <w:b/>
                <w:bCs/>
                <w:sz w:val="20"/>
                <w:szCs w:val="20"/>
              </w:rPr>
              <w:t>24,28</w:t>
            </w:r>
          </w:p>
        </w:tc>
        <w:tc>
          <w:tcPr>
            <w:tcW w:w="1205" w:type="dxa"/>
            <w:tcBorders>
              <w:top w:val="nil"/>
              <w:left w:val="nil"/>
              <w:bottom w:val="nil"/>
              <w:right w:val="nil"/>
            </w:tcBorders>
            <w:noWrap/>
            <w:vAlign w:val="bottom"/>
          </w:tcPr>
          <w:p w:rsidRPr="00003202" w:rsidR="00E41FF6" w:rsidP="003119A7" w:rsidRDefault="00EB6024" w14:paraId="496F4616" w14:textId="42CA3205">
            <w:pPr>
              <w:spacing w:before="80" w:line="240" w:lineRule="exact"/>
              <w:jc w:val="right"/>
              <w:rPr>
                <w:b/>
                <w:sz w:val="20"/>
                <w:szCs w:val="20"/>
              </w:rPr>
            </w:pPr>
            <w:r w:rsidRPr="00003202">
              <w:rPr>
                <w:b/>
                <w:bCs/>
                <w:sz w:val="20"/>
                <w:szCs w:val="20"/>
              </w:rPr>
              <w:t>32,25</w:t>
            </w:r>
          </w:p>
        </w:tc>
        <w:tc>
          <w:tcPr>
            <w:tcW w:w="1172" w:type="dxa"/>
            <w:tcBorders>
              <w:top w:val="nil"/>
              <w:left w:val="nil"/>
              <w:bottom w:val="nil"/>
              <w:right w:val="nil"/>
            </w:tcBorders>
            <w:noWrap/>
            <w:vAlign w:val="bottom"/>
          </w:tcPr>
          <w:p w:rsidRPr="00003202" w:rsidR="00E41FF6" w:rsidP="003119A7" w:rsidRDefault="00EB6024" w14:paraId="4CE090E9" w14:textId="0220EB6F">
            <w:pPr>
              <w:spacing w:before="80" w:line="240" w:lineRule="exact"/>
              <w:jc w:val="right"/>
              <w:rPr>
                <w:b/>
                <w:sz w:val="20"/>
                <w:szCs w:val="20"/>
              </w:rPr>
            </w:pPr>
            <w:r w:rsidRPr="00003202">
              <w:rPr>
                <w:b/>
                <w:bCs/>
                <w:sz w:val="20"/>
                <w:szCs w:val="20"/>
              </w:rPr>
              <w:t>25,03</w:t>
            </w:r>
          </w:p>
        </w:tc>
      </w:tr>
      <w:tr w:rsidRPr="00003202" w:rsidR="00F00078" w:rsidTr="00003202" w14:paraId="5B838C08" w14:textId="77777777">
        <w:trPr>
          <w:trHeight w:val="296"/>
        </w:trPr>
        <w:tc>
          <w:tcPr>
            <w:tcW w:w="5670" w:type="dxa"/>
            <w:tcBorders>
              <w:top w:val="nil"/>
              <w:left w:val="nil"/>
              <w:bottom w:val="nil"/>
              <w:right w:val="nil"/>
            </w:tcBorders>
            <w:noWrap/>
          </w:tcPr>
          <w:p w:rsidRPr="00003202" w:rsidR="00F00078" w:rsidP="003119A7" w:rsidRDefault="00F00078" w14:paraId="27FBD392" w14:textId="6E81A701">
            <w:pPr>
              <w:spacing w:before="80" w:line="240" w:lineRule="exact"/>
              <w:ind w:firstLine="0"/>
              <w:rPr>
                <w:b/>
                <w:bCs/>
                <w:i/>
                <w:iCs/>
                <w:color w:val="000000" w:themeColor="text1"/>
                <w:sz w:val="20"/>
                <w:szCs w:val="20"/>
              </w:rPr>
            </w:pPr>
            <w:r w:rsidRPr="00003202">
              <w:rPr>
                <w:sz w:val="20"/>
                <w:szCs w:val="20"/>
              </w:rPr>
              <w:t>Halverade biljettpriser i kollektivtrafiken</w:t>
            </w:r>
          </w:p>
        </w:tc>
        <w:tc>
          <w:tcPr>
            <w:tcW w:w="1192" w:type="dxa"/>
            <w:tcBorders>
              <w:top w:val="nil"/>
              <w:left w:val="nil"/>
              <w:bottom w:val="nil"/>
              <w:right w:val="nil"/>
            </w:tcBorders>
            <w:noWrap/>
            <w:vAlign w:val="bottom"/>
          </w:tcPr>
          <w:p w:rsidRPr="00003202" w:rsidR="00F00078" w:rsidP="003119A7" w:rsidRDefault="00F00078" w14:paraId="02F04D34" w14:textId="7EF0B3BE">
            <w:pPr>
              <w:spacing w:before="80" w:line="240" w:lineRule="exact"/>
              <w:jc w:val="right"/>
              <w:rPr>
                <w:sz w:val="20"/>
                <w:szCs w:val="20"/>
              </w:rPr>
            </w:pPr>
            <w:r w:rsidRPr="00003202">
              <w:rPr>
                <w:sz w:val="20"/>
                <w:szCs w:val="20"/>
              </w:rPr>
              <w:t>12,0</w:t>
            </w:r>
          </w:p>
        </w:tc>
        <w:tc>
          <w:tcPr>
            <w:tcW w:w="1205" w:type="dxa"/>
            <w:tcBorders>
              <w:top w:val="nil"/>
              <w:left w:val="nil"/>
              <w:bottom w:val="nil"/>
              <w:right w:val="nil"/>
            </w:tcBorders>
            <w:noWrap/>
            <w:vAlign w:val="bottom"/>
          </w:tcPr>
          <w:p w:rsidRPr="00003202" w:rsidR="00F00078" w:rsidP="003119A7" w:rsidRDefault="00F00078" w14:paraId="57CE6A1A" w14:textId="732C6CE4">
            <w:pPr>
              <w:spacing w:before="80" w:line="240" w:lineRule="exact"/>
              <w:jc w:val="right"/>
              <w:rPr>
                <w:sz w:val="20"/>
                <w:szCs w:val="20"/>
              </w:rPr>
            </w:pPr>
            <w:r w:rsidRPr="00003202">
              <w:rPr>
                <w:sz w:val="20"/>
                <w:szCs w:val="20"/>
              </w:rPr>
              <w:t>12,0</w:t>
            </w:r>
          </w:p>
        </w:tc>
        <w:tc>
          <w:tcPr>
            <w:tcW w:w="1172" w:type="dxa"/>
            <w:tcBorders>
              <w:top w:val="nil"/>
              <w:left w:val="nil"/>
              <w:bottom w:val="nil"/>
              <w:right w:val="nil"/>
            </w:tcBorders>
            <w:noWrap/>
            <w:vAlign w:val="bottom"/>
          </w:tcPr>
          <w:p w:rsidRPr="00003202" w:rsidR="00F00078" w:rsidP="003119A7" w:rsidRDefault="00F00078" w14:paraId="24C959B7" w14:textId="0A5A6430">
            <w:pPr>
              <w:spacing w:before="80" w:line="240" w:lineRule="exact"/>
              <w:jc w:val="right"/>
              <w:rPr>
                <w:sz w:val="20"/>
                <w:szCs w:val="20"/>
              </w:rPr>
            </w:pPr>
            <w:r w:rsidRPr="00003202">
              <w:rPr>
                <w:sz w:val="20"/>
                <w:szCs w:val="20"/>
              </w:rPr>
              <w:t>0,0</w:t>
            </w:r>
          </w:p>
        </w:tc>
      </w:tr>
      <w:tr w:rsidRPr="00003202" w:rsidR="00F00078" w:rsidTr="00003202" w14:paraId="1EEEE8BD" w14:textId="77777777">
        <w:trPr>
          <w:trHeight w:val="296"/>
        </w:trPr>
        <w:tc>
          <w:tcPr>
            <w:tcW w:w="5670" w:type="dxa"/>
            <w:tcBorders>
              <w:top w:val="nil"/>
              <w:left w:val="nil"/>
              <w:bottom w:val="nil"/>
              <w:right w:val="nil"/>
            </w:tcBorders>
            <w:noWrap/>
          </w:tcPr>
          <w:p w:rsidRPr="00003202" w:rsidR="00F00078" w:rsidP="003119A7" w:rsidRDefault="008F5566" w14:paraId="7572871C" w14:textId="7B96419E">
            <w:pPr>
              <w:spacing w:before="80" w:line="240" w:lineRule="exact"/>
              <w:ind w:firstLine="0"/>
              <w:rPr>
                <w:sz w:val="20"/>
                <w:szCs w:val="20"/>
              </w:rPr>
            </w:pPr>
            <w:r w:rsidRPr="00003202">
              <w:rPr>
                <w:sz w:val="20"/>
                <w:szCs w:val="20"/>
              </w:rPr>
              <w:t>Investeringsstöd</w:t>
            </w:r>
            <w:r w:rsidRPr="00003202" w:rsidR="00B21131">
              <w:rPr>
                <w:sz w:val="20"/>
                <w:szCs w:val="20"/>
              </w:rPr>
              <w:t xml:space="preserve"> för</w:t>
            </w:r>
            <w:r w:rsidRPr="00003202" w:rsidR="00F00078">
              <w:rPr>
                <w:sz w:val="20"/>
                <w:szCs w:val="20"/>
              </w:rPr>
              <w:t xml:space="preserve"> kollektivtrafiken</w:t>
            </w:r>
          </w:p>
        </w:tc>
        <w:tc>
          <w:tcPr>
            <w:tcW w:w="1192" w:type="dxa"/>
            <w:tcBorders>
              <w:top w:val="nil"/>
              <w:left w:val="nil"/>
              <w:bottom w:val="nil"/>
              <w:right w:val="nil"/>
            </w:tcBorders>
            <w:noWrap/>
            <w:vAlign w:val="bottom"/>
          </w:tcPr>
          <w:p w:rsidRPr="00003202" w:rsidR="00F00078" w:rsidP="003119A7" w:rsidRDefault="00F00078" w14:paraId="45B6435E" w14:textId="3AE198B1">
            <w:pPr>
              <w:spacing w:before="80" w:line="240" w:lineRule="exact"/>
              <w:jc w:val="right"/>
              <w:rPr>
                <w:sz w:val="20"/>
                <w:szCs w:val="20"/>
              </w:rPr>
            </w:pPr>
            <w:r w:rsidRPr="00003202">
              <w:rPr>
                <w:sz w:val="20"/>
                <w:szCs w:val="20"/>
              </w:rPr>
              <w:t>5,0</w:t>
            </w:r>
          </w:p>
        </w:tc>
        <w:tc>
          <w:tcPr>
            <w:tcW w:w="1205" w:type="dxa"/>
            <w:tcBorders>
              <w:top w:val="nil"/>
              <w:left w:val="nil"/>
              <w:bottom w:val="nil"/>
              <w:right w:val="nil"/>
            </w:tcBorders>
            <w:noWrap/>
            <w:vAlign w:val="bottom"/>
          </w:tcPr>
          <w:p w:rsidRPr="00003202" w:rsidR="00F00078" w:rsidP="003119A7" w:rsidRDefault="00F00078" w14:paraId="7C435346" w14:textId="7BAB8E19">
            <w:pPr>
              <w:spacing w:before="80" w:line="240" w:lineRule="exact"/>
              <w:jc w:val="right"/>
              <w:rPr>
                <w:sz w:val="20"/>
                <w:szCs w:val="20"/>
              </w:rPr>
            </w:pPr>
            <w:r w:rsidRPr="00003202">
              <w:rPr>
                <w:sz w:val="20"/>
                <w:szCs w:val="20"/>
              </w:rPr>
              <w:t>5,0</w:t>
            </w:r>
          </w:p>
        </w:tc>
        <w:tc>
          <w:tcPr>
            <w:tcW w:w="1172" w:type="dxa"/>
            <w:tcBorders>
              <w:top w:val="nil"/>
              <w:left w:val="nil"/>
              <w:bottom w:val="nil"/>
              <w:right w:val="nil"/>
            </w:tcBorders>
            <w:noWrap/>
            <w:vAlign w:val="bottom"/>
          </w:tcPr>
          <w:p w:rsidRPr="00003202" w:rsidR="00F00078" w:rsidP="003119A7" w:rsidRDefault="00F00078" w14:paraId="3DDE945F" w14:textId="7F774013">
            <w:pPr>
              <w:spacing w:before="80" w:line="240" w:lineRule="exact"/>
              <w:jc w:val="right"/>
              <w:rPr>
                <w:sz w:val="20"/>
                <w:szCs w:val="20"/>
              </w:rPr>
            </w:pPr>
            <w:r w:rsidRPr="00003202">
              <w:rPr>
                <w:sz w:val="20"/>
                <w:szCs w:val="20"/>
              </w:rPr>
              <w:t>5,0</w:t>
            </w:r>
          </w:p>
        </w:tc>
      </w:tr>
      <w:tr w:rsidRPr="00003202" w:rsidR="008F5566" w:rsidTr="00003202" w14:paraId="627C03CB" w14:textId="77777777">
        <w:trPr>
          <w:trHeight w:val="296"/>
        </w:trPr>
        <w:tc>
          <w:tcPr>
            <w:tcW w:w="5670" w:type="dxa"/>
            <w:tcBorders>
              <w:top w:val="nil"/>
              <w:left w:val="nil"/>
              <w:bottom w:val="nil"/>
              <w:right w:val="nil"/>
            </w:tcBorders>
            <w:noWrap/>
          </w:tcPr>
          <w:p w:rsidRPr="00003202" w:rsidR="008F5566" w:rsidP="003119A7" w:rsidRDefault="008F5566" w14:paraId="42B621B6" w14:textId="4184EB24">
            <w:pPr>
              <w:spacing w:before="80" w:line="240" w:lineRule="exact"/>
              <w:ind w:firstLine="0"/>
              <w:rPr>
                <w:sz w:val="20"/>
                <w:szCs w:val="20"/>
              </w:rPr>
            </w:pPr>
            <w:r w:rsidRPr="00003202">
              <w:rPr>
                <w:sz w:val="20"/>
                <w:szCs w:val="20"/>
              </w:rPr>
              <w:t>Klimatbonusmodellen</w:t>
            </w:r>
          </w:p>
        </w:tc>
        <w:tc>
          <w:tcPr>
            <w:tcW w:w="1192" w:type="dxa"/>
            <w:tcBorders>
              <w:top w:val="nil"/>
              <w:left w:val="nil"/>
              <w:bottom w:val="nil"/>
              <w:right w:val="nil"/>
            </w:tcBorders>
            <w:noWrap/>
            <w:vAlign w:val="bottom"/>
          </w:tcPr>
          <w:p w:rsidRPr="00003202" w:rsidR="008F5566" w:rsidP="003119A7" w:rsidRDefault="00B21131" w14:paraId="603822A6" w14:textId="23883795">
            <w:pPr>
              <w:spacing w:before="80" w:line="240" w:lineRule="exact"/>
              <w:jc w:val="right"/>
              <w:rPr>
                <w:sz w:val="20"/>
                <w:szCs w:val="20"/>
              </w:rPr>
            </w:pPr>
            <w:r w:rsidRPr="00003202">
              <w:rPr>
                <w:sz w:val="20"/>
                <w:szCs w:val="20"/>
              </w:rPr>
              <w:t>–</w:t>
            </w:r>
            <w:r w:rsidRPr="00003202" w:rsidR="008F5566">
              <w:rPr>
                <w:sz w:val="20"/>
                <w:szCs w:val="20"/>
              </w:rPr>
              <w:t>2,99</w:t>
            </w:r>
          </w:p>
        </w:tc>
        <w:tc>
          <w:tcPr>
            <w:tcW w:w="1205" w:type="dxa"/>
            <w:tcBorders>
              <w:top w:val="nil"/>
              <w:left w:val="nil"/>
              <w:bottom w:val="nil"/>
              <w:right w:val="nil"/>
            </w:tcBorders>
            <w:noWrap/>
            <w:vAlign w:val="bottom"/>
          </w:tcPr>
          <w:p w:rsidRPr="00003202" w:rsidR="008F5566" w:rsidP="003119A7" w:rsidRDefault="008F5566" w14:paraId="64962AD8" w14:textId="0EDA26CB">
            <w:pPr>
              <w:spacing w:before="80" w:line="240" w:lineRule="exact"/>
              <w:jc w:val="right"/>
              <w:rPr>
                <w:sz w:val="20"/>
                <w:szCs w:val="20"/>
              </w:rPr>
            </w:pPr>
            <w:r w:rsidRPr="00003202">
              <w:rPr>
                <w:sz w:val="20"/>
                <w:szCs w:val="20"/>
              </w:rPr>
              <w:t>2,97</w:t>
            </w:r>
          </w:p>
        </w:tc>
        <w:tc>
          <w:tcPr>
            <w:tcW w:w="1172" w:type="dxa"/>
            <w:tcBorders>
              <w:top w:val="nil"/>
              <w:left w:val="nil"/>
              <w:bottom w:val="nil"/>
              <w:right w:val="nil"/>
            </w:tcBorders>
            <w:noWrap/>
            <w:vAlign w:val="bottom"/>
          </w:tcPr>
          <w:p w:rsidRPr="00003202" w:rsidR="008F5566" w:rsidP="003119A7" w:rsidRDefault="008F5566" w14:paraId="6FF699ED" w14:textId="1B0C7A96">
            <w:pPr>
              <w:spacing w:before="80" w:line="240" w:lineRule="exact"/>
              <w:jc w:val="right"/>
              <w:rPr>
                <w:sz w:val="20"/>
                <w:szCs w:val="20"/>
              </w:rPr>
            </w:pPr>
            <w:r w:rsidRPr="00003202">
              <w:rPr>
                <w:sz w:val="20"/>
                <w:szCs w:val="20"/>
              </w:rPr>
              <w:t>2,97</w:t>
            </w:r>
          </w:p>
        </w:tc>
      </w:tr>
      <w:tr w:rsidRPr="00003202" w:rsidR="004D1C66" w:rsidTr="00003202" w14:paraId="6AF8A267" w14:textId="4D4BCEE1">
        <w:trPr>
          <w:trHeight w:val="296"/>
        </w:trPr>
        <w:tc>
          <w:tcPr>
            <w:tcW w:w="5670" w:type="dxa"/>
            <w:tcBorders>
              <w:top w:val="nil"/>
              <w:left w:val="nil"/>
              <w:bottom w:val="nil"/>
              <w:right w:val="nil"/>
            </w:tcBorders>
            <w:noWrap/>
          </w:tcPr>
          <w:p w:rsidRPr="00003202" w:rsidR="004D1C66" w:rsidP="003119A7" w:rsidRDefault="004D1C66" w14:paraId="7A3C0AFB" w14:textId="3F0320DE">
            <w:pPr>
              <w:spacing w:before="80" w:line="240" w:lineRule="exact"/>
              <w:ind w:firstLine="0"/>
              <w:rPr>
                <w:color w:val="000000" w:themeColor="text1"/>
                <w:sz w:val="20"/>
                <w:szCs w:val="20"/>
              </w:rPr>
            </w:pPr>
            <w:r w:rsidRPr="00003202">
              <w:rPr>
                <w:sz w:val="20"/>
                <w:szCs w:val="20"/>
              </w:rPr>
              <w:t>Inför ett klimatomställningsstöd för personbilar</w:t>
            </w:r>
          </w:p>
        </w:tc>
        <w:tc>
          <w:tcPr>
            <w:tcW w:w="1192" w:type="dxa"/>
            <w:tcBorders>
              <w:top w:val="nil"/>
              <w:left w:val="nil"/>
              <w:bottom w:val="nil"/>
              <w:right w:val="nil"/>
            </w:tcBorders>
            <w:noWrap/>
            <w:vAlign w:val="bottom"/>
          </w:tcPr>
          <w:p w:rsidRPr="00003202" w:rsidR="004D1C66" w:rsidP="003119A7" w:rsidRDefault="004D1C66" w14:paraId="6C7E4261" w14:textId="7610BFFC">
            <w:pPr>
              <w:spacing w:before="80" w:line="240" w:lineRule="exact"/>
              <w:jc w:val="right"/>
              <w:rPr>
                <w:sz w:val="20"/>
                <w:szCs w:val="20"/>
              </w:rPr>
            </w:pPr>
            <w:r w:rsidRPr="00003202">
              <w:rPr>
                <w:sz w:val="20"/>
                <w:szCs w:val="20"/>
              </w:rPr>
              <w:t>0,25</w:t>
            </w:r>
          </w:p>
        </w:tc>
        <w:tc>
          <w:tcPr>
            <w:tcW w:w="1205" w:type="dxa"/>
            <w:tcBorders>
              <w:top w:val="nil"/>
              <w:left w:val="nil"/>
              <w:bottom w:val="nil"/>
              <w:right w:val="nil"/>
            </w:tcBorders>
            <w:noWrap/>
            <w:vAlign w:val="bottom"/>
          </w:tcPr>
          <w:p w:rsidRPr="00003202" w:rsidR="004D1C66" w:rsidP="003119A7" w:rsidRDefault="004D1C66" w14:paraId="42C5858A" w14:textId="7BA2107E">
            <w:pPr>
              <w:spacing w:before="80" w:line="240" w:lineRule="exact"/>
              <w:jc w:val="right"/>
              <w:rPr>
                <w:sz w:val="20"/>
                <w:szCs w:val="20"/>
              </w:rPr>
            </w:pPr>
            <w:r w:rsidRPr="00003202">
              <w:rPr>
                <w:sz w:val="20"/>
                <w:szCs w:val="20"/>
              </w:rPr>
              <w:t>0,55</w:t>
            </w:r>
          </w:p>
        </w:tc>
        <w:tc>
          <w:tcPr>
            <w:tcW w:w="1172" w:type="dxa"/>
            <w:tcBorders>
              <w:top w:val="nil"/>
              <w:left w:val="nil"/>
              <w:bottom w:val="nil"/>
              <w:right w:val="nil"/>
            </w:tcBorders>
            <w:noWrap/>
            <w:vAlign w:val="bottom"/>
          </w:tcPr>
          <w:p w:rsidRPr="00003202" w:rsidR="004D1C66" w:rsidP="003119A7" w:rsidRDefault="004D1C66" w14:paraId="2EA0D42E" w14:textId="135FABFC">
            <w:pPr>
              <w:spacing w:before="80" w:line="240" w:lineRule="exact"/>
              <w:jc w:val="right"/>
              <w:rPr>
                <w:sz w:val="20"/>
                <w:szCs w:val="20"/>
              </w:rPr>
            </w:pPr>
            <w:r w:rsidRPr="00003202">
              <w:rPr>
                <w:sz w:val="20"/>
                <w:szCs w:val="20"/>
              </w:rPr>
              <w:t>0,55</w:t>
            </w:r>
          </w:p>
        </w:tc>
      </w:tr>
      <w:tr w:rsidRPr="00003202" w:rsidR="004D1C66" w:rsidTr="00003202" w14:paraId="62FB896E" w14:textId="77777777">
        <w:trPr>
          <w:trHeight w:val="296"/>
        </w:trPr>
        <w:tc>
          <w:tcPr>
            <w:tcW w:w="5670" w:type="dxa"/>
            <w:tcBorders>
              <w:top w:val="nil"/>
              <w:left w:val="nil"/>
              <w:bottom w:val="nil"/>
              <w:right w:val="nil"/>
            </w:tcBorders>
            <w:noWrap/>
          </w:tcPr>
          <w:p w:rsidRPr="00003202" w:rsidR="004D1C66" w:rsidP="003119A7" w:rsidRDefault="004D1C66" w14:paraId="1342281C" w14:textId="34E81E06">
            <w:pPr>
              <w:spacing w:before="80" w:line="240" w:lineRule="exact"/>
              <w:ind w:firstLine="0"/>
              <w:rPr>
                <w:sz w:val="20"/>
                <w:szCs w:val="20"/>
              </w:rPr>
            </w:pPr>
            <w:r w:rsidRPr="00003202">
              <w:rPr>
                <w:sz w:val="20"/>
                <w:szCs w:val="20"/>
              </w:rPr>
              <w:t>Investeringsstöd för anordnande av hyresbostäder och bostäder för studerande</w:t>
            </w:r>
          </w:p>
        </w:tc>
        <w:tc>
          <w:tcPr>
            <w:tcW w:w="1192" w:type="dxa"/>
            <w:tcBorders>
              <w:top w:val="nil"/>
              <w:left w:val="nil"/>
              <w:bottom w:val="nil"/>
              <w:right w:val="nil"/>
            </w:tcBorders>
            <w:noWrap/>
            <w:vAlign w:val="bottom"/>
          </w:tcPr>
          <w:p w:rsidRPr="00003202" w:rsidR="004D1C66" w:rsidP="003119A7" w:rsidRDefault="004D1C66" w14:paraId="6C096E8B" w14:textId="47D4A15F">
            <w:pPr>
              <w:spacing w:before="80" w:line="240" w:lineRule="exact"/>
              <w:jc w:val="right"/>
              <w:rPr>
                <w:sz w:val="20"/>
                <w:szCs w:val="20"/>
              </w:rPr>
            </w:pPr>
            <w:r w:rsidRPr="00003202">
              <w:rPr>
                <w:sz w:val="20"/>
                <w:szCs w:val="20"/>
              </w:rPr>
              <w:t>0,0</w:t>
            </w:r>
          </w:p>
        </w:tc>
        <w:tc>
          <w:tcPr>
            <w:tcW w:w="1205" w:type="dxa"/>
            <w:tcBorders>
              <w:top w:val="nil"/>
              <w:left w:val="nil"/>
              <w:bottom w:val="nil"/>
              <w:right w:val="nil"/>
            </w:tcBorders>
            <w:noWrap/>
            <w:vAlign w:val="bottom"/>
          </w:tcPr>
          <w:p w:rsidRPr="00003202" w:rsidR="004D1C66" w:rsidP="003119A7" w:rsidRDefault="004D1C66" w14:paraId="40E2C96D" w14:textId="433FA782">
            <w:pPr>
              <w:spacing w:before="80" w:line="240" w:lineRule="exact"/>
              <w:jc w:val="right"/>
              <w:rPr>
                <w:sz w:val="20"/>
                <w:szCs w:val="20"/>
              </w:rPr>
            </w:pPr>
            <w:r w:rsidRPr="00003202">
              <w:rPr>
                <w:sz w:val="20"/>
                <w:szCs w:val="20"/>
              </w:rPr>
              <w:t>0,29</w:t>
            </w:r>
          </w:p>
        </w:tc>
        <w:tc>
          <w:tcPr>
            <w:tcW w:w="1172" w:type="dxa"/>
            <w:tcBorders>
              <w:top w:val="nil"/>
              <w:left w:val="nil"/>
              <w:bottom w:val="nil"/>
              <w:right w:val="nil"/>
            </w:tcBorders>
            <w:noWrap/>
            <w:vAlign w:val="bottom"/>
          </w:tcPr>
          <w:p w:rsidRPr="00003202" w:rsidR="004D1C66" w:rsidP="003119A7" w:rsidRDefault="004D1C66" w14:paraId="5756290C" w14:textId="24ABF521">
            <w:pPr>
              <w:spacing w:before="80" w:line="240" w:lineRule="exact"/>
              <w:jc w:val="right"/>
              <w:rPr>
                <w:sz w:val="20"/>
                <w:szCs w:val="20"/>
              </w:rPr>
            </w:pPr>
            <w:r w:rsidRPr="00003202">
              <w:rPr>
                <w:color w:val="000000" w:themeColor="text1"/>
                <w:sz w:val="20"/>
                <w:szCs w:val="20"/>
              </w:rPr>
              <w:t>2,63</w:t>
            </w:r>
          </w:p>
        </w:tc>
      </w:tr>
      <w:tr w:rsidRPr="00003202" w:rsidR="0005239A" w:rsidTr="00003202" w14:paraId="1BC48721" w14:textId="77777777">
        <w:trPr>
          <w:trHeight w:val="296"/>
        </w:trPr>
        <w:tc>
          <w:tcPr>
            <w:tcW w:w="5670" w:type="dxa"/>
            <w:tcBorders>
              <w:top w:val="nil"/>
              <w:left w:val="nil"/>
              <w:bottom w:val="nil"/>
              <w:right w:val="nil"/>
            </w:tcBorders>
            <w:noWrap/>
            <w:vAlign w:val="center"/>
            <w:hideMark/>
          </w:tcPr>
          <w:p w:rsidRPr="00003202" w:rsidR="0005239A" w:rsidP="003119A7" w:rsidRDefault="0005239A" w14:paraId="3699F3BF" w14:textId="64B2B7D4">
            <w:pPr>
              <w:spacing w:before="80" w:line="240" w:lineRule="exact"/>
              <w:ind w:firstLine="0"/>
              <w:rPr>
                <w:color w:val="000000" w:themeColor="text1"/>
                <w:sz w:val="20"/>
                <w:szCs w:val="20"/>
              </w:rPr>
            </w:pPr>
            <w:r w:rsidRPr="00003202">
              <w:rPr>
                <w:color w:val="000000" w:themeColor="text1"/>
                <w:sz w:val="20"/>
                <w:szCs w:val="20"/>
              </w:rPr>
              <w:lastRenderedPageBreak/>
              <w:t>Investeringsstöd</w:t>
            </w:r>
            <w:r w:rsidRPr="00003202" w:rsidR="00B21131">
              <w:rPr>
                <w:color w:val="000000" w:themeColor="text1"/>
                <w:sz w:val="20"/>
                <w:szCs w:val="20"/>
              </w:rPr>
              <w:t xml:space="preserve"> för</w:t>
            </w:r>
            <w:r w:rsidRPr="00003202">
              <w:rPr>
                <w:color w:val="000000" w:themeColor="text1"/>
                <w:sz w:val="20"/>
                <w:szCs w:val="20"/>
              </w:rPr>
              <w:t xml:space="preserve"> samhällsfastigheter </w:t>
            </w:r>
          </w:p>
        </w:tc>
        <w:tc>
          <w:tcPr>
            <w:tcW w:w="1192" w:type="dxa"/>
            <w:tcBorders>
              <w:top w:val="nil"/>
              <w:left w:val="nil"/>
              <w:bottom w:val="nil"/>
              <w:right w:val="nil"/>
            </w:tcBorders>
            <w:noWrap/>
            <w:vAlign w:val="bottom"/>
            <w:hideMark/>
          </w:tcPr>
          <w:p w:rsidRPr="00003202" w:rsidR="0005239A" w:rsidP="003119A7" w:rsidRDefault="0005239A" w14:paraId="4B28AAF2" w14:textId="77777777">
            <w:pPr>
              <w:spacing w:before="80" w:line="240" w:lineRule="exact"/>
              <w:jc w:val="right"/>
              <w:rPr>
                <w:sz w:val="20"/>
                <w:szCs w:val="20"/>
              </w:rPr>
            </w:pPr>
            <w:r w:rsidRPr="00003202">
              <w:rPr>
                <w:sz w:val="20"/>
                <w:szCs w:val="20"/>
              </w:rPr>
              <w:t>2,0</w:t>
            </w:r>
          </w:p>
        </w:tc>
        <w:tc>
          <w:tcPr>
            <w:tcW w:w="1205" w:type="dxa"/>
            <w:tcBorders>
              <w:top w:val="nil"/>
              <w:left w:val="nil"/>
              <w:bottom w:val="nil"/>
              <w:right w:val="nil"/>
            </w:tcBorders>
            <w:noWrap/>
            <w:vAlign w:val="bottom"/>
            <w:hideMark/>
          </w:tcPr>
          <w:p w:rsidRPr="00003202" w:rsidR="0005239A" w:rsidP="003119A7" w:rsidRDefault="0005239A" w14:paraId="7232E778" w14:textId="77777777">
            <w:pPr>
              <w:spacing w:before="80" w:line="240" w:lineRule="exact"/>
              <w:jc w:val="right"/>
              <w:rPr>
                <w:sz w:val="20"/>
                <w:szCs w:val="20"/>
              </w:rPr>
            </w:pPr>
            <w:r w:rsidRPr="00003202">
              <w:rPr>
                <w:sz w:val="20"/>
                <w:szCs w:val="20"/>
              </w:rPr>
              <w:t>3,0</w:t>
            </w:r>
          </w:p>
        </w:tc>
        <w:tc>
          <w:tcPr>
            <w:tcW w:w="1172" w:type="dxa"/>
            <w:tcBorders>
              <w:top w:val="nil"/>
              <w:left w:val="nil"/>
              <w:bottom w:val="nil"/>
              <w:right w:val="nil"/>
            </w:tcBorders>
            <w:noWrap/>
            <w:vAlign w:val="bottom"/>
            <w:hideMark/>
          </w:tcPr>
          <w:p w:rsidRPr="00003202" w:rsidR="0005239A" w:rsidP="003119A7" w:rsidRDefault="0005239A" w14:paraId="25E6D377" w14:textId="77777777">
            <w:pPr>
              <w:spacing w:before="80" w:line="240" w:lineRule="exact"/>
              <w:jc w:val="right"/>
              <w:rPr>
                <w:sz w:val="20"/>
                <w:szCs w:val="20"/>
              </w:rPr>
            </w:pPr>
            <w:r w:rsidRPr="00003202">
              <w:rPr>
                <w:sz w:val="20"/>
                <w:szCs w:val="20"/>
              </w:rPr>
              <w:t>4,0</w:t>
            </w:r>
          </w:p>
        </w:tc>
      </w:tr>
      <w:tr w:rsidRPr="00003202" w:rsidR="0005239A" w:rsidTr="00003202" w14:paraId="310C375C" w14:textId="77777777">
        <w:trPr>
          <w:trHeight w:val="296"/>
        </w:trPr>
        <w:tc>
          <w:tcPr>
            <w:tcW w:w="5670" w:type="dxa"/>
            <w:tcBorders>
              <w:top w:val="nil"/>
              <w:left w:val="nil"/>
              <w:bottom w:val="nil"/>
              <w:right w:val="nil"/>
            </w:tcBorders>
            <w:noWrap/>
            <w:hideMark/>
          </w:tcPr>
          <w:p w:rsidRPr="00003202" w:rsidR="0005239A" w:rsidP="003119A7" w:rsidRDefault="0005239A" w14:paraId="2D82F96E" w14:textId="77777777">
            <w:pPr>
              <w:spacing w:before="80" w:line="240" w:lineRule="exact"/>
              <w:ind w:firstLine="0"/>
              <w:rPr>
                <w:color w:val="000000" w:themeColor="text1"/>
                <w:sz w:val="20"/>
                <w:szCs w:val="20"/>
              </w:rPr>
            </w:pPr>
            <w:r w:rsidRPr="00003202">
              <w:rPr>
                <w:sz w:val="20"/>
                <w:szCs w:val="20"/>
              </w:rPr>
              <w:t>Stöd till lekparker, parklekar och spontanidrott</w:t>
            </w:r>
          </w:p>
        </w:tc>
        <w:tc>
          <w:tcPr>
            <w:tcW w:w="1192" w:type="dxa"/>
            <w:tcBorders>
              <w:top w:val="nil"/>
              <w:left w:val="nil"/>
              <w:bottom w:val="nil"/>
              <w:right w:val="nil"/>
            </w:tcBorders>
            <w:noWrap/>
            <w:vAlign w:val="bottom"/>
            <w:hideMark/>
          </w:tcPr>
          <w:p w:rsidRPr="00003202" w:rsidR="0005239A" w:rsidP="003119A7" w:rsidRDefault="0005239A" w14:paraId="14A7B167" w14:textId="77777777">
            <w:pPr>
              <w:spacing w:before="80" w:line="240" w:lineRule="exact"/>
              <w:jc w:val="right"/>
              <w:rPr>
                <w:color w:val="000000" w:themeColor="text1"/>
                <w:sz w:val="20"/>
                <w:szCs w:val="20"/>
              </w:rPr>
            </w:pPr>
            <w:r w:rsidRPr="00003202">
              <w:rPr>
                <w:sz w:val="20"/>
                <w:szCs w:val="20"/>
              </w:rPr>
              <w:t>0,5</w:t>
            </w:r>
          </w:p>
        </w:tc>
        <w:tc>
          <w:tcPr>
            <w:tcW w:w="1205" w:type="dxa"/>
            <w:tcBorders>
              <w:top w:val="nil"/>
              <w:left w:val="nil"/>
              <w:bottom w:val="nil"/>
              <w:right w:val="nil"/>
            </w:tcBorders>
            <w:noWrap/>
            <w:vAlign w:val="bottom"/>
            <w:hideMark/>
          </w:tcPr>
          <w:p w:rsidRPr="00003202" w:rsidR="0005239A" w:rsidP="003119A7" w:rsidRDefault="0005239A" w14:paraId="004D77FD" w14:textId="77777777">
            <w:pPr>
              <w:spacing w:before="80" w:line="240" w:lineRule="exact"/>
              <w:jc w:val="right"/>
              <w:rPr>
                <w:color w:val="000000" w:themeColor="text1"/>
                <w:sz w:val="20"/>
                <w:szCs w:val="20"/>
              </w:rPr>
            </w:pPr>
            <w:r w:rsidRPr="00003202">
              <w:rPr>
                <w:sz w:val="20"/>
                <w:szCs w:val="20"/>
              </w:rPr>
              <w:t>0,5</w:t>
            </w:r>
          </w:p>
        </w:tc>
        <w:tc>
          <w:tcPr>
            <w:tcW w:w="1172" w:type="dxa"/>
            <w:tcBorders>
              <w:top w:val="nil"/>
              <w:left w:val="nil"/>
              <w:bottom w:val="nil"/>
              <w:right w:val="nil"/>
            </w:tcBorders>
            <w:noWrap/>
            <w:vAlign w:val="bottom"/>
            <w:hideMark/>
          </w:tcPr>
          <w:p w:rsidRPr="00003202" w:rsidR="0005239A" w:rsidP="003119A7" w:rsidRDefault="0005239A" w14:paraId="3700E7E6" w14:textId="77777777">
            <w:pPr>
              <w:spacing w:before="80" w:line="240" w:lineRule="exact"/>
              <w:jc w:val="right"/>
              <w:rPr>
                <w:color w:val="000000" w:themeColor="text1"/>
                <w:sz w:val="20"/>
                <w:szCs w:val="20"/>
              </w:rPr>
            </w:pPr>
            <w:r w:rsidRPr="00003202">
              <w:rPr>
                <w:sz w:val="20"/>
                <w:szCs w:val="20"/>
              </w:rPr>
              <w:t>0,5</w:t>
            </w:r>
          </w:p>
        </w:tc>
      </w:tr>
      <w:tr w:rsidRPr="00003202" w:rsidR="0005239A" w:rsidTr="00003202" w14:paraId="35F009EF" w14:textId="77777777">
        <w:trPr>
          <w:trHeight w:val="296"/>
        </w:trPr>
        <w:tc>
          <w:tcPr>
            <w:tcW w:w="5670" w:type="dxa"/>
            <w:tcBorders>
              <w:top w:val="nil"/>
              <w:left w:val="nil"/>
              <w:bottom w:val="nil"/>
              <w:right w:val="nil"/>
            </w:tcBorders>
            <w:noWrap/>
            <w:hideMark/>
          </w:tcPr>
          <w:p w:rsidRPr="00003202" w:rsidR="0005239A" w:rsidP="003119A7" w:rsidRDefault="0005239A" w14:paraId="794C1CDC" w14:textId="77777777">
            <w:pPr>
              <w:spacing w:before="80" w:line="240" w:lineRule="exact"/>
              <w:ind w:firstLine="0"/>
              <w:rPr>
                <w:color w:val="000000" w:themeColor="text1"/>
                <w:sz w:val="20"/>
                <w:szCs w:val="20"/>
              </w:rPr>
            </w:pPr>
            <w:r w:rsidRPr="00003202">
              <w:rPr>
                <w:sz w:val="20"/>
                <w:szCs w:val="20"/>
              </w:rPr>
              <w:t>Additionellt klimatbistånd</w:t>
            </w:r>
          </w:p>
        </w:tc>
        <w:tc>
          <w:tcPr>
            <w:tcW w:w="1192" w:type="dxa"/>
            <w:tcBorders>
              <w:top w:val="nil"/>
              <w:left w:val="nil"/>
              <w:bottom w:val="nil"/>
              <w:right w:val="nil"/>
            </w:tcBorders>
            <w:noWrap/>
            <w:vAlign w:val="bottom"/>
            <w:hideMark/>
          </w:tcPr>
          <w:p w:rsidRPr="00003202" w:rsidR="0005239A" w:rsidP="003119A7" w:rsidRDefault="0005239A" w14:paraId="77FC2D43" w14:textId="77777777">
            <w:pPr>
              <w:spacing w:before="80" w:line="240" w:lineRule="exact"/>
              <w:jc w:val="right"/>
              <w:rPr>
                <w:color w:val="000000" w:themeColor="text1"/>
                <w:sz w:val="20"/>
                <w:szCs w:val="20"/>
              </w:rPr>
            </w:pPr>
            <w:r w:rsidRPr="00003202">
              <w:rPr>
                <w:sz w:val="20"/>
                <w:szCs w:val="20"/>
              </w:rPr>
              <w:t>0,5</w:t>
            </w:r>
          </w:p>
        </w:tc>
        <w:tc>
          <w:tcPr>
            <w:tcW w:w="1205" w:type="dxa"/>
            <w:tcBorders>
              <w:top w:val="nil"/>
              <w:left w:val="nil"/>
              <w:bottom w:val="nil"/>
              <w:right w:val="nil"/>
            </w:tcBorders>
            <w:noWrap/>
            <w:vAlign w:val="bottom"/>
            <w:hideMark/>
          </w:tcPr>
          <w:p w:rsidRPr="00003202" w:rsidR="0005239A" w:rsidP="003119A7" w:rsidRDefault="00963F6E" w14:paraId="20616199" w14:textId="56918E37">
            <w:pPr>
              <w:spacing w:before="80" w:line="240" w:lineRule="exact"/>
              <w:jc w:val="right"/>
              <w:rPr>
                <w:color w:val="000000" w:themeColor="text1"/>
                <w:sz w:val="20"/>
                <w:szCs w:val="20"/>
              </w:rPr>
            </w:pPr>
            <w:r w:rsidRPr="00003202">
              <w:rPr>
                <w:sz w:val="20"/>
                <w:szCs w:val="20"/>
              </w:rPr>
              <w:t>0,75</w:t>
            </w:r>
          </w:p>
        </w:tc>
        <w:tc>
          <w:tcPr>
            <w:tcW w:w="1172" w:type="dxa"/>
            <w:tcBorders>
              <w:top w:val="nil"/>
              <w:left w:val="nil"/>
              <w:bottom w:val="nil"/>
              <w:right w:val="nil"/>
            </w:tcBorders>
            <w:noWrap/>
            <w:vAlign w:val="bottom"/>
            <w:hideMark/>
          </w:tcPr>
          <w:p w:rsidRPr="00003202" w:rsidR="0005239A" w:rsidP="003119A7" w:rsidRDefault="0005239A" w14:paraId="52E9E09B" w14:textId="77777777">
            <w:pPr>
              <w:spacing w:before="80" w:line="240" w:lineRule="exact"/>
              <w:jc w:val="right"/>
              <w:rPr>
                <w:color w:val="000000" w:themeColor="text1"/>
                <w:sz w:val="20"/>
                <w:szCs w:val="20"/>
              </w:rPr>
            </w:pPr>
            <w:r w:rsidRPr="00003202">
              <w:rPr>
                <w:sz w:val="20"/>
                <w:szCs w:val="20"/>
              </w:rPr>
              <w:t>1,0</w:t>
            </w:r>
          </w:p>
        </w:tc>
      </w:tr>
      <w:tr w:rsidRPr="00003202" w:rsidR="0005239A" w:rsidTr="00003202" w14:paraId="5DB645C8" w14:textId="77777777">
        <w:trPr>
          <w:trHeight w:val="296"/>
        </w:trPr>
        <w:tc>
          <w:tcPr>
            <w:tcW w:w="5670" w:type="dxa"/>
            <w:tcBorders>
              <w:top w:val="nil"/>
              <w:left w:val="nil"/>
              <w:bottom w:val="nil"/>
              <w:right w:val="nil"/>
            </w:tcBorders>
            <w:noWrap/>
            <w:hideMark/>
          </w:tcPr>
          <w:p w:rsidRPr="00003202" w:rsidR="0005239A" w:rsidP="003119A7" w:rsidRDefault="0005239A" w14:paraId="54B9F0DC" w14:textId="77777777">
            <w:pPr>
              <w:spacing w:before="80" w:line="240" w:lineRule="exact"/>
              <w:ind w:firstLine="0"/>
              <w:rPr>
                <w:color w:val="000000" w:themeColor="text1"/>
                <w:sz w:val="20"/>
                <w:szCs w:val="20"/>
              </w:rPr>
            </w:pPr>
            <w:r w:rsidRPr="00003202">
              <w:rPr>
                <w:sz w:val="20"/>
                <w:szCs w:val="20"/>
              </w:rPr>
              <w:t>Stöd till forskning</w:t>
            </w:r>
          </w:p>
        </w:tc>
        <w:tc>
          <w:tcPr>
            <w:tcW w:w="1192" w:type="dxa"/>
            <w:tcBorders>
              <w:top w:val="nil"/>
              <w:left w:val="nil"/>
              <w:bottom w:val="nil"/>
              <w:right w:val="nil"/>
            </w:tcBorders>
            <w:noWrap/>
            <w:vAlign w:val="bottom"/>
            <w:hideMark/>
          </w:tcPr>
          <w:p w:rsidRPr="00003202" w:rsidR="0005239A" w:rsidP="003119A7" w:rsidRDefault="0005239A" w14:paraId="7C5A1C5B" w14:textId="77777777">
            <w:pPr>
              <w:spacing w:before="80" w:line="240" w:lineRule="exact"/>
              <w:jc w:val="right"/>
              <w:rPr>
                <w:color w:val="000000" w:themeColor="text1"/>
                <w:sz w:val="20"/>
                <w:szCs w:val="20"/>
              </w:rPr>
            </w:pPr>
            <w:r w:rsidRPr="00003202">
              <w:rPr>
                <w:sz w:val="20"/>
                <w:szCs w:val="20"/>
              </w:rPr>
              <w:t>1,0</w:t>
            </w:r>
          </w:p>
        </w:tc>
        <w:tc>
          <w:tcPr>
            <w:tcW w:w="1205" w:type="dxa"/>
            <w:tcBorders>
              <w:top w:val="nil"/>
              <w:left w:val="nil"/>
              <w:bottom w:val="nil"/>
              <w:right w:val="nil"/>
            </w:tcBorders>
            <w:noWrap/>
            <w:vAlign w:val="bottom"/>
            <w:hideMark/>
          </w:tcPr>
          <w:p w:rsidRPr="00003202" w:rsidR="0005239A" w:rsidP="003119A7" w:rsidRDefault="0005239A" w14:paraId="27FED99A" w14:textId="77777777">
            <w:pPr>
              <w:spacing w:before="80" w:line="240" w:lineRule="exact"/>
              <w:jc w:val="right"/>
              <w:rPr>
                <w:color w:val="000000" w:themeColor="text1"/>
                <w:sz w:val="20"/>
                <w:szCs w:val="20"/>
              </w:rPr>
            </w:pPr>
            <w:r w:rsidRPr="00003202">
              <w:rPr>
                <w:sz w:val="20"/>
                <w:szCs w:val="20"/>
              </w:rPr>
              <w:t>1,0</w:t>
            </w:r>
          </w:p>
        </w:tc>
        <w:tc>
          <w:tcPr>
            <w:tcW w:w="1172" w:type="dxa"/>
            <w:tcBorders>
              <w:top w:val="nil"/>
              <w:left w:val="nil"/>
              <w:bottom w:val="nil"/>
              <w:right w:val="nil"/>
            </w:tcBorders>
            <w:noWrap/>
            <w:vAlign w:val="bottom"/>
            <w:hideMark/>
          </w:tcPr>
          <w:p w:rsidRPr="00003202" w:rsidR="0005239A" w:rsidP="003119A7" w:rsidRDefault="0005239A" w14:paraId="76EEBD3D" w14:textId="77777777">
            <w:pPr>
              <w:spacing w:before="80" w:line="240" w:lineRule="exact"/>
              <w:jc w:val="right"/>
              <w:rPr>
                <w:color w:val="000000" w:themeColor="text1"/>
                <w:sz w:val="20"/>
                <w:szCs w:val="20"/>
              </w:rPr>
            </w:pPr>
            <w:r w:rsidRPr="00003202">
              <w:rPr>
                <w:sz w:val="20"/>
                <w:szCs w:val="20"/>
              </w:rPr>
              <w:t>1,0</w:t>
            </w:r>
          </w:p>
        </w:tc>
      </w:tr>
      <w:tr w:rsidRPr="00003202" w:rsidR="00F00078" w:rsidTr="00003202" w14:paraId="286627B7" w14:textId="77777777">
        <w:trPr>
          <w:trHeight w:val="296"/>
        </w:trPr>
        <w:tc>
          <w:tcPr>
            <w:tcW w:w="5670" w:type="dxa"/>
            <w:tcBorders>
              <w:top w:val="nil"/>
              <w:left w:val="nil"/>
              <w:right w:val="nil"/>
            </w:tcBorders>
            <w:noWrap/>
            <w:vAlign w:val="center"/>
          </w:tcPr>
          <w:p w:rsidRPr="00003202" w:rsidR="00F00078" w:rsidP="003119A7" w:rsidRDefault="00F00078" w14:paraId="1988DC32" w14:textId="70853491">
            <w:pPr>
              <w:spacing w:before="80" w:line="240" w:lineRule="exact"/>
              <w:ind w:firstLine="0"/>
              <w:rPr>
                <w:sz w:val="20"/>
                <w:szCs w:val="20"/>
              </w:rPr>
            </w:pPr>
            <w:r w:rsidRPr="00003202">
              <w:rPr>
                <w:color w:val="000000" w:themeColor="text1"/>
                <w:sz w:val="20"/>
                <w:szCs w:val="20"/>
              </w:rPr>
              <w:t>Skydd av värdefull natur</w:t>
            </w:r>
          </w:p>
        </w:tc>
        <w:tc>
          <w:tcPr>
            <w:tcW w:w="1192" w:type="dxa"/>
            <w:tcBorders>
              <w:top w:val="nil"/>
              <w:left w:val="nil"/>
              <w:right w:val="nil"/>
            </w:tcBorders>
            <w:noWrap/>
            <w:vAlign w:val="bottom"/>
          </w:tcPr>
          <w:p w:rsidRPr="00003202" w:rsidR="00F00078" w:rsidP="003119A7" w:rsidRDefault="00F00078" w14:paraId="32742090" w14:textId="413EA47F">
            <w:pPr>
              <w:spacing w:before="80" w:line="240" w:lineRule="exact"/>
              <w:jc w:val="right"/>
              <w:rPr>
                <w:sz w:val="20"/>
                <w:szCs w:val="20"/>
              </w:rPr>
            </w:pPr>
            <w:r w:rsidRPr="00003202">
              <w:rPr>
                <w:sz w:val="20"/>
                <w:szCs w:val="20"/>
              </w:rPr>
              <w:t>5,32</w:t>
            </w:r>
          </w:p>
        </w:tc>
        <w:tc>
          <w:tcPr>
            <w:tcW w:w="1205" w:type="dxa"/>
            <w:tcBorders>
              <w:top w:val="nil"/>
              <w:left w:val="nil"/>
              <w:right w:val="nil"/>
            </w:tcBorders>
            <w:noWrap/>
            <w:vAlign w:val="bottom"/>
          </w:tcPr>
          <w:p w:rsidRPr="00003202" w:rsidR="00F00078" w:rsidP="003119A7" w:rsidRDefault="00F00078" w14:paraId="2C120935" w14:textId="1B3985DD">
            <w:pPr>
              <w:spacing w:before="80" w:line="240" w:lineRule="exact"/>
              <w:jc w:val="right"/>
              <w:rPr>
                <w:sz w:val="20"/>
                <w:szCs w:val="20"/>
              </w:rPr>
            </w:pPr>
            <w:r w:rsidRPr="00003202">
              <w:rPr>
                <w:sz w:val="20"/>
                <w:szCs w:val="20"/>
              </w:rPr>
              <w:t>5,44</w:t>
            </w:r>
          </w:p>
        </w:tc>
        <w:tc>
          <w:tcPr>
            <w:tcW w:w="1172" w:type="dxa"/>
            <w:tcBorders>
              <w:top w:val="nil"/>
              <w:left w:val="nil"/>
              <w:right w:val="nil"/>
            </w:tcBorders>
            <w:noWrap/>
            <w:vAlign w:val="bottom"/>
          </w:tcPr>
          <w:p w:rsidRPr="00003202" w:rsidR="00F00078" w:rsidP="003119A7" w:rsidRDefault="00F00078" w14:paraId="4AF80860" w14:textId="08D12E14">
            <w:pPr>
              <w:spacing w:before="80" w:line="240" w:lineRule="exact"/>
              <w:jc w:val="right"/>
              <w:rPr>
                <w:sz w:val="20"/>
                <w:szCs w:val="20"/>
              </w:rPr>
            </w:pPr>
            <w:r w:rsidRPr="00003202">
              <w:rPr>
                <w:sz w:val="20"/>
                <w:szCs w:val="20"/>
              </w:rPr>
              <w:t>6,58</w:t>
            </w:r>
          </w:p>
        </w:tc>
      </w:tr>
      <w:tr w:rsidRPr="00003202" w:rsidR="004D1C66" w:rsidTr="00003202" w14:paraId="211437C6" w14:textId="77777777">
        <w:trPr>
          <w:trHeight w:val="296"/>
        </w:trPr>
        <w:tc>
          <w:tcPr>
            <w:tcW w:w="5670" w:type="dxa"/>
            <w:tcBorders>
              <w:top w:val="nil"/>
              <w:left w:val="nil"/>
              <w:right w:val="nil"/>
            </w:tcBorders>
            <w:noWrap/>
          </w:tcPr>
          <w:p w:rsidRPr="00003202" w:rsidR="004D1C66" w:rsidP="003119A7" w:rsidRDefault="004D1C66" w14:paraId="6152EBB2" w14:textId="3610A2DC">
            <w:pPr>
              <w:spacing w:before="80" w:line="240" w:lineRule="exact"/>
              <w:ind w:firstLine="0"/>
              <w:rPr>
                <w:sz w:val="20"/>
                <w:szCs w:val="20"/>
              </w:rPr>
            </w:pPr>
            <w:r w:rsidRPr="00003202">
              <w:rPr>
                <w:sz w:val="20"/>
                <w:szCs w:val="20"/>
              </w:rPr>
              <w:t>Klimatinvesteringsmyndighet</w:t>
            </w:r>
          </w:p>
        </w:tc>
        <w:tc>
          <w:tcPr>
            <w:tcW w:w="1192" w:type="dxa"/>
            <w:tcBorders>
              <w:top w:val="nil"/>
              <w:left w:val="nil"/>
              <w:right w:val="nil"/>
            </w:tcBorders>
            <w:noWrap/>
            <w:vAlign w:val="bottom"/>
          </w:tcPr>
          <w:p w:rsidRPr="00003202" w:rsidR="004D1C66" w:rsidP="003119A7" w:rsidRDefault="004D1C66" w14:paraId="4528FCCE" w14:textId="2EE848CB">
            <w:pPr>
              <w:spacing w:before="80" w:line="240" w:lineRule="exact"/>
              <w:jc w:val="right"/>
              <w:rPr>
                <w:sz w:val="20"/>
                <w:szCs w:val="20"/>
              </w:rPr>
            </w:pPr>
            <w:r w:rsidRPr="00003202">
              <w:rPr>
                <w:sz w:val="20"/>
                <w:szCs w:val="20"/>
              </w:rPr>
              <w:t>0,7</w:t>
            </w:r>
          </w:p>
        </w:tc>
        <w:tc>
          <w:tcPr>
            <w:tcW w:w="1205" w:type="dxa"/>
            <w:tcBorders>
              <w:top w:val="nil"/>
              <w:left w:val="nil"/>
              <w:right w:val="nil"/>
            </w:tcBorders>
            <w:noWrap/>
            <w:vAlign w:val="bottom"/>
          </w:tcPr>
          <w:p w:rsidRPr="00003202" w:rsidR="004D1C66" w:rsidP="003119A7" w:rsidRDefault="004D1C66" w14:paraId="50774F50" w14:textId="048FCB84">
            <w:pPr>
              <w:spacing w:before="80" w:line="240" w:lineRule="exact"/>
              <w:jc w:val="right"/>
              <w:rPr>
                <w:sz w:val="20"/>
                <w:szCs w:val="20"/>
              </w:rPr>
            </w:pPr>
            <w:r w:rsidRPr="00003202">
              <w:rPr>
                <w:sz w:val="20"/>
                <w:szCs w:val="20"/>
              </w:rPr>
              <w:t>0,75</w:t>
            </w:r>
          </w:p>
        </w:tc>
        <w:tc>
          <w:tcPr>
            <w:tcW w:w="1172" w:type="dxa"/>
            <w:tcBorders>
              <w:top w:val="nil"/>
              <w:left w:val="nil"/>
              <w:right w:val="nil"/>
            </w:tcBorders>
            <w:noWrap/>
            <w:vAlign w:val="bottom"/>
          </w:tcPr>
          <w:p w:rsidRPr="00003202" w:rsidR="004D1C66" w:rsidP="003119A7" w:rsidRDefault="004D1C66" w14:paraId="0C2AA029" w14:textId="20A9509B">
            <w:pPr>
              <w:spacing w:before="80" w:line="240" w:lineRule="exact"/>
              <w:jc w:val="right"/>
              <w:rPr>
                <w:sz w:val="20"/>
                <w:szCs w:val="20"/>
              </w:rPr>
            </w:pPr>
            <w:r w:rsidRPr="00003202">
              <w:rPr>
                <w:sz w:val="20"/>
                <w:szCs w:val="20"/>
              </w:rPr>
              <w:t>0,8</w:t>
            </w:r>
          </w:p>
        </w:tc>
      </w:tr>
      <w:tr w:rsidRPr="00003202" w:rsidR="0005239A" w:rsidTr="00003202" w14:paraId="615F252E" w14:textId="77777777">
        <w:trPr>
          <w:trHeight w:val="296"/>
        </w:trPr>
        <w:tc>
          <w:tcPr>
            <w:tcW w:w="5670" w:type="dxa"/>
            <w:tcBorders>
              <w:top w:val="nil"/>
              <w:left w:val="nil"/>
              <w:bottom w:val="single" w:color="auto" w:sz="4" w:space="0"/>
              <w:right w:val="nil"/>
            </w:tcBorders>
            <w:shd w:val="clear" w:color="auto" w:fill="FFFFFF" w:themeFill="background1"/>
            <w:noWrap/>
            <w:vAlign w:val="bottom"/>
          </w:tcPr>
          <w:p w:rsidRPr="00003202" w:rsidR="0005239A" w:rsidP="003119A7" w:rsidRDefault="008F5566" w14:paraId="69A4BA4B" w14:textId="3C927383">
            <w:pPr>
              <w:spacing w:before="80" w:line="240" w:lineRule="exact"/>
              <w:ind w:firstLine="0"/>
              <w:rPr>
                <w:b/>
                <w:color w:val="000000" w:themeColor="text1"/>
                <w:sz w:val="20"/>
                <w:szCs w:val="20"/>
              </w:rPr>
            </w:pPr>
            <w:r w:rsidRPr="00003202">
              <w:rPr>
                <w:b/>
                <w:color w:val="000000" w:themeColor="text1"/>
                <w:sz w:val="20"/>
                <w:szCs w:val="20"/>
              </w:rPr>
              <w:t>Totalt</w:t>
            </w:r>
            <w:r w:rsidRPr="00003202" w:rsidR="00B00AED">
              <w:rPr>
                <w:b/>
                <w:color w:val="000000" w:themeColor="text1"/>
                <w:sz w:val="20"/>
                <w:szCs w:val="20"/>
              </w:rPr>
              <w:t xml:space="preserve"> samtliga satsningar</w:t>
            </w:r>
          </w:p>
        </w:tc>
        <w:tc>
          <w:tcPr>
            <w:tcW w:w="1192" w:type="dxa"/>
            <w:tcBorders>
              <w:top w:val="nil"/>
              <w:left w:val="nil"/>
              <w:bottom w:val="single" w:color="auto" w:sz="4" w:space="0"/>
              <w:right w:val="nil"/>
            </w:tcBorders>
            <w:shd w:val="clear" w:color="auto" w:fill="FFFFFF" w:themeFill="background1"/>
            <w:noWrap/>
            <w:vAlign w:val="bottom"/>
          </w:tcPr>
          <w:p w:rsidRPr="00003202" w:rsidR="0005239A" w:rsidP="003119A7" w:rsidRDefault="00FA39DF" w14:paraId="6F8BCB1A" w14:textId="20D3485E">
            <w:pPr>
              <w:spacing w:before="80" w:line="240" w:lineRule="exact"/>
              <w:jc w:val="right"/>
              <w:rPr>
                <w:b/>
                <w:color w:val="000000" w:themeColor="text1"/>
                <w:sz w:val="20"/>
                <w:szCs w:val="20"/>
              </w:rPr>
            </w:pPr>
            <w:r w:rsidRPr="00003202">
              <w:rPr>
                <w:b/>
                <w:color w:val="000000" w:themeColor="text1"/>
                <w:sz w:val="20"/>
                <w:szCs w:val="20"/>
              </w:rPr>
              <w:t>26,84</w:t>
            </w:r>
          </w:p>
        </w:tc>
        <w:tc>
          <w:tcPr>
            <w:tcW w:w="1205" w:type="dxa"/>
            <w:tcBorders>
              <w:top w:val="nil"/>
              <w:left w:val="nil"/>
              <w:bottom w:val="single" w:color="auto" w:sz="4" w:space="0"/>
              <w:right w:val="nil"/>
            </w:tcBorders>
            <w:shd w:val="clear" w:color="auto" w:fill="FFFFFF" w:themeFill="background1"/>
            <w:noWrap/>
            <w:vAlign w:val="bottom"/>
          </w:tcPr>
          <w:p w:rsidRPr="00003202" w:rsidR="0005239A" w:rsidP="003119A7" w:rsidRDefault="00FA39DF" w14:paraId="60FB87F3" w14:textId="49698FED">
            <w:pPr>
              <w:spacing w:before="80" w:line="240" w:lineRule="exact"/>
              <w:jc w:val="right"/>
              <w:rPr>
                <w:b/>
                <w:color w:val="000000" w:themeColor="text1"/>
                <w:sz w:val="20"/>
                <w:szCs w:val="20"/>
              </w:rPr>
            </w:pPr>
            <w:r w:rsidRPr="00003202">
              <w:rPr>
                <w:b/>
                <w:color w:val="000000" w:themeColor="text1"/>
                <w:sz w:val="20"/>
                <w:szCs w:val="20"/>
              </w:rPr>
              <w:t>67,65</w:t>
            </w:r>
          </w:p>
        </w:tc>
        <w:tc>
          <w:tcPr>
            <w:tcW w:w="1172" w:type="dxa"/>
            <w:tcBorders>
              <w:top w:val="nil"/>
              <w:left w:val="nil"/>
              <w:bottom w:val="single" w:color="auto" w:sz="4" w:space="0"/>
              <w:right w:val="nil"/>
            </w:tcBorders>
            <w:shd w:val="clear" w:color="auto" w:fill="FFFFFF" w:themeFill="background1"/>
            <w:noWrap/>
            <w:vAlign w:val="bottom"/>
          </w:tcPr>
          <w:p w:rsidRPr="00003202" w:rsidR="0005239A" w:rsidP="003119A7" w:rsidRDefault="00FA39DF" w14:paraId="2C9B5783" w14:textId="0F088359">
            <w:pPr>
              <w:spacing w:before="80" w:line="240" w:lineRule="exact"/>
              <w:jc w:val="right"/>
              <w:rPr>
                <w:b/>
                <w:color w:val="000000" w:themeColor="text1"/>
                <w:sz w:val="20"/>
                <w:szCs w:val="20"/>
              </w:rPr>
            </w:pPr>
            <w:r w:rsidRPr="00003202">
              <w:rPr>
                <w:b/>
                <w:color w:val="000000" w:themeColor="text1"/>
                <w:sz w:val="20"/>
                <w:szCs w:val="20"/>
              </w:rPr>
              <w:t>67,93</w:t>
            </w:r>
          </w:p>
        </w:tc>
      </w:tr>
    </w:tbl>
    <w:p w:rsidRPr="00B21131" w:rsidR="00BE319A" w:rsidP="00B21131" w:rsidRDefault="00BE319A" w14:paraId="59E34C0F" w14:textId="5EA34163">
      <w:pPr>
        <w:pStyle w:val="Klla"/>
      </w:pPr>
      <w:r w:rsidRPr="00B21131">
        <w:t xml:space="preserve">* Höghastighetsbanorna redovisas inte som </w:t>
      </w:r>
      <w:r w:rsidRPr="00B21131" w:rsidR="000B20D9">
        <w:t xml:space="preserve">en </w:t>
      </w:r>
      <w:r w:rsidRPr="00B21131">
        <w:t>del av tabellverket i statsbudgeten.</w:t>
      </w:r>
    </w:p>
    <w:p w:rsidRPr="00FC2616" w:rsidR="00422B9E" w:rsidP="00411F52" w:rsidRDefault="00BF6F79" w14:paraId="4452207A" w14:textId="2A13EFCD">
      <w:pPr>
        <w:pStyle w:val="Rubrik1numrerat"/>
      </w:pPr>
      <w:bookmarkStart w:name="_Toc149814591" w:id="216"/>
      <w:r w:rsidRPr="00FC2616">
        <w:t>Vänsterpartiets skattepolitik</w:t>
      </w:r>
      <w:bookmarkEnd w:id="216"/>
    </w:p>
    <w:p w:rsidRPr="00FC2616" w:rsidR="00034224" w:rsidP="003522C8" w:rsidRDefault="00034224" w14:paraId="725C8E81" w14:textId="77777777">
      <w:pPr>
        <w:pStyle w:val="Rubrik2numrerat"/>
        <w:spacing w:before="440"/>
        <w:ind w:left="794" w:hanging="794"/>
      </w:pPr>
      <w:bookmarkStart w:name="_Hlk107497578" w:id="217"/>
      <w:bookmarkStart w:name="_Toc149814592" w:id="218"/>
      <w:r w:rsidRPr="00FC2616">
        <w:t>Skatt på kapital och egendom</w:t>
      </w:r>
      <w:bookmarkEnd w:id="218"/>
    </w:p>
    <w:p w:rsidRPr="00FC2616" w:rsidR="00034224" w:rsidP="00411F52" w:rsidRDefault="00034224" w14:paraId="7D3AC75E" w14:textId="0542DD88">
      <w:pPr>
        <w:pStyle w:val="Normalutanindragellerluft"/>
      </w:pPr>
      <w:r w:rsidRPr="00FC2616">
        <w:t xml:space="preserve">Sverige </w:t>
      </w:r>
      <w:r w:rsidR="003C54BA">
        <w:t>ä</w:t>
      </w:r>
      <w:r w:rsidRPr="00FC2616">
        <w:t>r ett av få OECD-länder som varken har en förmögenhetsskatt, arvs- och gåvoskatt eller fastighetsskatt som är kopplad till bostadens (fulla) värde. Konjunktur</w:t>
      </w:r>
      <w:r w:rsidR="00122B30">
        <w:softHyphen/>
      </w:r>
      <w:r w:rsidRPr="00FC2616">
        <w:t>institutet har på SNS:s uppdrag studerat de svenska skatterna i en internationell jämförelse. Egendomsskatter utgörs, enligt OECD:s klassificering, av fastighetsskatter (och avgifter), förmögenhetsskatt, arvs- och gåvoskatt samt skatt på transaktioner av ägande (främst stämpelskatt). De svenska egendomsskatterna ligger klart under genom</w:t>
      </w:r>
      <w:r w:rsidR="00122B30">
        <w:softHyphen/>
      </w:r>
      <w:r w:rsidRPr="00FC2616">
        <w:t>snittet jämfört med såväl OECD som EU15. Sverige egendomsskatter motsvarar 1</w:t>
      </w:r>
      <w:r w:rsidR="00AE7654">
        <w:t> </w:t>
      </w:r>
      <w:r w:rsidRPr="00FC2616">
        <w:t>procent av BNP, medan inkomsterna från egendomsbeskattningen inom OECD och EU15 motsvarar cirka</w:t>
      </w:r>
      <w:r w:rsidR="00FC7178">
        <w:t> </w:t>
      </w:r>
      <w:r w:rsidRPr="00FC2616">
        <w:t>2 respektive 2,25</w:t>
      </w:r>
      <w:r w:rsidR="00FC7178">
        <w:t> </w:t>
      </w:r>
      <w:r w:rsidRPr="00FC2616">
        <w:t>procent av BNP.</w:t>
      </w:r>
      <w:r w:rsidRPr="00FC2616" w:rsidR="00411F52">
        <w:rPr>
          <w:rStyle w:val="Fotnotsreferens"/>
        </w:rPr>
        <w:footnoteReference w:id="98"/>
      </w:r>
      <w:r w:rsidRPr="00FC2616">
        <w:t xml:space="preserve"> </w:t>
      </w:r>
    </w:p>
    <w:p w:rsidRPr="00FC2616" w:rsidR="00DB4DD9" w:rsidP="00C61752" w:rsidRDefault="00252E6A" w14:paraId="6671487E" w14:textId="71395D6E">
      <w:pPr>
        <w:rPr>
          <w:rFonts w:eastAsia="Times New Roman"/>
        </w:rPr>
      </w:pPr>
      <w:r w:rsidRPr="00FC2616">
        <w:rPr>
          <w:rFonts w:eastAsia="Times New Roman"/>
        </w:rPr>
        <w:t>K</w:t>
      </w:r>
      <w:r w:rsidRPr="00FC2616" w:rsidR="00034224">
        <w:rPr>
          <w:rFonts w:eastAsia="Times New Roman"/>
        </w:rPr>
        <w:t xml:space="preserve">apitalinkomsternas utveckling och fördelning </w:t>
      </w:r>
      <w:r w:rsidR="00EC5C6E">
        <w:rPr>
          <w:rFonts w:eastAsia="Times New Roman"/>
        </w:rPr>
        <w:t xml:space="preserve">är </w:t>
      </w:r>
      <w:r w:rsidRPr="00FC2616" w:rsidR="00034224">
        <w:rPr>
          <w:rFonts w:eastAsia="Times New Roman"/>
        </w:rPr>
        <w:t>en central faktor bakom den växande ojämlikheten. Inkomsterna från kapital har ökat markant sedan mitten av 1990-talet och uppgick 2019 till drygt 360 miljarder kronor, och eftersom fördelningen av dessa är mycket ojämn har det lett till ökade klyftor. I figuren nedan visas kapital</w:t>
      </w:r>
      <w:r w:rsidR="00122B30">
        <w:rPr>
          <w:rFonts w:eastAsia="Times New Roman"/>
        </w:rPr>
        <w:softHyphen/>
      </w:r>
      <w:r w:rsidRPr="00FC2616" w:rsidR="00034224">
        <w:rPr>
          <w:rFonts w:eastAsia="Times New Roman"/>
        </w:rPr>
        <w:t>inkomsterna per percentil som andel av hushållens totala inkomster av kapital.</w:t>
      </w:r>
    </w:p>
    <w:p w:rsidRPr="003522C8" w:rsidR="00DB4DD9" w:rsidP="003522C8" w:rsidRDefault="00DB4DD9" w14:paraId="22F700C3" w14:textId="368C073E">
      <w:pPr>
        <w:pStyle w:val="Tabellrubrik"/>
      </w:pPr>
      <w:r w:rsidRPr="003522C8">
        <w:t xml:space="preserve">Figur </w:t>
      </w:r>
      <w:r w:rsidRPr="003522C8" w:rsidR="00FB3963">
        <w:t>11</w:t>
      </w:r>
      <w:r w:rsidRPr="003522C8">
        <w:t xml:space="preserve"> Inkomst av kapital per percentil, 2020</w:t>
      </w:r>
    </w:p>
    <w:p w:rsidRPr="003522C8" w:rsidR="00DB4DD9" w:rsidP="003522C8" w:rsidRDefault="00DB4DD9" w14:paraId="78E4FD65" w14:textId="21810907">
      <w:pPr>
        <w:pStyle w:val="Tabellunderrubrik"/>
      </w:pPr>
      <w:r w:rsidRPr="003522C8">
        <w:t xml:space="preserve">Andel av hushållens totala inkomster från kapital, </w:t>
      </w:r>
      <w:r w:rsidRPr="003522C8" w:rsidR="00A42170">
        <w:t xml:space="preserve">i </w:t>
      </w:r>
      <w:r w:rsidRPr="003522C8">
        <w:t>procent</w:t>
      </w:r>
    </w:p>
    <w:p w:rsidRPr="00FC2616" w:rsidR="00DB4DD9" w:rsidP="00DB4DD9" w:rsidRDefault="00DB4DD9" w14:paraId="03DA1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22"/>
          <w:lang w:eastAsia="sv-SE"/>
          <w14:numSpacing w14:val="default"/>
        </w:rPr>
      </w:pPr>
      <w:r w:rsidRPr="00FC2616">
        <w:rPr>
          <w:rFonts w:ascii="Times New Roman" w:hAnsi="Times New Roman" w:eastAsia="Times New Roman" w:cs="Times New Roman"/>
          <w:noProof/>
          <w:kern w:val="0"/>
          <w:sz w:val="22"/>
          <w:szCs w:val="36"/>
          <w:lang w:eastAsia="sv-SE"/>
          <w14:numSpacing w14:val="default"/>
        </w:rPr>
        <w:drawing>
          <wp:inline distT="0" distB="0" distL="0" distR="0" wp14:anchorId="0E054F28" wp14:editId="6CD6AF15">
            <wp:extent cx="5368636" cy="2334491"/>
            <wp:effectExtent l="0" t="0" r="3810" b="8890"/>
            <wp:docPr id="15" name="Diagram 15" descr="">
              <a:extLst xmlns:a="http://schemas.openxmlformats.org/drawingml/2006/main">
                <a:ext uri="{FF2B5EF4-FFF2-40B4-BE49-F238E27FC236}">
                  <a16:creationId xmlns:a16="http://schemas.microsoft.com/office/drawing/2014/main" id="{74397194-00F2-43CD-AB60-644B33324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3522C8" w:rsidR="00DB4DD9" w:rsidP="003522C8" w:rsidRDefault="00DB4DD9" w14:paraId="602F34B1" w14:textId="6E441DE4">
      <w:pPr>
        <w:pStyle w:val="Klla"/>
      </w:pPr>
      <w:r w:rsidRPr="003522C8">
        <w:t>Källa: SCB</w:t>
      </w:r>
      <w:r w:rsidRPr="003522C8" w:rsidR="00A42170">
        <w:t>.</w:t>
      </w:r>
    </w:p>
    <w:p w:rsidRPr="00FC2616" w:rsidR="00411F52" w:rsidP="003522C8" w:rsidRDefault="00034224" w14:paraId="55D73A1D" w14:textId="44F0FCF5">
      <w:pPr>
        <w:pStyle w:val="Normalutanindragellerluft"/>
        <w:spacing w:before="150"/>
        <w:rPr>
          <w:rFonts w:eastAsia="Times New Roman"/>
        </w:rPr>
      </w:pPr>
      <w:r w:rsidRPr="00FC2616">
        <w:rPr>
          <w:rFonts w:eastAsia="Times New Roman"/>
        </w:rPr>
        <w:lastRenderedPageBreak/>
        <w:t>Av de totala kapitalinkomsterna gick drygt 58</w:t>
      </w:r>
      <w:r w:rsidR="0086360B">
        <w:rPr>
          <w:rFonts w:eastAsia="Times New Roman"/>
        </w:rPr>
        <w:t> </w:t>
      </w:r>
      <w:r w:rsidRPr="00FC2616">
        <w:rPr>
          <w:rFonts w:eastAsia="Times New Roman"/>
        </w:rPr>
        <w:t>procent till den hundradel av befolk</w:t>
      </w:r>
      <w:r w:rsidR="00BB186D">
        <w:rPr>
          <w:rFonts w:eastAsia="Times New Roman"/>
        </w:rPr>
        <w:softHyphen/>
      </w:r>
      <w:r w:rsidRPr="00FC2616">
        <w:rPr>
          <w:rFonts w:eastAsia="Times New Roman"/>
        </w:rPr>
        <w:t xml:space="preserve">ningen som hade de högsta inkomsterna. </w:t>
      </w:r>
      <w:r w:rsidRPr="00FC2616">
        <w:t>I Konjunkturrådets (SNS) rapport för 2018 görs bedömningen att ungefär hälften av de ökade klyftorna sedan 1995 kan härledas till kapitalinkomsterna.</w:t>
      </w:r>
      <w:r w:rsidRPr="00FC2616">
        <w:rPr>
          <w:rStyle w:val="Fotnotsreferens"/>
          <w:rFonts w:ascii="Times New Roman" w:hAnsi="Times New Roman" w:cs="Times New Roman"/>
        </w:rPr>
        <w:footnoteReference w:id="99"/>
      </w:r>
      <w:r w:rsidRPr="00FC2616">
        <w:rPr>
          <w:rFonts w:eastAsia="Times New Roman"/>
        </w:rPr>
        <w:t xml:space="preserve"> Kapitalinkomsterna är också ojämnt fördelade mellan kvinnor och män, där kvinnors andel av de totala kapitalinkomsterna uppgår till cirka 30</w:t>
      </w:r>
      <w:r w:rsidR="007F5FD5">
        <w:rPr>
          <w:rFonts w:eastAsia="Times New Roman"/>
        </w:rPr>
        <w:t> </w:t>
      </w:r>
      <w:r w:rsidRPr="00FC2616">
        <w:rPr>
          <w:rFonts w:eastAsia="Times New Roman"/>
        </w:rPr>
        <w:t>procent.</w:t>
      </w:r>
      <w:r w:rsidRPr="00FC2616">
        <w:rPr>
          <w:rStyle w:val="Fotnotsreferens"/>
          <w:rFonts w:ascii="Times New Roman" w:hAnsi="Times New Roman" w:eastAsia="Times New Roman" w:cs="Times New Roman"/>
        </w:rPr>
        <w:footnoteReference w:id="100"/>
      </w:r>
    </w:p>
    <w:p w:rsidRPr="00FC2616" w:rsidR="00411F52" w:rsidP="00B50CBA" w:rsidRDefault="00411F52" w14:paraId="4DF14B4E" w14:textId="78CF0A89">
      <w:pPr>
        <w:pStyle w:val="Rubrik3numrerat"/>
      </w:pPr>
      <w:bookmarkStart w:name="_Toc149814593" w:id="219"/>
      <w:r w:rsidRPr="00FC2616">
        <w:rPr>
          <w:lang w:eastAsia="sv-SE"/>
        </w:rPr>
        <w:t>Enhetlig</w:t>
      </w:r>
      <w:r w:rsidRPr="00FC2616">
        <w:t xml:space="preserve"> kapitalbeskattning</w:t>
      </w:r>
      <w:bookmarkEnd w:id="219"/>
    </w:p>
    <w:p w:rsidRPr="00FC2616" w:rsidR="00411F52" w:rsidP="003522C8" w:rsidRDefault="00411F52" w14:paraId="488686C2" w14:textId="462F6E05">
      <w:pPr>
        <w:pStyle w:val="Normalutanindragellerluft"/>
      </w:pPr>
      <w:r w:rsidRPr="00FC2616">
        <w:t>En gång i tiden beskattades kapitalinkomster med 30</w:t>
      </w:r>
      <w:r w:rsidR="007F5FD5">
        <w:t> </w:t>
      </w:r>
      <w:r w:rsidRPr="00FC2616">
        <w:t>procent av avkastningen. Även fastigheter omfattades av denna skattenivå (via taxeringsvärden och fastighetsskatt). I</w:t>
      </w:r>
      <w:r w:rsidRPr="00FC2616" w:rsidR="00493EB7">
        <w:t xml:space="preserve"> </w:t>
      </w:r>
      <w:r w:rsidRPr="00FC2616">
        <w:t>dag har vi ett sammelsurium av regler för att gynna olika former av kapitalägande. Utdelning från fåmansbolag beskattas endast med 20</w:t>
      </w:r>
      <w:r w:rsidR="007F5FD5">
        <w:t> </w:t>
      </w:r>
      <w:r w:rsidRPr="00FC2616">
        <w:t>procent. Utdelning från onoterade aktier med 25</w:t>
      </w:r>
      <w:r w:rsidR="007F5FD5">
        <w:t> </w:t>
      </w:r>
      <w:r w:rsidRPr="00FC2616">
        <w:t>procent. Vänsterpartiet föreslår i denna budget ett första steg mot en mer enhetlig kapitalbeskattning.</w:t>
      </w:r>
    </w:p>
    <w:p w:rsidRPr="00FC2616" w:rsidR="00411F52" w:rsidP="00980E79" w:rsidRDefault="00411F52" w14:paraId="6D98963A" w14:textId="6C251FD6">
      <w:r w:rsidRPr="00FC2616">
        <w:t>Investeringssparkonto (ISK) är en sparform för privatpersoner som infördes i Sverige 2012. Skillnaden mellan konventionell beskattning av sparande och beskattning av sparande i ISK består i vad som ska tas upp och vad som får dras av. Konventionell beskattning innebär att utdelning och kapitalvinst tas upp till beskattning. Kapitalvinster får kvittas mot kapitalförluster. Beskattningen av ISK sker i form av s.k. schablon</w:t>
      </w:r>
      <w:r w:rsidR="00BB186D">
        <w:softHyphen/>
      </w:r>
      <w:r w:rsidRPr="00FC2616">
        <w:t>beskattning på kontots värde i</w:t>
      </w:r>
      <w:r w:rsidRPr="00FC2616" w:rsidR="00493EB7">
        <w:t xml:space="preserve"> </w:t>
      </w:r>
      <w:r w:rsidRPr="00FC2616">
        <w:t>stället för på den vinst man gör. Normalt sett är detta en mycket gynnsam beskattning. Skattesatsen på ISK bygger implicit på att värdet på innehaven i genomsnitt stiger med 1</w:t>
      </w:r>
      <w:r w:rsidR="00D917A8">
        <w:t> </w:t>
      </w:r>
      <w:r w:rsidRPr="00FC2616">
        <w:t xml:space="preserve">procentenhet utöver avkastningen på riskfria statsobligationer. Den historiska avkastningen på börsen ligger betydligt högre än så, vilket innebär att ISK </w:t>
      </w:r>
      <w:r w:rsidRPr="00FC2616" w:rsidR="008B2892">
        <w:t xml:space="preserve">över tid är </w:t>
      </w:r>
      <w:r w:rsidRPr="00FC2616">
        <w:t>en mycket attraktiv sparform. Under 2021, då börsen gick bra, bedömde regeringen att beskattningen av ISK resulterade i ett skattebortfall på hela 72</w:t>
      </w:r>
      <w:r w:rsidR="00CC05B9">
        <w:t> </w:t>
      </w:r>
      <w:r w:rsidRPr="00FC2616">
        <w:t>miljarder kronor jämfört med om tillgångarna på ISK hade beskattats med den vanliga kapitalinkomstskatten på 30</w:t>
      </w:r>
      <w:r w:rsidR="00CC05B9">
        <w:t> </w:t>
      </w:r>
      <w:r w:rsidRPr="00FC2616">
        <w:t>procent.</w:t>
      </w:r>
      <w:r w:rsidRPr="00FC2616">
        <w:rPr>
          <w:rStyle w:val="Fotnotsreferens"/>
        </w:rPr>
        <w:footnoteReference w:id="101"/>
      </w:r>
    </w:p>
    <w:p w:rsidRPr="00FC2616" w:rsidR="00411F52" w:rsidP="00980E79" w:rsidRDefault="00411F52" w14:paraId="4540BF67" w14:textId="0C966018">
      <w:r w:rsidRPr="00FC2616">
        <w:t>Vänsterpartiet föreslår att det införs ett tak för sparande på ISK. Sparande utöver taket ska beskattas med den vanliga skatten på kapitalinkomster, som i</w:t>
      </w:r>
      <w:r w:rsidRPr="00FC2616" w:rsidR="00493EB7">
        <w:t xml:space="preserve"> </w:t>
      </w:r>
      <w:r w:rsidRPr="00FC2616">
        <w:t>dag ligger på 30</w:t>
      </w:r>
      <w:r w:rsidR="00537BD2">
        <w:t> </w:t>
      </w:r>
      <w:r w:rsidRPr="00FC2616">
        <w:t>procent. Vänsterpartiet föreslår att taket sätts till 2</w:t>
      </w:r>
      <w:r w:rsidR="00537BD2">
        <w:t> </w:t>
      </w:r>
      <w:r w:rsidRPr="00FC2616">
        <w:t>miljoner kronor. Förslaget beräknas stärka de offentliga finanserna med cirka 6</w:t>
      </w:r>
      <w:r w:rsidR="00537BD2">
        <w:t> </w:t>
      </w:r>
      <w:r w:rsidRPr="00FC2616">
        <w:t>miljarder kronor per år.</w:t>
      </w:r>
      <w:r w:rsidRPr="00FC2616">
        <w:rPr>
          <w:rStyle w:val="Fotnotsreferens"/>
        </w:rPr>
        <w:footnoteReference w:id="102"/>
      </w:r>
      <w:r w:rsidRPr="00FC2616">
        <w:t xml:space="preserve"> </w:t>
      </w:r>
    </w:p>
    <w:p w:rsidRPr="00FC2616" w:rsidR="00411F52" w:rsidP="0027719D" w:rsidRDefault="00411F52" w14:paraId="579E7408" w14:textId="30FD0173">
      <w:r w:rsidRPr="00FC2616">
        <w:t>I sammanhanget bör det noteras att tillgångarna inom ISK är mycket ojämnt fördelade. Det är drygt 3,8</w:t>
      </w:r>
      <w:r w:rsidR="007F5FD5">
        <w:t> </w:t>
      </w:r>
      <w:r w:rsidRPr="00FC2616">
        <w:t>miljoner individer som har investerat kapital i ISK. Cirka 44</w:t>
      </w:r>
      <w:r w:rsidR="007F5FD5">
        <w:t> </w:t>
      </w:r>
      <w:r w:rsidRPr="00FC2616">
        <w:t>procent av dessa har ett sparande som understiger 50</w:t>
      </w:r>
      <w:r w:rsidRPr="00FC2616" w:rsidR="00E21225">
        <w:t> </w:t>
      </w:r>
      <w:r w:rsidRPr="00FC2616">
        <w:t>000 kronor. Andelen sparare som har tillgångar som överstiger 2</w:t>
      </w:r>
      <w:r w:rsidR="007F5FD5">
        <w:t> </w:t>
      </w:r>
      <w:r w:rsidRPr="00FC2616">
        <w:t>miljoner kronor uppgår till 3,7</w:t>
      </w:r>
      <w:r w:rsidR="007F5FD5">
        <w:t> </w:t>
      </w:r>
      <w:r w:rsidRPr="00FC2616">
        <w:t>procent. Samtidigt står dessa 3,7</w:t>
      </w:r>
      <w:r w:rsidR="007F5FD5">
        <w:t> </w:t>
      </w:r>
      <w:r w:rsidRPr="00FC2616">
        <w:t>procent för 54</w:t>
      </w:r>
      <w:r w:rsidR="007F5FD5">
        <w:t> </w:t>
      </w:r>
      <w:r w:rsidRPr="00FC2616">
        <w:t>procent av de samlade tillgångar som placerats inom ISK.</w:t>
      </w:r>
      <w:r w:rsidRPr="00FC2616">
        <w:rPr>
          <w:rStyle w:val="Fotnotsreferens"/>
        </w:rPr>
        <w:footnoteReference w:id="103"/>
      </w:r>
    </w:p>
    <w:p w:rsidRPr="00FC2616" w:rsidR="0027719D" w:rsidP="00980E79" w:rsidRDefault="00411F52" w14:paraId="06DB4296" w14:textId="152E2554">
      <w:r w:rsidRPr="00FC2616">
        <w:t>De s</w:t>
      </w:r>
      <w:r w:rsidRPr="00FC2616" w:rsidR="00980E79">
        <w:t>.k.</w:t>
      </w:r>
      <w:r w:rsidRPr="00FC2616">
        <w:t xml:space="preserve"> 3:12-reglerna ger arbetande ägare i fåmansbolag betydligt lägre skatt på sina inkomster än vanliga löntagare. Det beror på att skatten på utdelning från dessa bolag endast är 20</w:t>
      </w:r>
      <w:r w:rsidR="00A41CE5">
        <w:t> </w:t>
      </w:r>
      <w:r w:rsidRPr="00FC2616">
        <w:t>procent. Området regleras av en lagstiftning för att förhindra att ägare av fåmansägda företag fritt ska kunna välja om de ska ta ut vinst som lågbeskattade kapitalinkomster eller högre beskattad lön – i form av ett gränsbelopp för hur mycket delägare till fåmansbolag maximalt får ta ut i utdelning.</w:t>
      </w:r>
    </w:p>
    <w:p w:rsidRPr="00FC2616" w:rsidR="0027719D" w:rsidP="00980E79" w:rsidRDefault="0027719D" w14:paraId="6D104712" w14:textId="0EF97CAD">
      <w:r w:rsidRPr="00FC2616">
        <w:lastRenderedPageBreak/>
        <w:t>Dessa regelverk blev dock väsentligt generösare efter en reform 2006, där skatten på utdelning sänktes från 30</w:t>
      </w:r>
      <w:r w:rsidR="007F5FD5">
        <w:t> </w:t>
      </w:r>
      <w:r w:rsidRPr="00FC2616">
        <w:t>procent till 20</w:t>
      </w:r>
      <w:r w:rsidR="007F5FD5">
        <w:t> </w:t>
      </w:r>
      <w:r w:rsidRPr="00FC2616">
        <w:t>procent, samtidigt som gränsbeloppen för utdelning höjdes.</w:t>
      </w:r>
      <w:r w:rsidRPr="00FC2616">
        <w:rPr>
          <w:rStyle w:val="Fotnotsreferens"/>
        </w:rPr>
        <w:footnoteReference w:id="104"/>
      </w:r>
      <w:r w:rsidRPr="00FC2616">
        <w:t xml:space="preserve"> Reformen syftade till att ”förbättra den skattemässiga behandlingen av riskfyllda investeringar”.</w:t>
      </w:r>
    </w:p>
    <w:p w:rsidRPr="00FC2616" w:rsidR="0027719D" w:rsidP="00980E79" w:rsidRDefault="0027719D" w14:paraId="4026618D" w14:textId="06B071C6">
      <w:r w:rsidRPr="00FC2616">
        <w:t>Empiriska undersökningar visar dock att de ökade utdelningar som följde av förändringarna inte kan tolkas komma från ökade företagsvinster och mer entreprenör</w:t>
      </w:r>
      <w:r w:rsidR="00FA4F89">
        <w:softHyphen/>
      </w:r>
      <w:r w:rsidRPr="00FC2616">
        <w:t xml:space="preserve">skap. De nya reglerna ledde inte </w:t>
      </w:r>
      <w:r w:rsidRPr="00FC2616" w:rsidR="008517C6">
        <w:t xml:space="preserve">heller </w:t>
      </w:r>
      <w:r w:rsidRPr="00FC2616">
        <w:t xml:space="preserve">till </w:t>
      </w:r>
      <w:r w:rsidR="008517C6">
        <w:t xml:space="preserve">en </w:t>
      </w:r>
      <w:r w:rsidRPr="00FC2616">
        <w:t>ökad sysselsättning (även om lönerna bland anställda ökade). Den huvudsakliga effekten har i</w:t>
      </w:r>
      <w:r w:rsidRPr="00FC2616" w:rsidR="000E0404">
        <w:t xml:space="preserve"> </w:t>
      </w:r>
      <w:r w:rsidRPr="00FC2616">
        <w:t xml:space="preserve">stället blivit en omfattande inkomstomvandling bland höginkomsttagare samt ökade möjligheter till skatteplanering för de som tjänar mest. Vänsterpartiet vill se </w:t>
      </w:r>
      <w:r w:rsidR="00DA32B2">
        <w:t xml:space="preserve">en </w:t>
      </w:r>
      <w:r w:rsidRPr="00FC2616">
        <w:t>reformering av 3:12</w:t>
      </w:r>
      <w:r w:rsidR="00DA32B2">
        <w:noBreakHyphen/>
      </w:r>
      <w:r w:rsidRPr="00FC2616">
        <w:t xml:space="preserve">reglerna. Vi föreslår </w:t>
      </w:r>
      <w:r w:rsidRPr="00FC2616" w:rsidR="000E0404">
        <w:t>bl.a.</w:t>
      </w:r>
      <w:r w:rsidRPr="00FC2616">
        <w:t xml:space="preserve"> att skattesatsen på utdelningar och kapitalvinst höjs till den gängse kapitalskattesatsen på 30</w:t>
      </w:r>
      <w:r w:rsidR="00DA32B2">
        <w:t> </w:t>
      </w:r>
      <w:r w:rsidRPr="00FC2616">
        <w:t xml:space="preserve">procent. </w:t>
      </w:r>
    </w:p>
    <w:p w:rsidRPr="00532553" w:rsidR="003F53AE" w:rsidP="00532553" w:rsidRDefault="003F53AE" w14:paraId="59A0A480" w14:textId="556C9D4A">
      <w:pPr>
        <w:pStyle w:val="Normalutanindragellerluft"/>
        <w:spacing w:before="240"/>
        <w:rPr>
          <w:b/>
          <w:bCs/>
        </w:rPr>
      </w:pPr>
      <w:r w:rsidRPr="00532553">
        <w:rPr>
          <w:b/>
          <w:bCs/>
        </w:rPr>
        <w:t>Vänsterpartiets förslag:</w:t>
      </w:r>
    </w:p>
    <w:p w:rsidRPr="00FC2616" w:rsidR="003F53AE" w:rsidP="003522C8" w:rsidRDefault="003F53AE" w14:paraId="5180EE49" w14:textId="287FBE7D">
      <w:pPr>
        <w:pStyle w:val="ListaPunkt"/>
        <w:numPr>
          <w:ilvl w:val="0"/>
          <w:numId w:val="13"/>
        </w:numPr>
        <w:ind w:left="340" w:hanging="340"/>
        <w:rPr>
          <w:i/>
        </w:rPr>
      </w:pPr>
      <w:r w:rsidRPr="00FC2616">
        <w:t>Utdelning och kapitalvinst från onoterade aktier ska beskattas med 30</w:t>
      </w:r>
      <w:r w:rsidR="000941C3">
        <w:t> </w:t>
      </w:r>
      <w:r w:rsidRPr="00FC2616">
        <w:t>procent.</w:t>
      </w:r>
    </w:p>
    <w:p w:rsidRPr="00FC2616" w:rsidR="003F53AE" w:rsidP="003522C8" w:rsidRDefault="003F53AE" w14:paraId="3D12FF6B" w14:textId="00209BE1">
      <w:pPr>
        <w:pStyle w:val="ListaPunkt"/>
        <w:numPr>
          <w:ilvl w:val="0"/>
          <w:numId w:val="13"/>
        </w:numPr>
        <w:ind w:left="340" w:hanging="340"/>
        <w:rPr>
          <w:i/>
        </w:rPr>
      </w:pPr>
      <w:r w:rsidRPr="00FC2616">
        <w:t>Inför ett tak på 2</w:t>
      </w:r>
      <w:r w:rsidR="000941C3">
        <w:t> </w:t>
      </w:r>
      <w:r w:rsidRPr="00FC2616">
        <w:t>miljoner kronor på sparande inom ISK. Sparande utöver taket ska beskattas med den vanliga skatten på kapitalinkomster.</w:t>
      </w:r>
    </w:p>
    <w:p w:rsidRPr="00FC2616" w:rsidR="003F53AE" w:rsidP="003522C8" w:rsidRDefault="003F53AE" w14:paraId="795F68C9" w14:textId="2F022B7C">
      <w:pPr>
        <w:pStyle w:val="ListaPunkt"/>
        <w:numPr>
          <w:ilvl w:val="0"/>
          <w:numId w:val="13"/>
        </w:numPr>
        <w:ind w:left="340" w:hanging="340"/>
        <w:rPr>
          <w:i/>
        </w:rPr>
      </w:pPr>
      <w:r w:rsidRPr="00FC2616">
        <w:t>Utdelning och kapitalvinst från fåmansbolag ska beskattas med 30</w:t>
      </w:r>
      <w:r w:rsidR="000941C3">
        <w:t> </w:t>
      </w:r>
      <w:r w:rsidRPr="00FC2616">
        <w:t>procent.</w:t>
      </w:r>
    </w:p>
    <w:p w:rsidRPr="00FC2616" w:rsidR="003F53AE" w:rsidP="003522C8" w:rsidRDefault="003F53AE" w14:paraId="33F9083B" w14:textId="57B357FB">
      <w:pPr>
        <w:pStyle w:val="ListaPunkt"/>
        <w:numPr>
          <w:ilvl w:val="0"/>
          <w:numId w:val="13"/>
        </w:numPr>
        <w:ind w:left="340" w:hanging="340"/>
      </w:pPr>
      <w:r w:rsidRPr="00FC2616">
        <w:t>Begränsat utdelningsutrymme. Sänk gränsbeloppet och det lönebaserade utrymmet</w:t>
      </w:r>
      <w:r w:rsidRPr="00FC2616" w:rsidR="00D22338">
        <w:t>.</w:t>
      </w:r>
    </w:p>
    <w:p w:rsidRPr="00FC2616" w:rsidR="00E01756" w:rsidP="003522C8" w:rsidRDefault="003F53AE" w14:paraId="5C660D93" w14:textId="5274F3F3">
      <w:pPr>
        <w:pStyle w:val="ListaPunkt"/>
        <w:numPr>
          <w:ilvl w:val="0"/>
          <w:numId w:val="13"/>
        </w:numPr>
        <w:ind w:left="340" w:hanging="340"/>
      </w:pPr>
      <w:r w:rsidRPr="00FC2616">
        <w:t>Begränsa det sparade utdelningsutrymmet genom en årsspärr och sänkning av</w:t>
      </w:r>
      <w:r w:rsidRPr="00FC2616" w:rsidR="00872237">
        <w:t xml:space="preserve"> u</w:t>
      </w:r>
      <w:r w:rsidRPr="00FC2616">
        <w:t>ppräkningsräntan</w:t>
      </w:r>
      <w:r w:rsidRPr="00FC2616" w:rsidR="00E01756">
        <w:t>.</w:t>
      </w:r>
    </w:p>
    <w:p w:rsidRPr="00FC2616" w:rsidR="00E01756" w:rsidP="00B50CBA" w:rsidRDefault="00D22338" w14:paraId="7011DE7A" w14:textId="325F3F59">
      <w:pPr>
        <w:pStyle w:val="Rubrik3numrerat"/>
      </w:pPr>
      <w:bookmarkStart w:name="_Toc149814594" w:id="220"/>
      <w:r w:rsidRPr="00FC2616">
        <w:rPr>
          <w:lang w:eastAsia="sv-SE"/>
        </w:rPr>
        <w:t>Arvs</w:t>
      </w:r>
      <w:r w:rsidRPr="00FC2616">
        <w:t>- och gåvoskatt</w:t>
      </w:r>
      <w:bookmarkEnd w:id="220"/>
    </w:p>
    <w:p w:rsidRPr="00FC2616" w:rsidR="00C32FB2" w:rsidP="00BC21D6" w:rsidRDefault="00D22338" w14:paraId="7EFF240C" w14:textId="5609E1E7">
      <w:pPr>
        <w:pStyle w:val="Normalutanindragellerluft"/>
      </w:pPr>
      <w:r w:rsidRPr="00FC2616">
        <w:t>Arv är ett tydligt exempel på hur kapital påverkar en individs livschanser. Arvsflödena har dessutom ökat i betydelse i Sverige, framför allt under de senaste 25–30</w:t>
      </w:r>
      <w:r w:rsidR="00150D87">
        <w:t> </w:t>
      </w:r>
      <w:r w:rsidRPr="00FC2616">
        <w:t>åren</w:t>
      </w:r>
      <w:r w:rsidRPr="00FC2616" w:rsidR="00DB4DD9">
        <w:t>.</w:t>
      </w:r>
      <w:r w:rsidRPr="00FC2616">
        <w:t xml:space="preserve"> Sedan 1990-talet</w:t>
      </w:r>
      <w:r w:rsidR="00150D87">
        <w:t>s</w:t>
      </w:r>
      <w:r w:rsidRPr="00FC2616">
        <w:t xml:space="preserve"> mitt har de mer än fördubblats.</w:t>
      </w:r>
    </w:p>
    <w:p w:rsidRPr="00FC2616" w:rsidR="00E01756" w:rsidP="00C32FB2" w:rsidRDefault="00E01756" w14:paraId="7698D010" w14:textId="6FC81751">
      <w:r w:rsidRPr="00FC2616">
        <w:t>Arvs- och gåvoskatter finns i många OECD-länder</w:t>
      </w:r>
      <w:r w:rsidR="00E67CB4">
        <w:t>.</w:t>
      </w:r>
      <w:r w:rsidRPr="00FC2616">
        <w:t xml:space="preserve"> Vänsterpartiet föreslår att en arvs- och gåvoskatt införs också i Sverige. Vi vill dock ha ett ganska stort fribelopp. Hur stort ett sådant fribelopp ska vara behöver utredas, men vi vill ha ett fribelopp som gör att vanliga hushåll som även äger sin bostad inte påverkas.</w:t>
      </w:r>
    </w:p>
    <w:p w:rsidRPr="00FC2616" w:rsidR="001A7129" w:rsidP="00C32FB2" w:rsidRDefault="00E01756" w14:paraId="39FE18D4" w14:textId="06A71DE5">
      <w:r w:rsidRPr="00FC2616">
        <w:t>Riksdagens utredningstjänst har inte kunnat räkna på något konkret förslag (de har inte underlaget). Därför har vi sagt att vi vill utforma en skatt som drar in 1</w:t>
      </w:r>
      <w:r w:rsidR="00506709">
        <w:t> </w:t>
      </w:r>
      <w:r w:rsidRPr="00FC2616">
        <w:t xml:space="preserve">procent av det årliga arvs- och gåvoflödet. SNS har i en rapport uppskattat det årliga (2016) arvs- och gåvoflödet till </w:t>
      </w:r>
      <w:r w:rsidRPr="00FC2616" w:rsidR="00A75090">
        <w:t>cirka</w:t>
      </w:r>
      <w:r w:rsidRPr="00FC2616">
        <w:t xml:space="preserve"> 370 miljarder</w:t>
      </w:r>
      <w:r w:rsidRPr="00FC2616" w:rsidR="000E0404">
        <w:t xml:space="preserve"> kronor</w:t>
      </w:r>
      <w:r w:rsidRPr="00FC2616">
        <w:t>. Skatten skulle således inbringa cirka 3,7</w:t>
      </w:r>
      <w:r w:rsidR="00506709">
        <w:t> </w:t>
      </w:r>
      <w:r w:rsidRPr="00FC2616">
        <w:t xml:space="preserve">miljarder kronor per år. </w:t>
      </w:r>
    </w:p>
    <w:p w:rsidRPr="00532553" w:rsidR="001A7129" w:rsidP="00532553" w:rsidRDefault="001A7129" w14:paraId="41BC79CD" w14:textId="22644685">
      <w:pPr>
        <w:pStyle w:val="Normalutanindragellerluft"/>
        <w:spacing w:before="240"/>
        <w:rPr>
          <w:b/>
          <w:bCs/>
        </w:rPr>
      </w:pPr>
      <w:r w:rsidRPr="00532553">
        <w:rPr>
          <w:b/>
          <w:bCs/>
        </w:rPr>
        <w:t>Vänsterpartiets förslag:</w:t>
      </w:r>
    </w:p>
    <w:p w:rsidRPr="00FC2616" w:rsidR="001A7129" w:rsidP="00327353" w:rsidRDefault="001A7129" w14:paraId="769990E6" w14:textId="1A38CA55">
      <w:pPr>
        <w:pStyle w:val="ListaPunkt"/>
        <w:ind w:left="340" w:hanging="340"/>
      </w:pPr>
      <w:r w:rsidRPr="00FC2616">
        <w:t xml:space="preserve">Inför en arvs- och gåvoskatt. </w:t>
      </w:r>
    </w:p>
    <w:p w:rsidRPr="00FC2616" w:rsidR="001A7129" w:rsidP="00327353" w:rsidRDefault="001A7129" w14:paraId="7C58C92D" w14:textId="59FC5FF3">
      <w:pPr>
        <w:pStyle w:val="ListaPunkt"/>
        <w:ind w:left="340" w:hanging="340"/>
      </w:pPr>
      <w:r w:rsidRPr="00FC2616">
        <w:t>Ett stort fribelopp som gör att vanliga hushåll som äger sin bostad inte drabbas.</w:t>
      </w:r>
    </w:p>
    <w:p w:rsidRPr="00FC2616" w:rsidR="00003DB2" w:rsidP="00B50CBA" w:rsidRDefault="00003DB2" w14:paraId="5D675D22" w14:textId="4CA43841">
      <w:pPr>
        <w:pStyle w:val="Rubrik3numrerat"/>
      </w:pPr>
      <w:bookmarkStart w:name="_Toc149814595" w:id="221"/>
      <w:r w:rsidRPr="00FC2616">
        <w:rPr>
          <w:lang w:eastAsia="sv-SE"/>
        </w:rPr>
        <w:t>Beskattning</w:t>
      </w:r>
      <w:r w:rsidRPr="00FC2616">
        <w:t xml:space="preserve"> av fastigheter</w:t>
      </w:r>
      <w:bookmarkEnd w:id="221"/>
    </w:p>
    <w:p w:rsidRPr="00FC2616" w:rsidR="00003DB2" w:rsidP="00327353" w:rsidRDefault="00003DB2" w14:paraId="67DB9129" w14:textId="3A0964FD">
      <w:pPr>
        <w:pStyle w:val="Normalutanindragellerluft"/>
      </w:pPr>
      <w:r w:rsidRPr="00FC2616">
        <w:t xml:space="preserve">Avkastningen av att bo i </w:t>
      </w:r>
      <w:r w:rsidR="003E736C">
        <w:t xml:space="preserve">en </w:t>
      </w:r>
      <w:r w:rsidRPr="00FC2616">
        <w:t xml:space="preserve">egen villa eller bostadsrätt är en kapitalinkomst. Det är en kapitalinvestering som motsvaras av det dagsaktuella värdet på bostaden. Avkastningen </w:t>
      </w:r>
      <w:r w:rsidRPr="00FC2616">
        <w:lastRenderedPageBreak/>
        <w:t>på investeringen består både i det löpande värdet av själva boendet</w:t>
      </w:r>
      <w:r w:rsidRPr="00FC2616">
        <w:rPr>
          <w:rStyle w:val="Fotnotsreferens"/>
        </w:rPr>
        <w:footnoteReference w:id="105"/>
      </w:r>
      <w:r w:rsidRPr="00FC2616">
        <w:t xml:space="preserve"> och av det faktum att bostaden också kan stiga i värde. År 2007 avskaffades den gamla fastighetsskatten och ersattes med en kommunal fastighetsavgift.</w:t>
      </w:r>
      <w:r w:rsidRPr="00FC2616">
        <w:rPr>
          <w:rStyle w:val="Fotnotsreferens"/>
        </w:rPr>
        <w:footnoteReference w:id="106"/>
      </w:r>
      <w:r w:rsidRPr="00FC2616">
        <w:t xml:space="preserve"> Den tas ut som en avgift på 0,75</w:t>
      </w:r>
      <w:r w:rsidR="00A56E62">
        <w:t> </w:t>
      </w:r>
      <w:r w:rsidRPr="00FC2616">
        <w:t>procent av taxeringsvärdet, med ett tak på (för 2022) 8</w:t>
      </w:r>
      <w:r w:rsidRPr="00FC2616" w:rsidR="004976AB">
        <w:t> </w:t>
      </w:r>
      <w:r w:rsidRPr="00FC2616">
        <w:t>874 kronor. Dagens fastighetsavgift har ingen synlig koppling till avkastning, övriga kapitalskatter eller ränteavdragen. Taket innebär att man betalar ”full” fastighetsavgift upp till ett taxerings</w:t>
      </w:r>
      <w:r w:rsidR="00FA4F89">
        <w:softHyphen/>
      </w:r>
      <w:r w:rsidRPr="00FC2616">
        <w:t>värde på cirka 1,2</w:t>
      </w:r>
      <w:r w:rsidR="00466D75">
        <w:t> </w:t>
      </w:r>
      <w:r w:rsidRPr="00FC2616">
        <w:t>miljoner kronor. På taxeringsvärden därutöver betalas ingen avgift. Detta leder till att den genomsnittliga skatten blir lägre ju mer värdet på en fastighet överstiger 1,2</w:t>
      </w:r>
      <w:r w:rsidR="00466D75">
        <w:t> </w:t>
      </w:r>
      <w:r w:rsidRPr="00FC2616">
        <w:t>miljoner kronor. Fastighetsavgiften är därmed starkt regressiv.</w:t>
      </w:r>
    </w:p>
    <w:p w:rsidRPr="00FC2616" w:rsidR="00003DB2" w:rsidP="00C32FB2" w:rsidRDefault="00003DB2" w14:paraId="1A31BA92" w14:textId="1213FF7F">
      <w:r w:rsidRPr="00FC2616">
        <w:t>Vänsterpartiet vill därför komplettera den kommunala fastighetsavgiften med en statlig fastighetsskatt. Skatten ska tas ut med 1,5</w:t>
      </w:r>
      <w:r w:rsidR="002C6591">
        <w:t> </w:t>
      </w:r>
      <w:r w:rsidRPr="00FC2616">
        <w:t>procent på den del av taxeringsvärdet som överstiger 5</w:t>
      </w:r>
      <w:r w:rsidR="002C6591">
        <w:t> </w:t>
      </w:r>
      <w:r w:rsidRPr="00FC2616">
        <w:t>miljoner kronor och med 2,5</w:t>
      </w:r>
      <w:r w:rsidR="002C6591">
        <w:t> </w:t>
      </w:r>
      <w:r w:rsidRPr="00FC2616">
        <w:t>procent på den del av taxeringsvärdet som överstiger 7</w:t>
      </w:r>
      <w:r w:rsidR="002C6591">
        <w:t> </w:t>
      </w:r>
      <w:r w:rsidRPr="00FC2616">
        <w:t>miljoner kronor. Vi föreslår också att dagens begränsningsregel, som innebär att pensionärer inte ska behöva betala mer än 4</w:t>
      </w:r>
      <w:r w:rsidR="00A14892">
        <w:t> </w:t>
      </w:r>
      <w:r w:rsidRPr="00FC2616">
        <w:t>procent av sin inkomst i avgift, utökas till att omfatta alla inkomster. Vänsterpartiets förslag till fastighetsskatt bedöms stärka de offentliga finanserna med drygt 4</w:t>
      </w:r>
      <w:r w:rsidR="008D45E7">
        <w:t> </w:t>
      </w:r>
      <w:r w:rsidRPr="00FC2616">
        <w:t>miljarder kronor per år. Fastighetsskatten beräknas omfatta ca 140 000 småhus, vilket motsvarar cirka 5,6</w:t>
      </w:r>
      <w:r w:rsidR="00A72DCC">
        <w:t> </w:t>
      </w:r>
      <w:r w:rsidRPr="00FC2616">
        <w:t>procent av Sveriges samtliga småhus och maximalt 3,5</w:t>
      </w:r>
      <w:r w:rsidR="00D137B2">
        <w:t> </w:t>
      </w:r>
      <w:r w:rsidRPr="00FC2616">
        <w:t>procent av den vuxna befolkningen</w:t>
      </w:r>
      <w:r w:rsidRPr="00FC2616">
        <w:rPr>
          <w:rStyle w:val="Fotnotsreferens"/>
        </w:rPr>
        <w:footnoteReference w:id="107"/>
      </w:r>
      <w:r w:rsidRPr="00FC2616">
        <w:t xml:space="preserve"> </w:t>
      </w:r>
    </w:p>
    <w:p w:rsidRPr="00FC2616" w:rsidR="00F00845" w:rsidP="002224E2" w:rsidRDefault="00003DB2" w14:paraId="49A61882" w14:textId="15741042">
      <w:r w:rsidRPr="00FC2616">
        <w:t>Fastighetsbeskattning baseras på taxeringsvärden. Dessa skiljer sig åt mot dags</w:t>
      </w:r>
      <w:r w:rsidR="00FA4F89">
        <w:softHyphen/>
      </w:r>
      <w:r w:rsidRPr="00FC2616">
        <w:t>aktuella marknadsvärden. Hus med taxeringsvärden på 5</w:t>
      </w:r>
      <w:r w:rsidR="00812949">
        <w:t> </w:t>
      </w:r>
      <w:r w:rsidRPr="00FC2616">
        <w:t>miljoner kronor kostar i</w:t>
      </w:r>
      <w:r w:rsidRPr="00FC2616" w:rsidR="0080634F">
        <w:t xml:space="preserve"> </w:t>
      </w:r>
      <w:r w:rsidRPr="00FC2616">
        <w:t>dag cirka 9,7</w:t>
      </w:r>
      <w:r w:rsidR="00812949">
        <w:t> </w:t>
      </w:r>
      <w:r w:rsidRPr="00FC2616">
        <w:t>miljoner kronor.</w:t>
      </w:r>
      <w:r w:rsidRPr="00FC2616">
        <w:rPr>
          <w:rStyle w:val="Fotnotsreferens"/>
        </w:rPr>
        <w:footnoteReference w:id="108"/>
      </w:r>
      <w:r w:rsidRPr="00FC2616">
        <w:t xml:space="preserve"> Det är alltså endast hus som kostar så mycket som omfattas av Vänsterpartiets fastighetsskatt.</w:t>
      </w:r>
    </w:p>
    <w:p w:rsidRPr="00532553" w:rsidR="00003DB2" w:rsidP="00532553" w:rsidRDefault="00003DB2" w14:paraId="118BC6CD" w14:textId="69A312D7">
      <w:pPr>
        <w:pStyle w:val="Normalutanindragellerluft"/>
        <w:spacing w:before="240"/>
        <w:rPr>
          <w:b/>
          <w:bCs/>
        </w:rPr>
      </w:pPr>
      <w:r w:rsidRPr="00532553">
        <w:rPr>
          <w:b/>
          <w:bCs/>
        </w:rPr>
        <w:t>Vänsterpartiets förslag:</w:t>
      </w:r>
    </w:p>
    <w:p w:rsidRPr="00FC2616" w:rsidR="00003DB2" w:rsidP="00532553" w:rsidRDefault="00003DB2" w14:paraId="3A565DFF" w14:textId="1084FFDD">
      <w:pPr>
        <w:pStyle w:val="ListaPunkt"/>
        <w:ind w:left="340" w:hanging="340"/>
      </w:pPr>
      <w:r w:rsidRPr="00FC2616">
        <w:t>En statlig fastighetsskatt införs på villor med ett marknadsvärde på 9</w:t>
      </w:r>
      <w:r w:rsidRPr="00FC2616" w:rsidR="005708E7">
        <w:t>–</w:t>
      </w:r>
      <w:r w:rsidRPr="00FC2616">
        <w:t>10</w:t>
      </w:r>
      <w:r w:rsidR="008B317D">
        <w:t> </w:t>
      </w:r>
      <w:r w:rsidRPr="00FC2616">
        <w:t>miljoner kronor.</w:t>
      </w:r>
    </w:p>
    <w:p w:rsidRPr="00FC2616" w:rsidR="002C5F5D" w:rsidP="00532553" w:rsidRDefault="00003DB2" w14:paraId="4D8AC4AA" w14:textId="31398109">
      <w:pPr>
        <w:pStyle w:val="ListaPunkt"/>
        <w:ind w:left="340" w:hanging="340"/>
      </w:pPr>
      <w:r w:rsidRPr="00FC2616">
        <w:t>Dagens begränsningsregel, som innebär att pensionärer inte ska behöva betala mer än 4</w:t>
      </w:r>
      <w:r w:rsidR="00D91DE9">
        <w:t> </w:t>
      </w:r>
      <w:r w:rsidRPr="00FC2616">
        <w:t>procent av sin inkomst i avgift, utökas till att omfatta alla inkomster.</w:t>
      </w:r>
    </w:p>
    <w:p w:rsidRPr="00FC2616" w:rsidR="003258A1" w:rsidP="003258A1" w:rsidRDefault="003258A1" w14:paraId="08D51431" w14:textId="77777777">
      <w:pPr>
        <w:pStyle w:val="Rubrik2numrerat"/>
      </w:pPr>
      <w:bookmarkStart w:name="_Toc149814596" w:id="223"/>
      <w:r w:rsidRPr="00FC2616">
        <w:t>Skatt på förvärvsinkomst</w:t>
      </w:r>
      <w:bookmarkEnd w:id="223"/>
    </w:p>
    <w:p w:rsidRPr="00FC2616" w:rsidR="003258A1" w:rsidP="003258A1" w:rsidRDefault="003258A1" w14:paraId="14D8D690" w14:textId="20A07F5B">
      <w:pPr>
        <w:pStyle w:val="Normalutanindragellerluft"/>
      </w:pPr>
      <w:r w:rsidRPr="00FC2616">
        <w:t>Den svenska skattedebatten har präglats av ett tydligt fokus på att sänka skatten på arbetsinkomster, framför allt på de högsta inkomsterna.</w:t>
      </w:r>
      <w:r w:rsidRPr="00FC2616">
        <w:rPr>
          <w:rStyle w:val="Fotnotsreferens"/>
        </w:rPr>
        <w:footnoteReference w:id="109"/>
      </w:r>
      <w:r w:rsidRPr="00FC2616">
        <w:t xml:space="preserve"> Beskattningen av arbets</w:t>
      </w:r>
      <w:r w:rsidR="00FA4F89">
        <w:softHyphen/>
      </w:r>
      <w:r w:rsidRPr="00FC2616">
        <w:t>inkomster innehåller i</w:t>
      </w:r>
      <w:r w:rsidRPr="00FC2616" w:rsidR="00A260FF">
        <w:t xml:space="preserve"> </w:t>
      </w:r>
      <w:r w:rsidRPr="00FC2616">
        <w:t xml:space="preserve">dag mer än tio olika former av skattereduktioner – däribland </w:t>
      </w:r>
      <w:r w:rsidR="00497417">
        <w:t>rut</w:t>
      </w:r>
      <w:r w:rsidRPr="00FC2616">
        <w:t xml:space="preserve">avdrag, </w:t>
      </w:r>
      <w:r w:rsidR="00497417">
        <w:t>rot</w:t>
      </w:r>
      <w:r w:rsidRPr="00FC2616">
        <w:t xml:space="preserve">avdrag och olika former av jobbskatteavdrag. Ingen av dem med tydliga påvisbara positiva effekter. Enbart jobbskatteavdraget innebär en skattereduktion med 140 miljarder kronor per år. </w:t>
      </w:r>
    </w:p>
    <w:p w:rsidRPr="00FC2616" w:rsidR="003258A1" w:rsidP="002D4685" w:rsidRDefault="003258A1" w14:paraId="5DAC209C" w14:textId="1AD5D18D">
      <w:r w:rsidRPr="00FC2616">
        <w:t>En viktig skatteprincip bör vara att lika inkomster ska beskattas lika. Denna princip slogs sönder av den borgerliga regeringen i och med införandet av de olika jobbskatte</w:t>
      </w:r>
      <w:r w:rsidR="00FA4F89">
        <w:softHyphen/>
      </w:r>
      <w:r w:rsidRPr="00FC2616">
        <w:t xml:space="preserve">avdragen. Detta eftersom jobbskatteavdragen endast omfattar arbetsinkomster. Detta innebär att den som </w:t>
      </w:r>
      <w:r w:rsidRPr="00FC2616" w:rsidR="00A260FF">
        <w:t>t.ex.</w:t>
      </w:r>
      <w:r w:rsidRPr="00FC2616">
        <w:t xml:space="preserve"> är arbetslös och får 20</w:t>
      </w:r>
      <w:r w:rsidRPr="00FC2616" w:rsidR="00A260FF">
        <w:t> </w:t>
      </w:r>
      <w:r w:rsidRPr="00FC2616">
        <w:t xml:space="preserve">000 kronor i månaden från a-kassan </w:t>
      </w:r>
      <w:r w:rsidRPr="00FC2616">
        <w:lastRenderedPageBreak/>
        <w:t>betalar ca 1</w:t>
      </w:r>
      <w:r w:rsidRPr="00FC2616" w:rsidR="00A260FF">
        <w:t> </w:t>
      </w:r>
      <w:r w:rsidRPr="00FC2616">
        <w:t>500 kronor mer i skatt varje månad än den som har en arbetsinkomst på 20</w:t>
      </w:r>
      <w:r w:rsidRPr="00FC2616" w:rsidR="00A260FF">
        <w:t> </w:t>
      </w:r>
      <w:r w:rsidRPr="00FC2616">
        <w:t>000 kronor i månaden.</w:t>
      </w:r>
      <w:r w:rsidRPr="00FC2616">
        <w:rPr>
          <w:rStyle w:val="Fotnotsreferens"/>
        </w:rPr>
        <w:footnoteReference w:id="110"/>
      </w:r>
      <w:r w:rsidRPr="00FC2616">
        <w:t xml:space="preserve"> Den föregående regeringen har sedan tidigare i praktiken slutit skatteklyftan för ålderspensionärer. Riksdagen har också genomfört Vänster</w:t>
      </w:r>
      <w:r w:rsidR="00FA4F89">
        <w:softHyphen/>
      </w:r>
      <w:r w:rsidRPr="00FC2616">
        <w:t>partiets krav om att sluta skatteklyftan för personer som erhåller sjuk- och aktivitets</w:t>
      </w:r>
      <w:r w:rsidR="00FA4F89">
        <w:softHyphen/>
      </w:r>
      <w:r w:rsidRPr="00FC2616">
        <w:t>ersättning. Vänsterpartiet föreslår i denna budget</w:t>
      </w:r>
      <w:r w:rsidRPr="00FC2616" w:rsidR="00B8678A">
        <w:t>motion</w:t>
      </w:r>
      <w:r w:rsidRPr="00FC2616">
        <w:t xml:space="preserve"> att skatteklyftan sluts för alla inkomster, </w:t>
      </w:r>
      <w:r w:rsidRPr="00FC2616" w:rsidR="00B8678A">
        <w:t>t.ex.</w:t>
      </w:r>
      <w:r w:rsidRPr="00FC2616">
        <w:t xml:space="preserve"> sjuk- och rehabiliteringspenning, a-kassa och föräldraförsäkring. Detta innebär </w:t>
      </w:r>
      <w:r w:rsidR="00044653">
        <w:t xml:space="preserve">en </w:t>
      </w:r>
      <w:r w:rsidRPr="00FC2616">
        <w:t>sänkt skatt för grupper med små ekonomiska marginaler. Förslaget beräknas kosta 7</w:t>
      </w:r>
      <w:r w:rsidR="00044653">
        <w:t> </w:t>
      </w:r>
      <w:r w:rsidRPr="00FC2616">
        <w:t>miljarder kronor 2023.</w:t>
      </w:r>
      <w:r w:rsidRPr="00FC2616">
        <w:rPr>
          <w:rStyle w:val="Fotnotsreferens"/>
        </w:rPr>
        <w:footnoteReference w:id="111"/>
      </w:r>
      <w:r w:rsidRPr="00FC2616">
        <w:t xml:space="preserve"> </w:t>
      </w:r>
    </w:p>
    <w:p w:rsidRPr="00FC2616" w:rsidR="00095517" w:rsidP="002D4685" w:rsidRDefault="00095517" w14:paraId="40EF6D59" w14:textId="35D36A87">
      <w:r w:rsidRPr="00FC2616">
        <w:t>I budgetpropositionen för 2023 går den nya regeringen vidare på spåret med jobbskatteavdrag, den här gången i form av ett förstärkt jobbskatteavdrag för äldre. Vänsterpartiet avvisar förslaget, vilket stärker de offentliga finanserna med 0,77</w:t>
      </w:r>
      <w:r w:rsidR="005250C5">
        <w:t> </w:t>
      </w:r>
      <w:r w:rsidRPr="00FC2616">
        <w:t>miljarder kronor för 2023.</w:t>
      </w:r>
    </w:p>
    <w:p w:rsidRPr="00FC2616" w:rsidR="003258A1" w:rsidP="003258A1" w:rsidRDefault="003258A1" w14:paraId="2F6BF9C2" w14:textId="76A03752">
      <w:r w:rsidRPr="00FC2616">
        <w:t>Gränsen för statlig inkomstskatt brukar normalt räknas upp med KPI</w:t>
      </w:r>
      <w:r w:rsidR="0090371E">
        <w:t> </w:t>
      </w:r>
      <w:r w:rsidRPr="00FC2616">
        <w:t>+</w:t>
      </w:r>
      <w:r w:rsidR="0090371E">
        <w:t> </w:t>
      </w:r>
      <w:r w:rsidRPr="00FC2616">
        <w:t>2</w:t>
      </w:r>
      <w:r w:rsidR="0090371E">
        <w:t> </w:t>
      </w:r>
      <w:r w:rsidRPr="00FC2616">
        <w:t>procent</w:t>
      </w:r>
      <w:r w:rsidR="004B65BC">
        <w:softHyphen/>
      </w:r>
      <w:r w:rsidRPr="00FC2616">
        <w:t>enheter. Tanken är att uppräkningen i grova drag ska följa nominella löneökningar så att andelen löntagare som betalar statlig inkomstskatt är någorlunda konstant över tiden. I budgetpropositionen följer regeringen denna praxis. På grund av den höga inflationen räknas skiktgränserna upp med drygt 10</w:t>
      </w:r>
      <w:r w:rsidR="00A36ABB">
        <w:t> </w:t>
      </w:r>
      <w:r w:rsidRPr="00FC2616">
        <w:t>procentenheter, vilket höjer gränsen för statlig inkomstskatt från ca 46</w:t>
      </w:r>
      <w:r w:rsidR="00A36ABB">
        <w:t> </w:t>
      </w:r>
      <w:r w:rsidRPr="00FC2616">
        <w:t>200</w:t>
      </w:r>
      <w:r w:rsidR="00A36ABB">
        <w:t> </w:t>
      </w:r>
      <w:r w:rsidRPr="00FC2616">
        <w:t>kr/mån</w:t>
      </w:r>
      <w:r w:rsidR="00A36ABB">
        <w:t>.</w:t>
      </w:r>
      <w:r w:rsidRPr="00FC2616">
        <w:t xml:space="preserve"> till ca 51</w:t>
      </w:r>
      <w:r w:rsidR="00A36ABB">
        <w:t> </w:t>
      </w:r>
      <w:r w:rsidRPr="00FC2616">
        <w:t>150</w:t>
      </w:r>
      <w:r w:rsidR="00A36ABB">
        <w:t> </w:t>
      </w:r>
      <w:r w:rsidRPr="00FC2616">
        <w:t>kr/mån. I den nuvarande ekonomiska situationen menar Vänsterpartiet att ett sådant förfarande är orimligt. För det första kommer inga normala löntagare att få löneökningar på 10</w:t>
      </w:r>
      <w:r w:rsidR="00A36ABB">
        <w:t> </w:t>
      </w:r>
      <w:r w:rsidRPr="00FC2616">
        <w:t>procent. För det andra menar vi att det är orimligt att lägga 13</w:t>
      </w:r>
      <w:r w:rsidR="00A36ABB">
        <w:t> </w:t>
      </w:r>
      <w:r w:rsidRPr="00FC2616">
        <w:t>miljarder kronor på skattesänkningar för höginkomst</w:t>
      </w:r>
      <w:r w:rsidR="004B65BC">
        <w:softHyphen/>
      </w:r>
      <w:r w:rsidRPr="00FC2616">
        <w:t xml:space="preserve">tagare i ett läge då välfärden saknar stora resurser. </w:t>
      </w:r>
    </w:p>
    <w:p w:rsidRPr="00FC2616" w:rsidR="00095517" w:rsidP="002D4685" w:rsidRDefault="003258A1" w14:paraId="3F6EE3FD" w14:textId="7B774BCE">
      <w:r w:rsidRPr="00FC2616">
        <w:t>Vänsterpartiet föreslår också att en ny skatt på 5</w:t>
      </w:r>
      <w:r w:rsidR="00A36ABB">
        <w:t> </w:t>
      </w:r>
      <w:r w:rsidRPr="00FC2616">
        <w:t>procentenheter införs på månads</w:t>
      </w:r>
      <w:r w:rsidR="004B65BC">
        <w:softHyphen/>
      </w:r>
      <w:r w:rsidRPr="00FC2616">
        <w:t>inkomster över 62</w:t>
      </w:r>
      <w:r w:rsidRPr="00FC2616" w:rsidR="002D4685">
        <w:t> </w:t>
      </w:r>
      <w:r w:rsidRPr="00FC2616">
        <w:t>000 kronor. Vi föreslår också att jobbskatteavdragen trappas av på inkomster över 43</w:t>
      </w:r>
      <w:r w:rsidRPr="00FC2616" w:rsidR="002D4685">
        <w:t> </w:t>
      </w:r>
      <w:r w:rsidRPr="00FC2616">
        <w:t xml:space="preserve">000 kronor i månaden, för att vara helt </w:t>
      </w:r>
      <w:proofErr w:type="spellStart"/>
      <w:r w:rsidRPr="00FC2616">
        <w:t>utfasa</w:t>
      </w:r>
      <w:r w:rsidRPr="00FC2616" w:rsidR="001A49E1">
        <w:t>de</w:t>
      </w:r>
      <w:proofErr w:type="spellEnd"/>
      <w:r w:rsidRPr="00FC2616">
        <w:t xml:space="preserve"> på månadsinkomster över 100</w:t>
      </w:r>
      <w:r w:rsidRPr="00FC2616" w:rsidR="002D4685">
        <w:t> </w:t>
      </w:r>
      <w:r w:rsidRPr="00FC2616">
        <w:t>000 kronor i månaden. De båda förslagen bedöms sammantaget stärka de offentliga finanserna med drygt 16</w:t>
      </w:r>
      <w:r w:rsidR="000D6A2D">
        <w:t> </w:t>
      </w:r>
      <w:r w:rsidRPr="00FC2616">
        <w:t>miljarder kronor 2023.</w:t>
      </w:r>
      <w:r w:rsidRPr="00FC2616">
        <w:rPr>
          <w:rStyle w:val="Fotnotsreferens"/>
        </w:rPr>
        <w:footnoteReference w:id="112"/>
      </w:r>
      <w:r w:rsidRPr="00FC2616">
        <w:t xml:space="preserve"> </w:t>
      </w:r>
    </w:p>
    <w:p w:rsidRPr="00FC2616" w:rsidR="00095517" w:rsidP="002D4685" w:rsidRDefault="00095517" w14:paraId="0D6A727A" w14:textId="2C0212CA">
      <w:r w:rsidRPr="00FC2616">
        <w:t xml:space="preserve">Figur 12 nedan visar utredningstjänstens fördelningsanalys av Vänsterpartiets förslag </w:t>
      </w:r>
      <w:r w:rsidR="00D721A8">
        <w:t>om</w:t>
      </w:r>
      <w:r w:rsidRPr="00FC2616">
        <w:t xml:space="preserve"> ändrade inkomst</w:t>
      </w:r>
      <w:r w:rsidRPr="00FC2616" w:rsidR="009A6413">
        <w:t>skatter.</w:t>
      </w:r>
      <w:r w:rsidRPr="00FC2616" w:rsidR="00F54986">
        <w:rPr>
          <w:rStyle w:val="Fotnotsreferens"/>
        </w:rPr>
        <w:footnoteReference w:id="113"/>
      </w:r>
      <w:r w:rsidRPr="00FC2616" w:rsidR="009A6413">
        <w:t xml:space="preserve"> Analysen visar att cirka 70</w:t>
      </w:r>
      <w:r w:rsidR="007F5FD5">
        <w:t> </w:t>
      </w:r>
      <w:r w:rsidRPr="00FC2616" w:rsidR="009A6413">
        <w:t xml:space="preserve">procent får sänkt skatt med Vänsterpartiets förslag, medan individer i de tre högsta </w:t>
      </w:r>
      <w:proofErr w:type="spellStart"/>
      <w:r w:rsidRPr="00FC2616" w:rsidR="009A6413">
        <w:t>inkomstdecilerna</w:t>
      </w:r>
      <w:proofErr w:type="spellEnd"/>
      <w:r w:rsidRPr="00FC2616" w:rsidR="009A6413">
        <w:t xml:space="preserve"> får höjd skatt.</w:t>
      </w:r>
    </w:p>
    <w:p w:rsidRPr="00327353" w:rsidR="009A6413" w:rsidP="00327353" w:rsidRDefault="009A6413" w14:paraId="493AB2C7" w14:textId="3132B240">
      <w:pPr>
        <w:pStyle w:val="Tabellrubrik"/>
      </w:pPr>
      <w:r w:rsidRPr="00327353">
        <w:lastRenderedPageBreak/>
        <w:t>Figur 12 Fördelningsanalys av Vänsterpartiets förslag till ändrade inkomstskatter</w:t>
      </w:r>
    </w:p>
    <w:p w:rsidRPr="00327353" w:rsidR="009A6413" w:rsidP="00327353" w:rsidRDefault="009A6413" w14:paraId="35F16E5E" w14:textId="4F94150B">
      <w:pPr>
        <w:pStyle w:val="Tabellunderrubrik"/>
      </w:pPr>
      <w:r w:rsidRPr="00327353">
        <w:t xml:space="preserve">Effekt på genomsnittlig individuell disponibel inkomst av samtliga förslag efter </w:t>
      </w:r>
      <w:proofErr w:type="spellStart"/>
      <w:r w:rsidRPr="00327353">
        <w:t>decil</w:t>
      </w:r>
      <w:proofErr w:type="spellEnd"/>
      <w:r w:rsidRPr="00327353">
        <w:t>, år 2023</w:t>
      </w:r>
    </w:p>
    <w:p w:rsidRPr="00FC2616" w:rsidR="00EB30FE" w:rsidP="009A6413" w:rsidRDefault="00EB30FE" w14:paraId="7EF834EA" w14:textId="1E7C14D1">
      <w:pPr>
        <w:ind w:firstLine="0"/>
        <w:rPr>
          <w:i/>
          <w:iCs/>
          <w:sz w:val="22"/>
          <w:szCs w:val="22"/>
        </w:rPr>
      </w:pPr>
      <w:r w:rsidRPr="00FC2616">
        <w:rPr>
          <w:noProof/>
        </w:rPr>
        <w:drawing>
          <wp:inline distT="0" distB="0" distL="0" distR="0" wp14:anchorId="57A7773D" wp14:editId="51B6A6CB">
            <wp:extent cx="5474276" cy="3402790"/>
            <wp:effectExtent l="0" t="0" r="0" b="7620"/>
            <wp:docPr id="14" name="Bildobjekt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8559" cy="3405452"/>
                    </a:xfrm>
                    <a:prstGeom prst="rect">
                      <a:avLst/>
                    </a:prstGeom>
                    <a:noFill/>
                    <a:ln>
                      <a:noFill/>
                    </a:ln>
                  </pic:spPr>
                </pic:pic>
              </a:graphicData>
            </a:graphic>
          </wp:inline>
        </w:drawing>
      </w:r>
    </w:p>
    <w:p w:rsidRPr="00FC2616" w:rsidR="009A6413" w:rsidP="009A6413" w:rsidRDefault="00EB30FE" w14:paraId="0676A24A" w14:textId="5AA36BFB">
      <w:pPr>
        <w:ind w:firstLine="0"/>
        <w:rPr>
          <w:sz w:val="20"/>
          <w:szCs w:val="20"/>
        </w:rPr>
      </w:pPr>
      <w:r w:rsidRPr="00FC2616">
        <w:rPr>
          <w:sz w:val="20"/>
          <w:szCs w:val="20"/>
        </w:rPr>
        <w:t xml:space="preserve">Källa: RUT, </w:t>
      </w:r>
      <w:r w:rsidR="00497417">
        <w:rPr>
          <w:sz w:val="20"/>
          <w:szCs w:val="20"/>
        </w:rPr>
        <w:t>d</w:t>
      </w:r>
      <w:r w:rsidRPr="00FC2616">
        <w:rPr>
          <w:sz w:val="20"/>
          <w:szCs w:val="20"/>
        </w:rPr>
        <w:t>nr 2022:1227</w:t>
      </w:r>
      <w:r w:rsidR="00497417">
        <w:rPr>
          <w:sz w:val="20"/>
          <w:szCs w:val="20"/>
        </w:rPr>
        <w:t>.</w:t>
      </w:r>
    </w:p>
    <w:p w:rsidRPr="00FC2616" w:rsidR="003258A1" w:rsidP="00327353" w:rsidRDefault="003258A1" w14:paraId="5C594F55" w14:textId="2ABCBE7A">
      <w:pPr>
        <w:pStyle w:val="Normalutanindragellerluft"/>
        <w:spacing w:before="150"/>
      </w:pPr>
      <w:r w:rsidRPr="00FC2616">
        <w:t>De som tjänar under 43</w:t>
      </w:r>
      <w:r w:rsidR="00875BFB">
        <w:t> </w:t>
      </w:r>
      <w:r w:rsidRPr="00FC2616">
        <w:t>000</w:t>
      </w:r>
      <w:r w:rsidR="00875BFB">
        <w:t> </w:t>
      </w:r>
      <w:r w:rsidRPr="00FC2616">
        <w:t>kr</w:t>
      </w:r>
      <w:r w:rsidRPr="00FC2616" w:rsidR="001A49E1">
        <w:t xml:space="preserve"> i </w:t>
      </w:r>
      <w:r w:rsidRPr="00FC2616">
        <w:t>mån</w:t>
      </w:r>
      <w:r w:rsidRPr="00FC2616" w:rsidR="001A49E1">
        <w:t>aden</w:t>
      </w:r>
      <w:r w:rsidRPr="00FC2616">
        <w:t xml:space="preserve"> får inga skattehöjningar med Vänsterpartiets förslag. </w:t>
      </w:r>
      <w:r w:rsidRPr="00FC2616" w:rsidR="00EB30FE">
        <w:t>E</w:t>
      </w:r>
      <w:r w:rsidRPr="00FC2616">
        <w:t xml:space="preserve">n person med en </w:t>
      </w:r>
      <w:r w:rsidRPr="00FC2616" w:rsidR="00EB30FE">
        <w:t>arbets</w:t>
      </w:r>
      <w:r w:rsidRPr="00FC2616">
        <w:t>inkomst på 45</w:t>
      </w:r>
      <w:r w:rsidR="00875BFB">
        <w:t> </w:t>
      </w:r>
      <w:r w:rsidRPr="00FC2616">
        <w:t>000</w:t>
      </w:r>
      <w:r w:rsidR="00875BFB">
        <w:t> </w:t>
      </w:r>
      <w:r w:rsidRPr="00FC2616">
        <w:t xml:space="preserve">kr i månaden </w:t>
      </w:r>
      <w:r w:rsidRPr="00FC2616" w:rsidR="00EB30FE">
        <w:t>får en skattehöjning på 100</w:t>
      </w:r>
      <w:r w:rsidR="00875BFB">
        <w:t> </w:t>
      </w:r>
      <w:r w:rsidRPr="00FC2616" w:rsidR="00EB30FE">
        <w:t>kr/mån</w:t>
      </w:r>
      <w:r w:rsidR="00B972BA">
        <w:t>.</w:t>
      </w:r>
      <w:r w:rsidRPr="00FC2616" w:rsidR="00EB30FE">
        <w:t xml:space="preserve"> och en person som tjänar 70</w:t>
      </w:r>
      <w:r w:rsidR="00875BFB">
        <w:t> </w:t>
      </w:r>
      <w:r w:rsidRPr="00FC2616" w:rsidR="00EB30FE">
        <w:t>000</w:t>
      </w:r>
      <w:r w:rsidR="00875BFB">
        <w:t> </w:t>
      </w:r>
      <w:r w:rsidRPr="00FC2616" w:rsidR="00EB30FE">
        <w:t>kr i månaden får en skattehöjning på 2</w:t>
      </w:r>
      <w:r w:rsidR="00875BFB">
        <w:t> </w:t>
      </w:r>
      <w:r w:rsidRPr="00FC2616" w:rsidR="00EB30FE">
        <w:t>500</w:t>
      </w:r>
      <w:r w:rsidR="00875BFB">
        <w:t> </w:t>
      </w:r>
      <w:r w:rsidRPr="00FC2616" w:rsidR="00EB30FE">
        <w:t>kr/mån.</w:t>
      </w:r>
      <w:r w:rsidRPr="00FC2616" w:rsidR="00EB30FE">
        <w:rPr>
          <w:rStyle w:val="Fotnotsreferens"/>
        </w:rPr>
        <w:footnoteReference w:id="114"/>
      </w:r>
    </w:p>
    <w:p w:rsidRPr="00FC2616" w:rsidR="003258A1" w:rsidP="00A84BDB" w:rsidRDefault="003258A1" w14:paraId="69455122" w14:textId="2AA42A54">
      <w:r w:rsidRPr="00FC2616">
        <w:t>Vänsterpartiet noterar att riksdagen har tagit till sig vårt krav om att införa en skattereduktion för a-kasseavgifter. Vänsterpartiet föreslår också att en skattereduktion på 25</w:t>
      </w:r>
      <w:r w:rsidR="005915E6">
        <w:t> </w:t>
      </w:r>
      <w:r w:rsidRPr="00FC2616">
        <w:t xml:space="preserve">procent </w:t>
      </w:r>
      <w:r w:rsidR="00B972BA">
        <w:t>för</w:t>
      </w:r>
      <w:r w:rsidRPr="00FC2616">
        <w:t xml:space="preserve"> fackföreningsavgifter införs. En skattereduktion för fackförenings</w:t>
      </w:r>
      <w:r w:rsidR="004B65BC">
        <w:softHyphen/>
      </w:r>
      <w:r w:rsidRPr="00FC2616">
        <w:t>avgift</w:t>
      </w:r>
      <w:r w:rsidR="00B972BA">
        <w:t>er</w:t>
      </w:r>
      <w:r w:rsidRPr="00FC2616">
        <w:t xml:space="preserve"> sänker kostnaden för fackligt medlemskap och möjliggör för fler att gå med i facket, vilket kan leda till </w:t>
      </w:r>
      <w:r w:rsidR="00B972BA">
        <w:t xml:space="preserve">en </w:t>
      </w:r>
      <w:r w:rsidRPr="00FC2616">
        <w:t>högre organisationsgrad och en högre facklig närvaro. Därmed kan den svenska arbetsmarknadsmodellen stärkas</w:t>
      </w:r>
      <w:r w:rsidRPr="00FC2616" w:rsidR="00094FAE">
        <w:t>,</w:t>
      </w:r>
      <w:r w:rsidRPr="00FC2616">
        <w:t xml:space="preserve"> som historiskt tjänat såväl löntagarkollektivet som samhällsekonomin väl. </w:t>
      </w:r>
    </w:p>
    <w:p w:rsidRPr="00BF5F83" w:rsidR="003258A1" w:rsidP="00BF5F83" w:rsidRDefault="003258A1" w14:paraId="622B3984" w14:textId="77777777">
      <w:pPr>
        <w:pStyle w:val="Normalutanindragellerluft"/>
        <w:spacing w:before="240"/>
        <w:rPr>
          <w:b/>
          <w:bCs/>
        </w:rPr>
      </w:pPr>
      <w:r w:rsidRPr="00BF5F83">
        <w:rPr>
          <w:b/>
          <w:bCs/>
        </w:rPr>
        <w:t>Vänsterpartiets förslag:</w:t>
      </w:r>
    </w:p>
    <w:p w:rsidRPr="00FC2616" w:rsidR="003258A1" w:rsidP="00327353" w:rsidRDefault="003258A1" w14:paraId="2F4A7045" w14:textId="72C24E3D">
      <w:pPr>
        <w:pStyle w:val="ListaPunkt"/>
        <w:ind w:left="340" w:hanging="340"/>
      </w:pPr>
      <w:r w:rsidRPr="00FC2616">
        <w:t>En ny rättviseskatt på inkomster över 62</w:t>
      </w:r>
      <w:r w:rsidR="008301A5">
        <w:t> </w:t>
      </w:r>
      <w:r w:rsidRPr="00FC2616">
        <w:t>000</w:t>
      </w:r>
      <w:r w:rsidR="008301A5">
        <w:t> </w:t>
      </w:r>
      <w:r w:rsidRPr="00FC2616">
        <w:t>kr/månad.</w:t>
      </w:r>
    </w:p>
    <w:p w:rsidRPr="00FC2616" w:rsidR="003258A1" w:rsidP="00327353" w:rsidRDefault="003258A1" w14:paraId="55C1CF72" w14:textId="77777777">
      <w:pPr>
        <w:pStyle w:val="ListaPunkt"/>
        <w:ind w:left="340" w:hanging="340"/>
      </w:pPr>
      <w:r w:rsidRPr="00FC2616">
        <w:t>Avtrappat jobbskatteavdrag.</w:t>
      </w:r>
    </w:p>
    <w:p w:rsidRPr="00FC2616" w:rsidR="003258A1" w:rsidP="00327353" w:rsidRDefault="003258A1" w14:paraId="07403417" w14:textId="77777777">
      <w:pPr>
        <w:pStyle w:val="ListaPunkt"/>
        <w:ind w:left="340" w:hanging="340"/>
      </w:pPr>
      <w:r w:rsidRPr="00FC2616">
        <w:t>Tillfälligt oförändrad skiktgräns för statlig inkomstskatt.</w:t>
      </w:r>
    </w:p>
    <w:p w:rsidRPr="00FC2616" w:rsidR="003258A1" w:rsidP="00327353" w:rsidRDefault="003258A1" w14:paraId="451B0A81" w14:textId="345648CF">
      <w:pPr>
        <w:pStyle w:val="ListaPunkt"/>
        <w:ind w:left="340" w:hanging="340"/>
      </w:pPr>
      <w:r w:rsidRPr="00FC2616">
        <w:t>Lika skatt på lika inkomst, vilket innebär sänkt skatt för sjuka, arbetslösa m.fl.</w:t>
      </w:r>
    </w:p>
    <w:p w:rsidRPr="00FC2616" w:rsidR="009A6413" w:rsidP="00327353" w:rsidRDefault="009A6413" w14:paraId="6D33F4AE" w14:textId="23B6A2DD">
      <w:pPr>
        <w:pStyle w:val="ListaPunkt"/>
        <w:ind w:left="340" w:hanging="340"/>
      </w:pPr>
      <w:r w:rsidRPr="00FC2616">
        <w:t xml:space="preserve">Nej till regeringens förslag om </w:t>
      </w:r>
      <w:r w:rsidR="008301A5">
        <w:t xml:space="preserve">ett </w:t>
      </w:r>
      <w:r w:rsidRPr="00FC2616">
        <w:t>förstärkt jobbskatteavdrag för äldre</w:t>
      </w:r>
      <w:r w:rsidR="008301A5">
        <w:t>.</w:t>
      </w:r>
    </w:p>
    <w:p w:rsidRPr="00FC2616" w:rsidR="003258A1" w:rsidP="00327353" w:rsidRDefault="003258A1" w14:paraId="03A0A697" w14:textId="6BB7516F">
      <w:pPr>
        <w:pStyle w:val="ListaPunkt"/>
        <w:ind w:left="340" w:hanging="340"/>
      </w:pPr>
      <w:r w:rsidRPr="00FC2616">
        <w:t>Skattereduktion för avgift till fackförening.</w:t>
      </w:r>
    </w:p>
    <w:p w:rsidRPr="00FC2616" w:rsidR="003258A1" w:rsidP="00B50CBA" w:rsidRDefault="003258A1" w14:paraId="45239AFD" w14:textId="4C635D47">
      <w:pPr>
        <w:pStyle w:val="Rubrik3numrerat"/>
      </w:pPr>
      <w:bookmarkStart w:name="_Toc149814597" w:id="224"/>
      <w:r w:rsidRPr="00FC2616">
        <w:t>R</w:t>
      </w:r>
      <w:r w:rsidR="00497417">
        <w:t>ut</w:t>
      </w:r>
      <w:r w:rsidRPr="00FC2616">
        <w:t xml:space="preserve"> och </w:t>
      </w:r>
      <w:r w:rsidR="00497417">
        <w:t>rot</w:t>
      </w:r>
      <w:bookmarkEnd w:id="224"/>
    </w:p>
    <w:p w:rsidRPr="00FC2616" w:rsidR="003258A1" w:rsidP="003258A1" w:rsidRDefault="003258A1" w14:paraId="01FDB53B" w14:textId="76F8A22B">
      <w:pPr>
        <w:pStyle w:val="Normalutanindragellerluft"/>
      </w:pPr>
      <w:r w:rsidRPr="00FC2616">
        <w:t xml:space="preserve">Avdragen för s.k. </w:t>
      </w:r>
      <w:r w:rsidR="00497417">
        <w:t>rut</w:t>
      </w:r>
      <w:r w:rsidRPr="00FC2616">
        <w:t xml:space="preserve">- och </w:t>
      </w:r>
      <w:r w:rsidR="00497417">
        <w:t>rot</w:t>
      </w:r>
      <w:r w:rsidRPr="00FC2616">
        <w:t>tjänster är ytterligare exempel på skattereduktioner på inkomstskatteområdet. Skattereduktion</w:t>
      </w:r>
      <w:r w:rsidR="00D121AE">
        <w:t>en</w:t>
      </w:r>
      <w:r w:rsidRPr="00FC2616">
        <w:t xml:space="preserve"> för hushållsnära tjänster, det </w:t>
      </w:r>
      <w:r w:rsidRPr="00FC2616" w:rsidR="00726201">
        <w:t>s.k.</w:t>
      </w:r>
      <w:r w:rsidRPr="00FC2616">
        <w:t xml:space="preserve"> </w:t>
      </w:r>
      <w:r w:rsidR="00497417">
        <w:t>rut</w:t>
      </w:r>
      <w:r w:rsidRPr="00FC2616">
        <w:t xml:space="preserve">avdraget, innebär att den som köper hushållsnära tjänster kan göra avdrag från sin skatt för </w:t>
      </w:r>
      <w:r w:rsidRPr="00FC2616">
        <w:lastRenderedPageBreak/>
        <w:t>50</w:t>
      </w:r>
      <w:r w:rsidR="00497417">
        <w:t> </w:t>
      </w:r>
      <w:r w:rsidRPr="00FC2616">
        <w:t>procent av arbetskostnaden för ett antal tjänster utförda i en bostad. Vänsterpartiet har inget emot hushållsnära tjänster. Det vi vänder oss emot är att dessa ska skatte</w:t>
      </w:r>
      <w:r w:rsidR="004B65BC">
        <w:softHyphen/>
      </w:r>
      <w:r w:rsidRPr="00FC2616">
        <w:t>subventioneras. Riksrevisionen visar att 40</w:t>
      </w:r>
      <w:r w:rsidR="00497417">
        <w:t> </w:t>
      </w:r>
      <w:r w:rsidRPr="00FC2616">
        <w:t>procent av det totala rutavdragsbeloppet 2017 gick till den tiondel av befolkningen som har de högsta inkomsterna.</w:t>
      </w:r>
      <w:r w:rsidRPr="00FC2616">
        <w:rPr>
          <w:rStyle w:val="Fotnotsreferens"/>
        </w:rPr>
        <w:footnoteReference w:id="115"/>
      </w:r>
      <w:r w:rsidRPr="00FC2616">
        <w:t xml:space="preserve"> Det innebär i praktiken att låg- och medelinkomsttagare subventionerar höginkomsttagares städhjälp. Detta är inte bara orimligt och orättfärdigt, utan det är också ett slöseri med skattebetalarnas pengar. Vänsterpartiet föreslår därför att </w:t>
      </w:r>
      <w:r w:rsidR="00497417">
        <w:t>rut</w:t>
      </w:r>
      <w:r w:rsidRPr="00FC2616">
        <w:t>avdraget avskaffas. Detta beräknas stärka statskassan med cirka 8</w:t>
      </w:r>
      <w:r w:rsidR="008C180C">
        <w:t> </w:t>
      </w:r>
      <w:r w:rsidRPr="00FC2616">
        <w:t>miljarder kronor per år, vilket motsvarar den totala lönekostnaden för knappt 15</w:t>
      </w:r>
      <w:r w:rsidRPr="00FC2616" w:rsidR="00C7439A">
        <w:t> </w:t>
      </w:r>
      <w:r w:rsidRPr="00FC2616">
        <w:t>000 undersköterskor inom äldreomsorgen.</w:t>
      </w:r>
      <w:r w:rsidRPr="00FC2616">
        <w:rPr>
          <w:rStyle w:val="Fotnotsreferens"/>
        </w:rPr>
        <w:footnoteReference w:id="116"/>
      </w:r>
      <w:r w:rsidRPr="00FC2616">
        <w:t xml:space="preserve"> </w:t>
      </w:r>
    </w:p>
    <w:p w:rsidRPr="00FC2616" w:rsidR="003258A1" w:rsidP="00A84BDB" w:rsidRDefault="003258A1" w14:paraId="7D1E3953" w14:textId="3B723AAA">
      <w:r w:rsidRPr="00FC2616">
        <w:t xml:space="preserve">Av samma skäl är vi emot skattereduktionen för renovering, ombyggnad och tillbyggnad (det s.k. </w:t>
      </w:r>
      <w:r w:rsidR="00497417">
        <w:t>rot</w:t>
      </w:r>
      <w:r w:rsidRPr="00FC2616">
        <w:t>avdraget). Det kan i vissa lägen vara lämpligt som konjunktur</w:t>
      </w:r>
      <w:r w:rsidR="004B65BC">
        <w:softHyphen/>
      </w:r>
      <w:r w:rsidRPr="00FC2616">
        <w:t xml:space="preserve">åtgärd, men inte som en permanent skattereduktion. </w:t>
      </w:r>
      <w:proofErr w:type="spellStart"/>
      <w:r w:rsidRPr="00FC2616">
        <w:t>R</w:t>
      </w:r>
      <w:r w:rsidR="00497417">
        <w:t>ot</w:t>
      </w:r>
      <w:r w:rsidRPr="00FC2616">
        <w:t>avdraget</w:t>
      </w:r>
      <w:proofErr w:type="spellEnd"/>
      <w:r w:rsidRPr="00FC2616">
        <w:t xml:space="preserve"> har också ändrat karaktär till att i mångt och mycket subventionera dyra köksrenoveringar m.m. när det gått ifrån att vara en konjunkturåtgärd till att bli en permanent skattesubvention. I jämlikhetskommissionens rapport konstateras att argumenten för att behålla rotavdraget är svaga.</w:t>
      </w:r>
      <w:r w:rsidRPr="00FC2616">
        <w:rPr>
          <w:rStyle w:val="Fotnotsreferens"/>
        </w:rPr>
        <w:footnoteReference w:id="117"/>
      </w:r>
      <w:r w:rsidRPr="00FC2616">
        <w:t xml:space="preserve"> Det finns inget behov av ett permanent branschstöd till byggsektorn. Samtidigt kan vi konstatera att arbetslösheten ser ut att bita sig fast på höga nivåer, samtidigt som konjunkturen viker. Vänsterpartiet föreslår därför att </w:t>
      </w:r>
      <w:r w:rsidR="008C180C">
        <w:t>rot</w:t>
      </w:r>
      <w:r w:rsidRPr="00FC2616">
        <w:t>avdraget behålls under de närmaste fyra åren, men att taket för hur mycket man får dra av halveras.</w:t>
      </w:r>
    </w:p>
    <w:p w:rsidRPr="00BF5F83" w:rsidR="003258A1" w:rsidP="00BF5F83" w:rsidRDefault="003258A1" w14:paraId="4C49AE02" w14:textId="77777777">
      <w:pPr>
        <w:pStyle w:val="Normalutanindragellerluft"/>
        <w:spacing w:before="240"/>
        <w:rPr>
          <w:b/>
          <w:bCs/>
        </w:rPr>
      </w:pPr>
      <w:r w:rsidRPr="00BF5F83">
        <w:rPr>
          <w:b/>
          <w:bCs/>
        </w:rPr>
        <w:t>Vänsterpartiets förslag:</w:t>
      </w:r>
    </w:p>
    <w:p w:rsidRPr="00FC2616" w:rsidR="003258A1" w:rsidP="00BF5F83" w:rsidRDefault="003258A1" w14:paraId="41A56508" w14:textId="2344D11D">
      <w:pPr>
        <w:pStyle w:val="ListaPunkt"/>
        <w:ind w:left="340" w:hanging="340"/>
      </w:pPr>
      <w:r w:rsidRPr="00FC2616">
        <w:t xml:space="preserve">Avskaffa </w:t>
      </w:r>
      <w:r w:rsidR="00497417">
        <w:t>rut</w:t>
      </w:r>
      <w:r w:rsidRPr="00FC2616">
        <w:t>avdraget.</w:t>
      </w:r>
    </w:p>
    <w:p w:rsidRPr="00FC2616" w:rsidR="003258A1" w:rsidP="00BF5F83" w:rsidRDefault="003258A1" w14:paraId="0121C9BD" w14:textId="526FD118">
      <w:pPr>
        <w:pStyle w:val="ListaPunkt"/>
        <w:ind w:left="340" w:hanging="340"/>
      </w:pPr>
      <w:r w:rsidRPr="00FC2616">
        <w:t xml:space="preserve">Behåll </w:t>
      </w:r>
      <w:r w:rsidR="00497417">
        <w:t>rot</w:t>
      </w:r>
      <w:r w:rsidRPr="00FC2616">
        <w:t xml:space="preserve">avdraget under en 4-årsperiod som en konjunkturåtgärd (med sänkt tak), men avskaffa </w:t>
      </w:r>
      <w:r w:rsidR="00497417">
        <w:t>rot</w:t>
      </w:r>
      <w:r w:rsidRPr="00FC2616">
        <w:t>avdraget som en permanent skattesubvention.</w:t>
      </w:r>
    </w:p>
    <w:p w:rsidRPr="00FC2616" w:rsidR="003258A1" w:rsidP="00B50CBA" w:rsidRDefault="003258A1" w14:paraId="0845055F" w14:textId="77777777">
      <w:pPr>
        <w:pStyle w:val="Rubrik3numrerat"/>
      </w:pPr>
      <w:bookmarkStart w:name="_Toc149814598" w:id="225"/>
      <w:r w:rsidRPr="00FC2616">
        <w:t>Sociala avgifter</w:t>
      </w:r>
      <w:bookmarkEnd w:id="225"/>
    </w:p>
    <w:p w:rsidRPr="00FC2616" w:rsidR="003258A1" w:rsidP="003258A1" w:rsidRDefault="003258A1" w14:paraId="5AEBB958" w14:textId="0A0F918C">
      <w:pPr>
        <w:pStyle w:val="Normalutanindragellerluft"/>
      </w:pPr>
      <w:r w:rsidRPr="00FC2616">
        <w:t>Arbetsgivaravgifterna utgör cirka 27</w:t>
      </w:r>
      <w:r w:rsidR="00297B2D">
        <w:t> </w:t>
      </w:r>
      <w:r w:rsidRPr="00FC2616">
        <w:t>procent av de totala skatteintäkterna. Den generella arbetsgivaravgiftssatsen är 31,42</w:t>
      </w:r>
      <w:r w:rsidR="00297B2D">
        <w:t> </w:t>
      </w:r>
      <w:r w:rsidRPr="00FC2616">
        <w:t xml:space="preserve">procent. Även på detta område finns </w:t>
      </w:r>
      <w:r w:rsidR="001351A7">
        <w:t xml:space="preserve">det </w:t>
      </w:r>
      <w:r w:rsidRPr="00FC2616">
        <w:t>i</w:t>
      </w:r>
      <w:r w:rsidRPr="00FC2616" w:rsidR="00004126">
        <w:t xml:space="preserve"> </w:t>
      </w:r>
      <w:r w:rsidRPr="00FC2616">
        <w:t xml:space="preserve">dag en stor mängd undantag. Både unga och äldre i vissa åldersgrupper omfattas av nedsatta arbetsgivaravgifter, liksom personer som arbetar med forskning och utveckling, personer som bor i vissa stödområden och vissa enmansföretag. </w:t>
      </w:r>
    </w:p>
    <w:p w:rsidRPr="00FC2616" w:rsidR="003258A1" w:rsidP="00AE022D" w:rsidRDefault="003258A1" w14:paraId="20325447" w14:textId="0A9727B5">
      <w:r w:rsidRPr="00FC2616">
        <w:t>Nedsatta arbetsgivaravgifter har blivit ett populärt politiskt verktyg för att signalera olika typer av satsningar. Utvärderingar av nedsatta arbetsgivaravgifter visar att effekterna på sysselsättningen är små eller obefintliga. Som exempel kan nämnas den nedsättning av arbetsgivaravgifterna med drygt 10</w:t>
      </w:r>
      <w:r w:rsidR="00891557">
        <w:t> </w:t>
      </w:r>
      <w:r w:rsidRPr="00FC2616">
        <w:t>procentenheter för personer i åldern 19–25</w:t>
      </w:r>
      <w:r w:rsidR="00891557">
        <w:t> </w:t>
      </w:r>
      <w:r w:rsidRPr="00FC2616">
        <w:t>år som regeringen Reinfeldt genomförde. Institutet för arbetsmarknads- och utbildningspolitisk utvärdering (IFAU) kom i sin utvärdering av reformen fram till att intäktsbortfallet per jobb av sänkningen uppgick till mellan 1</w:t>
      </w:r>
      <w:r w:rsidR="00605F48">
        <w:t xml:space="preserve"> och </w:t>
      </w:r>
      <w:r w:rsidRPr="00FC2616">
        <w:t>1,6</w:t>
      </w:r>
      <w:r w:rsidR="00605F48">
        <w:t> </w:t>
      </w:r>
      <w:r w:rsidRPr="00FC2616">
        <w:t>miljoner kronor, vilket då var omkring fyra gånger högre än den genomsnittliga anställningskostnaden för 19–25-åringar.</w:t>
      </w:r>
      <w:r w:rsidRPr="00FC2616">
        <w:rPr>
          <w:rStyle w:val="Fotnotsreferens"/>
        </w:rPr>
        <w:footnoteReference w:id="118"/>
      </w:r>
      <w:r w:rsidRPr="00FC2616">
        <w:t xml:space="preserve"> Den största effekten av skattesänkningen blir ökade vinster för företag med en stor andel unga arbetstagare.</w:t>
      </w:r>
    </w:p>
    <w:p w:rsidRPr="00FC2616" w:rsidR="003258A1" w:rsidP="00004126" w:rsidRDefault="003258A1" w14:paraId="06E3C225" w14:textId="1C7A9F74">
      <w:r w:rsidRPr="00FC2616">
        <w:lastRenderedPageBreak/>
        <w:t>Stöd till verksamheter och politikområden sker mest effektivt på utgiftssidan. Arbetsgivaravgifterna ska användas för att finansiera offentlig verksamhet och</w:t>
      </w:r>
      <w:r w:rsidRPr="00FC2616" w:rsidR="00004126">
        <w:t xml:space="preserve"> </w:t>
      </w:r>
      <w:r w:rsidRPr="00FC2616">
        <w:t>offentliga försäkringar</w:t>
      </w:r>
      <w:r w:rsidRPr="00FC2616" w:rsidR="00FC0BA7">
        <w:t>.</w:t>
      </w:r>
      <w:r w:rsidRPr="00FC2616">
        <w:t xml:space="preserve"> Vänsterpartiet anser därför att dagens nedsättningar och undantag ska begränsas.</w:t>
      </w:r>
    </w:p>
    <w:p w:rsidRPr="00BF5F83" w:rsidR="003258A1" w:rsidP="00BF5F83" w:rsidRDefault="003258A1" w14:paraId="7359BDCF" w14:textId="77777777">
      <w:pPr>
        <w:pStyle w:val="Normalutanindragellerluft"/>
        <w:spacing w:before="240"/>
        <w:rPr>
          <w:b/>
          <w:bCs/>
        </w:rPr>
      </w:pPr>
      <w:r w:rsidRPr="00BF5F83">
        <w:rPr>
          <w:b/>
          <w:bCs/>
        </w:rPr>
        <w:t>Vänsterpartiet föreslår att följande nedsättningar avskaffas:</w:t>
      </w:r>
    </w:p>
    <w:p w:rsidRPr="00FC2616" w:rsidR="003258A1" w:rsidP="00327353" w:rsidRDefault="003258A1" w14:paraId="54D393A7" w14:textId="6B515D53">
      <w:pPr>
        <w:pStyle w:val="ListaPunkt"/>
        <w:ind w:left="340" w:hanging="340"/>
      </w:pPr>
      <w:r w:rsidRPr="00FC2616">
        <w:t xml:space="preserve">Sänkta arbetsgivaravgifter för personer </w:t>
      </w:r>
      <w:r w:rsidR="00605F48">
        <w:t xml:space="preserve">som är </w:t>
      </w:r>
      <w:r w:rsidRPr="00FC2616">
        <w:t>19–23</w:t>
      </w:r>
      <w:r w:rsidR="00605F48">
        <w:t> </w:t>
      </w:r>
      <w:r w:rsidRPr="00FC2616">
        <w:t>år</w:t>
      </w:r>
      <w:r w:rsidR="00605F48">
        <w:t>.</w:t>
      </w:r>
      <w:r w:rsidRPr="00FC2616">
        <w:rPr>
          <w:rStyle w:val="Fotnotsreferens"/>
        </w:rPr>
        <w:footnoteReference w:id="119"/>
      </w:r>
      <w:r w:rsidRPr="00FC2616">
        <w:t xml:space="preserve"> </w:t>
      </w:r>
    </w:p>
    <w:p w:rsidRPr="00FC2616" w:rsidR="003258A1" w:rsidP="00327353" w:rsidRDefault="003258A1" w14:paraId="53D44568" w14:textId="5CD5E61D">
      <w:pPr>
        <w:pStyle w:val="ListaPunkt"/>
        <w:ind w:left="340" w:hanging="340"/>
      </w:pPr>
      <w:r w:rsidRPr="00FC2616">
        <w:t>Sänkta arbetsgivaravgifter för unga (15–18</w:t>
      </w:r>
      <w:r w:rsidR="00605F48">
        <w:t> </w:t>
      </w:r>
      <w:r w:rsidRPr="00FC2616">
        <w:t>år)</w:t>
      </w:r>
      <w:r w:rsidR="00605F48">
        <w:t>.</w:t>
      </w:r>
    </w:p>
    <w:p w:rsidRPr="00FC2616" w:rsidR="003258A1" w:rsidP="00327353" w:rsidRDefault="003258A1" w14:paraId="11779B86" w14:textId="5DF0D6CB">
      <w:pPr>
        <w:pStyle w:val="ListaPunkt"/>
        <w:ind w:left="340" w:hanging="340"/>
      </w:pPr>
      <w:r w:rsidRPr="00FC2616">
        <w:t>Nedsättning av arbetsgivaravgifter för personer som arbetar med FoU</w:t>
      </w:r>
      <w:r w:rsidR="00605F48">
        <w:t>.</w:t>
      </w:r>
    </w:p>
    <w:p w:rsidRPr="00FC2616" w:rsidR="003258A1" w:rsidP="00327353" w:rsidRDefault="003258A1" w14:paraId="34961702" w14:textId="7B6D04A1">
      <w:pPr>
        <w:pStyle w:val="ListaPunkt"/>
        <w:ind w:left="340" w:hanging="340"/>
      </w:pPr>
      <w:r w:rsidRPr="00FC2616">
        <w:t>Nedsättning av arbetsgivaravgifter för den först anställda</w:t>
      </w:r>
      <w:r w:rsidR="00605F48">
        <w:t>.</w:t>
      </w:r>
    </w:p>
    <w:p w:rsidRPr="00FC2616" w:rsidR="002C5F5D" w:rsidP="00B50CBA" w:rsidRDefault="002C5F5D" w14:paraId="35CD6F7F" w14:textId="467A5101">
      <w:pPr>
        <w:pStyle w:val="Rubrik3numrerat"/>
      </w:pPr>
      <w:bookmarkStart w:name="_Toc149814599" w:id="226"/>
      <w:r w:rsidRPr="00FC2616">
        <w:rPr>
          <w:lang w:eastAsia="sv-SE"/>
        </w:rPr>
        <w:t>Ränteavdragen</w:t>
      </w:r>
      <w:r w:rsidRPr="00FC2616">
        <w:t xml:space="preserve"> och kreditrestriktionerna för bolånetagarna</w:t>
      </w:r>
      <w:bookmarkEnd w:id="226"/>
    </w:p>
    <w:bookmarkEnd w:id="217"/>
    <w:p w:rsidRPr="00FC2616" w:rsidR="002C5F5D" w:rsidP="002C5F5D" w:rsidRDefault="002C5F5D" w14:paraId="054F1610" w14:textId="12558204">
      <w:pPr>
        <w:pStyle w:val="Normalutanindragellerluft"/>
      </w:pPr>
      <w:r w:rsidRPr="00FC2616">
        <w:t xml:space="preserve">Ett annat område som behöver reformeras är ränteavdragen. Ränteutgifter ingår i kapitalförluster. Kapitalförluster får kvittas mot kapitalinkomster och kapitalvinster. Avdragsrätten för ränteutgifter gäller för alla typer av lån, både blancolån och bostadslån. Den som har kapitalutgifter som överstiger kapitalinkomsterna kan få </w:t>
      </w:r>
      <w:r w:rsidR="00902102">
        <w:t xml:space="preserve">en </w:t>
      </w:r>
      <w:r w:rsidRPr="00FC2616">
        <w:t>skattereduktion på upp till 30</w:t>
      </w:r>
      <w:r w:rsidR="00D304E6">
        <w:t> </w:t>
      </w:r>
      <w:r w:rsidRPr="00FC2616">
        <w:t>procent av räntebeloppet. För ränteutgifter upp till 100</w:t>
      </w:r>
      <w:r w:rsidRPr="00FC2616" w:rsidR="00394B6B">
        <w:t> </w:t>
      </w:r>
      <w:r w:rsidRPr="00FC2616">
        <w:t>000 kronor kan avdrag göras med 30</w:t>
      </w:r>
      <w:r w:rsidR="00D304E6">
        <w:t> </w:t>
      </w:r>
      <w:r w:rsidRPr="00FC2616">
        <w:t>procent.</w:t>
      </w:r>
      <w:r w:rsidRPr="00FC2616">
        <w:rPr>
          <w:rStyle w:val="Fotnotsreferens"/>
        </w:rPr>
        <w:footnoteReference w:id="120"/>
      </w:r>
      <w:r w:rsidRPr="00FC2616">
        <w:t xml:space="preserve"> Den stora delen av underskott av kapital utgörs av räntor på bostadslån. </w:t>
      </w:r>
    </w:p>
    <w:p w:rsidRPr="00FC2616" w:rsidR="002C5F5D" w:rsidP="00AE022D" w:rsidRDefault="002C5F5D" w14:paraId="236FBCC6" w14:textId="2EBFE6E5">
      <w:bookmarkStart w:name="_Hlk117252224" w:id="227"/>
      <w:r w:rsidRPr="00FC2616">
        <w:t>Innan avskaffandet av den gamla fastighetsskatten fanns det en logik med dagens ränteavdrag på 30</w:t>
      </w:r>
      <w:r w:rsidR="00D304E6">
        <w:t> </w:t>
      </w:r>
      <w:r w:rsidRPr="00FC2616">
        <w:t>procent. Då gick det att hävda att även fastigheter beskattades med 30</w:t>
      </w:r>
      <w:r w:rsidR="00D304E6">
        <w:t> </w:t>
      </w:r>
      <w:r w:rsidRPr="00FC2616">
        <w:t>procent (via taxeringsvärden och fastighetsskatten). Det fanns då en symmetri i beskattningen genom att kapitalinkomster beskattades med 30</w:t>
      </w:r>
      <w:r w:rsidR="00D304E6">
        <w:t> </w:t>
      </w:r>
      <w:r w:rsidRPr="00FC2616">
        <w:t>procent samtidigt som man fick göra avdrag för kapitalutgifter med 30</w:t>
      </w:r>
      <w:r w:rsidR="00D304E6">
        <w:t> </w:t>
      </w:r>
      <w:r w:rsidRPr="00FC2616">
        <w:t>procent. Vänsterpartiets förslag till ny fastighetsskatt är dock tämligen modest och den faktiska skattenivån i förslaget är inte i närheten av 30</w:t>
      </w:r>
      <w:r w:rsidR="00D304E6">
        <w:t> </w:t>
      </w:r>
      <w:r w:rsidRPr="00FC2616">
        <w:t>procent. Det blir då rimligt att minska ränteavdragen. Vänsterpartiet föreslår att ränteavdragen trappas ned med 5</w:t>
      </w:r>
      <w:r w:rsidR="00D304E6">
        <w:t> </w:t>
      </w:r>
      <w:r w:rsidRPr="00FC2616">
        <w:t>procentenheter under en 3</w:t>
      </w:r>
      <w:r w:rsidR="00902102">
        <w:t>-</w:t>
      </w:r>
      <w:r w:rsidRPr="00FC2616">
        <w:t>årsperiod. Vi väljer att tidigast börja avtrappning</w:t>
      </w:r>
      <w:r w:rsidR="00902102">
        <w:t>en</w:t>
      </w:r>
      <w:r w:rsidRPr="00FC2616">
        <w:t xml:space="preserve"> 2025, detta då många hushåll i dagsläget är pressade av stigande räntekostnader och hög inflation. </w:t>
      </w:r>
    </w:p>
    <w:bookmarkEnd w:id="227"/>
    <w:p w:rsidRPr="00FC2616" w:rsidR="00BB6339" w:rsidP="00AE022D" w:rsidRDefault="002C5F5D" w14:paraId="1DB4CAB4" w14:textId="525EEEF7">
      <w:r w:rsidRPr="00FC2616">
        <w:t>Sverige har mycket strama kreditrestriktioner för bolån. För det första finns det s.k. bolånetaket, som innebär att man som mest får ha ett bolån som motsvarar 85</w:t>
      </w:r>
      <w:r w:rsidR="00154348">
        <w:t> </w:t>
      </w:r>
      <w:r w:rsidRPr="00FC2616">
        <w:t xml:space="preserve">procent av värdet på </w:t>
      </w:r>
      <w:r w:rsidRPr="00FC2616" w:rsidR="00DD2D02">
        <w:t>s</w:t>
      </w:r>
      <w:r w:rsidRPr="00FC2616">
        <w:t>in bostad. Resten behöver man betala med en kontantinsats. Därutöver finns amorteringskravet. Det innebär att man ska amortera 1</w:t>
      </w:r>
      <w:r w:rsidR="00115747">
        <w:t> </w:t>
      </w:r>
      <w:r w:rsidRPr="00FC2616">
        <w:t>procent av lånet per år om belåningsgraden är mellan 50 och 70</w:t>
      </w:r>
      <w:r w:rsidR="00D304E6">
        <w:t> </w:t>
      </w:r>
      <w:r w:rsidRPr="00FC2616">
        <w:t>procent. Om belåningsgraden är över 70</w:t>
      </w:r>
      <w:r w:rsidR="00D304E6">
        <w:t> </w:t>
      </w:r>
      <w:r w:rsidRPr="00FC2616">
        <w:t>procent ska man amortera 2</w:t>
      </w:r>
      <w:r w:rsidR="00D304E6">
        <w:t> </w:t>
      </w:r>
      <w:r w:rsidRPr="00FC2616">
        <w:t xml:space="preserve">procent per år. Sedan finns </w:t>
      </w:r>
      <w:r w:rsidR="00115747">
        <w:t xml:space="preserve">det </w:t>
      </w:r>
      <w:r w:rsidRPr="00FC2616">
        <w:t>ytterligare en regel som säger att om lånet är större än 4,5</w:t>
      </w:r>
      <w:r w:rsidR="00D304E6">
        <w:t> </w:t>
      </w:r>
      <w:r w:rsidRPr="00FC2616">
        <w:t xml:space="preserve">gånger vad man tjänar per år, </w:t>
      </w:r>
      <w:r w:rsidR="006818CE">
        <w:t>före</w:t>
      </w:r>
      <w:r w:rsidRPr="00FC2616">
        <w:t xml:space="preserve"> skatt, så ska man amortera ytterligare 1</w:t>
      </w:r>
      <w:r w:rsidR="006818CE">
        <w:t> </w:t>
      </w:r>
      <w:r w:rsidRPr="00FC2616">
        <w:t>procentenhet per år.</w:t>
      </w:r>
      <w:r w:rsidRPr="00FC2616">
        <w:rPr>
          <w:rStyle w:val="Fotnotsreferens"/>
        </w:rPr>
        <w:footnoteReference w:id="121"/>
      </w:r>
      <w:r w:rsidRPr="00FC2616">
        <w:t xml:space="preserve"> Den sammantagna effekten av dessa krav är mycket kännbara för många bolånekunder. Kraven försvårar påtagligt förstagångsköpares möjligheter att ta sig in på bolånemarknaden. När nu räntorna och priserna stiger blir situationen för Sveriges bolånetagare än mer pressad. Vänsterpartiet kräver därför att regeringen </w:t>
      </w:r>
      <w:r w:rsidRPr="00FC2616" w:rsidR="00502655">
        <w:t>skyndsamt</w:t>
      </w:r>
      <w:r w:rsidRPr="00FC2616">
        <w:t xml:space="preserve"> gör en samlad översyn av </w:t>
      </w:r>
      <w:r w:rsidR="00D749CC">
        <w:t xml:space="preserve">de </w:t>
      </w:r>
      <w:r w:rsidRPr="00FC2616">
        <w:t>kreditrestriktioner som är riktade mot de svenska bolånetagarna.</w:t>
      </w:r>
    </w:p>
    <w:p w:rsidRPr="00FC2616" w:rsidR="00E653D5" w:rsidP="009B27C4" w:rsidRDefault="00FE09F2" w14:paraId="172ED7E6" w14:textId="77777777">
      <w:pPr>
        <w:pStyle w:val="Rubrik2numrerat"/>
      </w:pPr>
      <w:bookmarkStart w:name="_Toc149814600" w:id="228"/>
      <w:r w:rsidRPr="00FC2616">
        <w:lastRenderedPageBreak/>
        <w:t>Miljöskatter</w:t>
      </w:r>
      <w:bookmarkEnd w:id="228"/>
    </w:p>
    <w:p w:rsidRPr="00FC2616" w:rsidR="00E653D5" w:rsidP="00E653D5" w:rsidRDefault="00E653D5" w14:paraId="3135DE96" w14:textId="10384200">
      <w:pPr>
        <w:pStyle w:val="Normalutanindragellerluft"/>
      </w:pPr>
      <w:r w:rsidRPr="00FC2616">
        <w:t xml:space="preserve">Klimatförändringarna är ett akut hot </w:t>
      </w:r>
      <w:r w:rsidR="00E2255A">
        <w:t>mot</w:t>
      </w:r>
      <w:r w:rsidRPr="00FC2616">
        <w:t xml:space="preserve"> människans framtida livsmöjligheter. I kapitel </w:t>
      </w:r>
      <w:r w:rsidRPr="00FC2616" w:rsidR="00994AC1">
        <w:t>10</w:t>
      </w:r>
      <w:r w:rsidRPr="00FC2616">
        <w:t xml:space="preserve"> redovisar vi vår politik för den gröna omställning av ekonomin som snabbt måste komma på plats. Reformeringen av miljö- och klimatskatter bör ske inom ramen för en samlad och genomtänkt miljöpolitik. Sveriges territoriella klimatutsläpp är med ca</w:t>
      </w:r>
      <w:r w:rsidR="00E2255A">
        <w:t> </w:t>
      </w:r>
      <w:r w:rsidRPr="00FC2616">
        <w:t>1/3 vardera koncentrerad till industrin och inrikes transporter. Det är således dessa två områden som behöver stå i centrum om Sverige ska klara av att nå sina höga klimatmål. För att klimat- och miljöpolitiken ska få ett brett folkligt stöd måste den också ha en god fördelningsprofil, som tar hänsyn till människors olika ekonomiska förmåga och alternativ för att ställa om.</w:t>
      </w:r>
    </w:p>
    <w:p w:rsidRPr="00FC2616" w:rsidR="00E653D5" w:rsidP="00AE022D" w:rsidRDefault="00E653D5" w14:paraId="6FFD2D8D" w14:textId="75333624">
      <w:r w:rsidRPr="00FC2616">
        <w:t xml:space="preserve">I linje med </w:t>
      </w:r>
      <w:r w:rsidR="00E2255A">
        <w:t>j</w:t>
      </w:r>
      <w:r w:rsidRPr="00FC2616">
        <w:t xml:space="preserve">anuariavtalet </w:t>
      </w:r>
      <w:r w:rsidRPr="00FC2616" w:rsidR="003230DA">
        <w:t xml:space="preserve">genomförde den förra </w:t>
      </w:r>
      <w:r w:rsidRPr="00FC2616">
        <w:t xml:space="preserve">regeringen </w:t>
      </w:r>
      <w:r w:rsidRPr="00FC2616" w:rsidR="00DD2D02">
        <w:t>s.k.</w:t>
      </w:r>
      <w:r w:rsidRPr="00FC2616">
        <w:t xml:space="preserve"> grön skatteväxling. Problemet är att det inte är möjligt att långsiktigt sänka skatten på en stabil skattebas (arbete) och ersätta de</w:t>
      </w:r>
      <w:r w:rsidR="005D174C">
        <w:t>nn</w:t>
      </w:r>
      <w:r w:rsidRPr="00FC2616">
        <w:t xml:space="preserve">a med </w:t>
      </w:r>
      <w:r w:rsidR="005D174C">
        <w:t xml:space="preserve">en </w:t>
      </w:r>
      <w:r w:rsidRPr="00FC2616">
        <w:t>höjd skatt på en instabil skattebas (utsläpp) utan att försvaga skatteintäkterna. Skatter är antingen finansierande eller styrande – att kombinera två syften ger upphov till målkonflikter. Punktskatter ska användas för styrande ändamål. Dessa intäkter kan inte varaktigt växlas mot andra skatter, eftersom målet med punktskatterna är att skattebasen ska minska.</w:t>
      </w:r>
    </w:p>
    <w:p w:rsidRPr="00FC2616" w:rsidR="00E653D5" w:rsidP="00AE022D" w:rsidRDefault="00E653D5" w14:paraId="7187637C" w14:textId="0DF1BF7C">
      <w:r w:rsidRPr="00FC2616">
        <w:t>Vänsterpartiet ser behov av en genomgripande skattereform som utjämnar de ekonomiska och regionala klyftorna och främja</w:t>
      </w:r>
      <w:r w:rsidR="00934E00">
        <w:t>r</w:t>
      </w:r>
      <w:r w:rsidRPr="00FC2616">
        <w:t xml:space="preserve"> hållbart resursutnyttjande med låg miljö- och klimatpåverkan i enlighet med våra klimat- och miljömål.</w:t>
      </w:r>
    </w:p>
    <w:p w:rsidRPr="00FC2616" w:rsidR="00E653D5" w:rsidP="00AE022D" w:rsidRDefault="00CD60A1" w14:paraId="170C07DD" w14:textId="7102E352">
      <w:r w:rsidRPr="00FC2616">
        <w:t xml:space="preserve">På skatteområdet, liksom i politiken i stort, </w:t>
      </w:r>
      <w:r w:rsidRPr="00FC2616" w:rsidR="00884E34">
        <w:t>lägger dessvärre den nya regeringen förslag som motverkar den gröna omställningen. De sänker skatten på bensin och di</w:t>
      </w:r>
      <w:r w:rsidRPr="00FC2616" w:rsidR="003A38A9">
        <w:t>e</w:t>
      </w:r>
      <w:r w:rsidRPr="00FC2616" w:rsidR="00884E34">
        <w:t>sel och stoppar en omfattande reform för att göra reseavdragen avståndsbaserade och färdmedelsneutrala. Vänsterpartiet avvis</w:t>
      </w:r>
      <w:r w:rsidRPr="00FC2616" w:rsidR="00AC7EF1">
        <w:t xml:space="preserve">ar förslaget om sänkt skatt på drivmedel och anser att reseavdraget bör vara avståndsbaserat och färdneutralt. Vänsterpartiet välkomnar den höjda ersättningen för resor till och från jobbet men anser att dessa bör vara färdmedelsneutrala i enlighet med vad som föreslogs i Finansdepartementets promemoria </w:t>
      </w:r>
      <w:r w:rsidRPr="00FC2616" w:rsidR="008D1982">
        <w:t xml:space="preserve">Utökad skattelättnad för arbetsresor och justerade avdrag för tjänsteresor och hemresor (Fi2022/01470). </w:t>
      </w:r>
      <w:r w:rsidRPr="00FC2616" w:rsidR="009A65D8">
        <w:t xml:space="preserve">Vänsterpartiet presenterade i följdmotion </w:t>
      </w:r>
      <w:r w:rsidRPr="00FC2616" w:rsidR="00FB3963">
        <w:t>2021/22</w:t>
      </w:r>
      <w:r w:rsidRPr="00FC2616" w:rsidR="009A65D8">
        <w:t>:</w:t>
      </w:r>
      <w:r w:rsidRPr="00FC2616" w:rsidR="00FB3963">
        <w:t>4706</w:t>
      </w:r>
      <w:r w:rsidRPr="00FC2616" w:rsidR="009A65D8">
        <w:t xml:space="preserve"> några förslag på förändringar av det system som den föregående regeringen presen</w:t>
      </w:r>
      <w:r w:rsidR="004B65BC">
        <w:softHyphen/>
      </w:r>
      <w:r w:rsidRPr="00FC2616" w:rsidR="009A65D8">
        <w:t xml:space="preserve">terade. Vi ansåg där </w:t>
      </w:r>
      <w:r w:rsidRPr="00FC2616" w:rsidR="008D1982">
        <w:t xml:space="preserve">att höjningen av kilometersatsen bara </w:t>
      </w:r>
      <w:r w:rsidRPr="00FC2616" w:rsidR="009A65D8">
        <w:t>skulle</w:t>
      </w:r>
      <w:r w:rsidRPr="00FC2616" w:rsidR="008D1982">
        <w:t xml:space="preserve"> gälla för glesbygden</w:t>
      </w:r>
      <w:r w:rsidRPr="00FC2616" w:rsidR="003A38A9">
        <w:t xml:space="preserve"> –</w:t>
      </w:r>
      <w:r w:rsidRPr="00FC2616" w:rsidR="008D1982">
        <w:t xml:space="preserve"> där alternativ</w:t>
      </w:r>
      <w:r w:rsidRPr="00FC2616" w:rsidR="009A65D8">
        <w:t>en</w:t>
      </w:r>
      <w:r w:rsidRPr="00FC2616" w:rsidR="008D1982">
        <w:t xml:space="preserve"> till bilen </w:t>
      </w:r>
      <w:r w:rsidRPr="00FC2616" w:rsidR="009A65D8">
        <w:t>är betydligt mer begränsade.</w:t>
      </w:r>
      <w:r w:rsidRPr="00FC2616" w:rsidR="00AE7CE3">
        <w:t xml:space="preserve"> </w:t>
      </w:r>
      <w:r w:rsidRPr="00FC2616" w:rsidR="009A65D8">
        <w:t>Vi menade också</w:t>
      </w:r>
      <w:r w:rsidRPr="00FC2616" w:rsidR="003A38A9">
        <w:t xml:space="preserve"> </w:t>
      </w:r>
      <w:r w:rsidRPr="00FC2616" w:rsidR="00AE7CE3">
        <w:t xml:space="preserve">att den </w:t>
      </w:r>
      <w:r w:rsidRPr="00FC2616" w:rsidR="009A65D8">
        <w:t xml:space="preserve">ordningen </w:t>
      </w:r>
      <w:r w:rsidRPr="00FC2616" w:rsidR="00AE7CE3">
        <w:t>bara sk</w:t>
      </w:r>
      <w:r w:rsidRPr="00FC2616" w:rsidR="009A65D8">
        <w:t>ulle</w:t>
      </w:r>
      <w:r w:rsidRPr="00FC2616" w:rsidR="00994AC1">
        <w:t xml:space="preserve"> </w:t>
      </w:r>
      <w:r w:rsidRPr="00FC2616" w:rsidR="003A38A9">
        <w:t>gälla</w:t>
      </w:r>
      <w:r w:rsidRPr="00FC2616" w:rsidR="00AE7CE3">
        <w:t xml:space="preserve"> så länge det inte finns en utbyggd infrastruktur som alternativ till fossilbilen</w:t>
      </w:r>
      <w:r w:rsidRPr="00FC2616" w:rsidR="008D1982">
        <w:t xml:space="preserve">. </w:t>
      </w:r>
      <w:r w:rsidRPr="00FC2616" w:rsidR="009A65D8">
        <w:t>Vi menar fortsatt att systemet för reseavdrag bör utredas och justeras i enlighet med detta. De kostnader vi redovisar i denna budgetmotion motsvarar dock ett rakt införande av ett färdmedelsneutralt system i enlighet med det som den föregående regeringen lade fram</w:t>
      </w:r>
      <w:r w:rsidRPr="00FC2616" w:rsidR="008D1982">
        <w:t xml:space="preserve">. </w:t>
      </w:r>
      <w:r w:rsidRPr="00FC2616" w:rsidR="00E653D5">
        <w:t>Klimatomställningen kommer att kräva stora invester</w:t>
      </w:r>
      <w:r w:rsidR="004B65BC">
        <w:softHyphen/>
      </w:r>
      <w:r w:rsidRPr="00FC2616" w:rsidR="00E653D5">
        <w:t xml:space="preserve">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w:t>
      </w:r>
      <w:proofErr w:type="spellStart"/>
      <w:r w:rsidRPr="00FC2616" w:rsidR="00E653D5">
        <w:t>klimatpolitik</w:t>
      </w:r>
      <w:proofErr w:type="spellEnd"/>
      <w:r w:rsidRPr="00FC2616" w:rsidR="00E653D5">
        <w:t xml:space="preserve">. </w:t>
      </w:r>
    </w:p>
    <w:p w:rsidRPr="00FC2616" w:rsidR="00E653D5" w:rsidP="00AE022D" w:rsidRDefault="00E653D5" w14:paraId="7BE165F4" w14:textId="3C0FD061">
      <w:r w:rsidRPr="00FC2616">
        <w:t xml:space="preserve">Beskattning av drivmedel är </w:t>
      </w:r>
      <w:r w:rsidR="009D4118">
        <w:t xml:space="preserve">ett </w:t>
      </w:r>
      <w:r w:rsidRPr="00FC2616">
        <w:t xml:space="preserve">viktigt verktyg för att minska transportsektorns klimatpåverkan. Men den är också ett exempel på </w:t>
      </w:r>
      <w:r w:rsidR="009F2253">
        <w:t xml:space="preserve">ett </w:t>
      </w:r>
      <w:r w:rsidRPr="00FC2616">
        <w:t>trubbigt verktyg som inte gör skillnad på höginkomsttagare med god tillgång till kollektivtrafik och en låginkomst</w:t>
      </w:r>
      <w:r w:rsidR="004B65BC">
        <w:softHyphen/>
      </w:r>
      <w:r w:rsidRPr="00FC2616">
        <w:t xml:space="preserve">tagare i glesbygd utan tillgång till alternativ till bilen. Vänsterpartiet anser det angeläget </w:t>
      </w:r>
      <w:r w:rsidRPr="00FC2616">
        <w:lastRenderedPageBreak/>
        <w:t xml:space="preserve">att styrmedel utformas för att minska klyftor mellan stad och landsbygd och att det vid behov införs kompensatoriska åtgärder för att beakta rättviseperspektivet när </w:t>
      </w:r>
      <w:r w:rsidRPr="00FC2616" w:rsidR="00985CDD">
        <w:t xml:space="preserve">t.ex. </w:t>
      </w:r>
      <w:r w:rsidRPr="00FC2616">
        <w:t>skatter ger negativa fördelningseffekter. För att möta en ökad elektrifiering av väg</w:t>
      </w:r>
      <w:r w:rsidR="004B65BC">
        <w:softHyphen/>
      </w:r>
      <w:r w:rsidRPr="00FC2616">
        <w:t>trafiken med stärkt regional rättvisa anser vi det angeläget att arbetet med en reform av vägtrafikbeskattning redan nu inleds. En differentierad vägbeskattning ger förutsätt</w:t>
      </w:r>
      <w:r w:rsidR="004B65BC">
        <w:softHyphen/>
      </w:r>
      <w:r w:rsidRPr="00FC2616">
        <w:t>ningar för låg/slopad vägskatt på landsbygd där alternativ till bil saknas och hög vägskatt i storstäder med tillgång till kollektivtrafik.</w:t>
      </w:r>
    </w:p>
    <w:p w:rsidRPr="00FC2616" w:rsidR="00E653D5" w:rsidP="009A136F" w:rsidRDefault="00E653D5" w14:paraId="5F767D70" w14:textId="45B9EC2F">
      <w:r w:rsidRPr="00FC2616">
        <w:t xml:space="preserve">Den tunga lastbilstrafiken betalar i dag inte för den påverkan den har genom sina externa kostnader för samhället i form av </w:t>
      </w:r>
      <w:r w:rsidRPr="00FC2616" w:rsidR="0089138B">
        <w:t xml:space="preserve">t.ex. </w:t>
      </w:r>
      <w:r w:rsidRPr="00FC2616">
        <w:t xml:space="preserve">miljö- och klimatpåverkan och slitage på vägarna. Vänsterpartiet har under lång tid förespråkat en avståndsbaserad skatt på tunga lastbilar som ska vara möjlig att differentiera. Förutom klimatnyttan med en sådan beskattning ser vi stora vinster med att svenska och utländska lastbilar skulle kunna beskattas på lika villkor och att myndigheter skulle ges bättre möjligheter, genom </w:t>
      </w:r>
      <w:r w:rsidR="00F24C11">
        <w:t xml:space="preserve">ett </w:t>
      </w:r>
      <w:r w:rsidRPr="00FC2616">
        <w:t xml:space="preserve">automatiserat avläsningsbart system, att upptäcka den illegala lastbilstrafiken. Även utredningen </w:t>
      </w:r>
      <w:r w:rsidRPr="00FC2616">
        <w:rPr>
          <w:iCs/>
        </w:rPr>
        <w:t>Godstransporter på väg – vissa frågeställningar kring ett nytt miljöstyrande system</w:t>
      </w:r>
      <w:r w:rsidRPr="00FC2616">
        <w:rPr>
          <w:i/>
        </w:rPr>
        <w:t xml:space="preserve"> </w:t>
      </w:r>
      <w:r w:rsidRPr="00FC2616">
        <w:t>(SOU 2022:13) förordar ett avståndsbaserat system med geografisk differentie</w:t>
      </w:r>
      <w:r w:rsidR="004B65BC">
        <w:softHyphen/>
      </w:r>
      <w:r w:rsidRPr="00FC2616">
        <w:t>ring för en mer rättvisande prissättning.</w:t>
      </w:r>
    </w:p>
    <w:p w:rsidRPr="00FC2616" w:rsidR="00E653D5" w:rsidP="009A136F" w:rsidRDefault="00E653D5" w14:paraId="0CA0E773" w14:textId="7BE81DA2">
      <w:r w:rsidRPr="00FC2616">
        <w:t xml:space="preserve">Vänsterpartiet anser att de klimatskadliga subventionerna bör fasas ut och avvecklas skyndsamt. Regeringen har tidigare avvecklat några få av dessa subventioner, och vi anser att det brådskar med ytterligare åtgärder för att Sverige inte ska tappa styrfart för att nå nollutsläpp. Vänsterpartiet anser </w:t>
      </w:r>
      <w:r w:rsidRPr="00FC2616" w:rsidR="00CC609C">
        <w:t>därför</w:t>
      </w:r>
      <w:r w:rsidRPr="00FC2616">
        <w:t xml:space="preserve"> att regeringen bör presentera en handlingsplan för hur övriga klimatskadliga subventioner kan avvecklas i närtid.</w:t>
      </w:r>
    </w:p>
    <w:p w:rsidRPr="00FC2616" w:rsidR="00E653D5" w:rsidP="009A136F" w:rsidRDefault="00E653D5" w14:paraId="76DD43ED" w14:textId="3C7CBBD6">
      <w:r w:rsidRPr="00FC2616">
        <w:t xml:space="preserve">Under 2017 sänktes energiskatten för datorhallar i Sverige. Med en kostnad </w:t>
      </w:r>
      <w:r w:rsidR="00802C42">
        <w:t xml:space="preserve">på </w:t>
      </w:r>
      <w:r w:rsidRPr="00FC2616">
        <w:t>upp till 230 miljoner kronor per år har satsningen inte lett till de</w:t>
      </w:r>
      <w:r w:rsidR="00802C42">
        <w:t>t</w:t>
      </w:r>
      <w:r w:rsidRPr="00FC2616">
        <w:t xml:space="preserve"> ökade antal anställda som utlovades. </w:t>
      </w:r>
      <w:r w:rsidRPr="00FC2616" w:rsidR="00BC458C">
        <w:t xml:space="preserve">Vänsterpartiet har länge krävt att stödet ska avskaffas och välkomnar att regeringen i budgetpropositionen lägger fram ett förslag om att slopa den nedsatta energiskatten. </w:t>
      </w:r>
    </w:p>
    <w:p w:rsidRPr="00FC2616" w:rsidR="00E653D5" w:rsidP="009A136F" w:rsidRDefault="00E653D5" w14:paraId="583964E6" w14:textId="556ACF8A">
      <w:r w:rsidRPr="00FC2616">
        <w:t xml:space="preserve">Resandet med flyg behöver kraftigt minska för att vi ska klara av våra klimatmål. Tack vare Vänsterpartiets investeringspolitik för klimatet kan vi inom bara ett decennium avveckla inrikesflyget i södra Sverige och kraftigt minska behovet i norra Sverige. Men även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 </w:t>
      </w:r>
    </w:p>
    <w:p w:rsidRPr="00FC2616" w:rsidR="003868FC" w:rsidP="009A136F" w:rsidRDefault="00E653D5" w14:paraId="1F48D436" w14:textId="5B1D1C5F">
      <w:r w:rsidRPr="00FC2616">
        <w:t>Utöver den progressiva flygskatten vill Vänsterpartiet att kommande regering utreder frågan om lojalitetsprogrammen inom flygbranschen. De medlemsförmåner som i</w:t>
      </w:r>
      <w:r w:rsidRPr="00FC2616" w:rsidR="0089138B">
        <w:t xml:space="preserve"> </w:t>
      </w:r>
      <w:r w:rsidRPr="00FC2616">
        <w:t xml:space="preserve">dag existerar stimulerar till extensivt flygande och motverkar därmed klimatmålen. Huruvida lojalitetsprogram behöver regleras genom lagstiftning eller skatteåtgärder behöver utredas grundligt men inriktningen för reformeringen bör vara att göra lojalitetsprogrammen obsoleta. </w:t>
      </w:r>
    </w:p>
    <w:p w:rsidRPr="00BF5F83" w:rsidR="00E653D5" w:rsidP="00BF5F83" w:rsidRDefault="00E653D5" w14:paraId="69336A42" w14:textId="6914B97F">
      <w:pPr>
        <w:pStyle w:val="Normalutanindragellerluft"/>
        <w:spacing w:before="240"/>
        <w:rPr>
          <w:b/>
          <w:bCs/>
        </w:rPr>
      </w:pPr>
      <w:r w:rsidRPr="00BF5F83">
        <w:rPr>
          <w:b/>
          <w:bCs/>
        </w:rPr>
        <w:t>Vänsterpartiets förslag:</w:t>
      </w:r>
    </w:p>
    <w:p w:rsidRPr="00FC2616" w:rsidR="00E653D5" w:rsidP="00327353" w:rsidRDefault="00E653D5" w14:paraId="74805671" w14:textId="2C6051D1">
      <w:pPr>
        <w:pStyle w:val="ListaPunkt"/>
        <w:ind w:left="340" w:hanging="340"/>
      </w:pPr>
      <w:r w:rsidRPr="00FC2616">
        <w:t xml:space="preserve">Anta </w:t>
      </w:r>
      <w:r w:rsidR="006C3758">
        <w:t xml:space="preserve">en </w:t>
      </w:r>
      <w:r w:rsidRPr="00FC2616">
        <w:t>handlingsplan för att avveckla klimatskadliga subventioner.</w:t>
      </w:r>
    </w:p>
    <w:p w:rsidRPr="00FC2616" w:rsidR="00884E34" w:rsidP="00327353" w:rsidRDefault="00884E34" w14:paraId="1D5C85FD" w14:textId="6C0B12AF">
      <w:pPr>
        <w:pStyle w:val="ListaPunkt"/>
        <w:ind w:left="340" w:hanging="340"/>
      </w:pPr>
      <w:r w:rsidRPr="00FC2616">
        <w:t>Inför ett färdmedelsneutralt reseavdrag</w:t>
      </w:r>
      <w:r w:rsidRPr="00FC2616" w:rsidR="001D10A8">
        <w:t>.</w:t>
      </w:r>
    </w:p>
    <w:p w:rsidRPr="00FC2616" w:rsidR="00884E34" w:rsidP="00327353" w:rsidRDefault="00884E34" w14:paraId="7B951F56" w14:textId="12E37A79">
      <w:pPr>
        <w:pStyle w:val="ListaPunkt"/>
        <w:ind w:left="340" w:hanging="340"/>
      </w:pPr>
      <w:r w:rsidRPr="00FC2616">
        <w:t xml:space="preserve">Nej till </w:t>
      </w:r>
      <w:r w:rsidRPr="00FC2616" w:rsidR="00DA0DF3">
        <w:t xml:space="preserve">regeringens förslag om </w:t>
      </w:r>
      <w:r w:rsidRPr="00FC2616">
        <w:t>sänkt bensin- och di</w:t>
      </w:r>
      <w:r w:rsidRPr="00FC2616" w:rsidR="00DA0DF3">
        <w:t>e</w:t>
      </w:r>
      <w:r w:rsidRPr="00FC2616">
        <w:t>selskatt</w:t>
      </w:r>
      <w:r w:rsidRPr="00FC2616" w:rsidR="001D10A8">
        <w:t>.</w:t>
      </w:r>
    </w:p>
    <w:p w:rsidRPr="00FC2616" w:rsidR="00E653D5" w:rsidP="00327353" w:rsidRDefault="00E653D5" w14:paraId="17D35FFF" w14:textId="4D4A1831">
      <w:pPr>
        <w:pStyle w:val="ListaPunkt"/>
        <w:ind w:left="340" w:hanging="340"/>
      </w:pPr>
      <w:r w:rsidRPr="00FC2616">
        <w:lastRenderedPageBreak/>
        <w:t>Inför en progressiv flygskatt.</w:t>
      </w:r>
    </w:p>
    <w:p w:rsidRPr="00FC2616" w:rsidR="00D57BEF" w:rsidP="00327353" w:rsidRDefault="00E653D5" w14:paraId="374D40EC" w14:textId="4340ECA2">
      <w:pPr>
        <w:pStyle w:val="ListaPunkt"/>
        <w:ind w:left="340" w:hanging="340"/>
      </w:pPr>
      <w:r w:rsidRPr="00FC2616">
        <w:t>Utred förutsättningarna för en geografiskt anpassad vägskatt för personbilar.</w:t>
      </w:r>
    </w:p>
    <w:p w:rsidRPr="00FC2616" w:rsidR="00E653D5" w:rsidP="00327353" w:rsidRDefault="00E653D5" w14:paraId="2EEBDD21" w14:textId="517C1C61">
      <w:pPr>
        <w:pStyle w:val="ListaPunkt"/>
        <w:ind w:left="340" w:hanging="340"/>
      </w:pPr>
      <w:r w:rsidRPr="00FC2616">
        <w:t>Inför en avståndsbaserad skatt för godstransporter på väg.</w:t>
      </w:r>
    </w:p>
    <w:p w:rsidR="00327353" w:rsidP="00EE6785" w:rsidRDefault="00D57BEF" w14:paraId="2649AFF2" w14:textId="488005C8">
      <w:pPr>
        <w:pStyle w:val="Rubrik2numrerat"/>
      </w:pPr>
      <w:bookmarkStart w:name="_Toc149814601" w:id="229"/>
      <w:r w:rsidRPr="00FC2616">
        <w:t>Vänsterpartiets skatteförslag</w:t>
      </w:r>
      <w:bookmarkEnd w:id="229"/>
    </w:p>
    <w:p w:rsidR="00327353" w:rsidP="00CD4080" w:rsidRDefault="00327353" w14:paraId="726AB6D3" w14:textId="59408C83">
      <w:pPr>
        <w:pStyle w:val="Tabellrubrik"/>
        <w:spacing w:before="300"/>
      </w:pPr>
      <w:r w:rsidRPr="00327353">
        <w:t>Tabell 8 Vänsterpartiets skatteförslag 2023–2025</w:t>
      </w:r>
    </w:p>
    <w:p w:rsidRPr="00327353" w:rsidR="00327353" w:rsidP="00327353" w:rsidRDefault="00327353" w14:paraId="1C5B54A9" w14:textId="2F6E6217">
      <w:pPr>
        <w:pStyle w:val="Tabellunderrubrik"/>
      </w:pPr>
      <w:r w:rsidRPr="00327353">
        <w:t>Avvikelse mot regeringen, offentligfinansiella effekter, miljarder kronor</w:t>
      </w:r>
    </w:p>
    <w:tbl>
      <w:tblPr>
        <w:tblW w:w="8505" w:type="dxa"/>
        <w:tblInd w:w="-30" w:type="dxa"/>
        <w:tblLayout w:type="fixed"/>
        <w:tblCellMar>
          <w:left w:w="28" w:type="dxa"/>
          <w:right w:w="28" w:type="dxa"/>
        </w:tblCellMar>
        <w:tblLook w:val="0000" w:firstRow="0" w:lastRow="0" w:firstColumn="0" w:lastColumn="0" w:noHBand="0" w:noVBand="0"/>
      </w:tblPr>
      <w:tblGrid>
        <w:gridCol w:w="4524"/>
        <w:gridCol w:w="699"/>
        <w:gridCol w:w="700"/>
        <w:gridCol w:w="700"/>
        <w:gridCol w:w="1882"/>
      </w:tblGrid>
      <w:tr w:rsidRPr="00E00C47" w:rsidR="00E00C47" w:rsidTr="00CD4080" w14:paraId="57AFF683" w14:textId="77777777">
        <w:trPr>
          <w:cantSplit/>
          <w:tblHeader/>
        </w:trPr>
        <w:tc>
          <w:tcPr>
            <w:tcW w:w="4524" w:type="dxa"/>
            <w:tcBorders>
              <w:top w:val="single" w:color="auto" w:sz="4" w:space="0"/>
              <w:left w:val="nil"/>
              <w:bottom w:val="single" w:color="auto" w:sz="6" w:space="0"/>
              <w:right w:val="nil"/>
            </w:tcBorders>
          </w:tcPr>
          <w:p w:rsidRPr="00E00C47" w:rsidR="002F22F3" w:rsidP="001E4DBC" w:rsidRDefault="002F22F3" w14:paraId="542976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699" w:type="dxa"/>
            <w:tcBorders>
              <w:top w:val="single" w:color="auto" w:sz="4" w:space="0"/>
              <w:left w:val="nil"/>
              <w:bottom w:val="single" w:color="auto" w:sz="6" w:space="0"/>
              <w:right w:val="nil"/>
            </w:tcBorders>
          </w:tcPr>
          <w:p w:rsidRPr="00E00C47" w:rsidR="002F22F3" w:rsidP="00E00C47" w:rsidRDefault="002F22F3" w14:paraId="55C6130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2023</w:t>
            </w:r>
          </w:p>
        </w:tc>
        <w:tc>
          <w:tcPr>
            <w:tcW w:w="700" w:type="dxa"/>
            <w:tcBorders>
              <w:top w:val="single" w:color="auto" w:sz="4" w:space="0"/>
              <w:left w:val="nil"/>
              <w:bottom w:val="single" w:color="auto" w:sz="6" w:space="0"/>
              <w:right w:val="nil"/>
            </w:tcBorders>
          </w:tcPr>
          <w:p w:rsidRPr="00E00C47" w:rsidR="002F22F3" w:rsidP="00E00C47" w:rsidRDefault="002F22F3" w14:paraId="2AD42AC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2024</w:t>
            </w:r>
          </w:p>
        </w:tc>
        <w:tc>
          <w:tcPr>
            <w:tcW w:w="700" w:type="dxa"/>
            <w:tcBorders>
              <w:top w:val="single" w:color="auto" w:sz="4" w:space="0"/>
              <w:left w:val="nil"/>
              <w:bottom w:val="single" w:color="auto" w:sz="6" w:space="0"/>
              <w:right w:val="nil"/>
            </w:tcBorders>
          </w:tcPr>
          <w:p w:rsidRPr="00E00C47" w:rsidR="002F22F3" w:rsidP="00E00C47" w:rsidRDefault="002F22F3" w14:paraId="287A52E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2025</w:t>
            </w:r>
          </w:p>
        </w:tc>
        <w:tc>
          <w:tcPr>
            <w:tcW w:w="1882" w:type="dxa"/>
            <w:tcBorders>
              <w:top w:val="single" w:color="auto" w:sz="4" w:space="0"/>
              <w:left w:val="nil"/>
              <w:bottom w:val="single" w:color="auto" w:sz="6" w:space="0"/>
              <w:right w:val="nil"/>
            </w:tcBorders>
          </w:tcPr>
          <w:p w:rsidRPr="00E00C47" w:rsidR="002F22F3" w:rsidP="00E00C47" w:rsidRDefault="002F22F3" w14:paraId="77CB921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Källa/referens</w:t>
            </w:r>
          </w:p>
        </w:tc>
      </w:tr>
      <w:tr w:rsidRPr="00E00C47" w:rsidR="00E00C47" w:rsidTr="0039164F" w14:paraId="3C5813B3" w14:textId="77777777">
        <w:trPr>
          <w:cantSplit/>
        </w:trPr>
        <w:tc>
          <w:tcPr>
            <w:tcW w:w="4524" w:type="dxa"/>
            <w:tcBorders>
              <w:top w:val="single" w:color="auto" w:sz="6" w:space="0"/>
              <w:left w:val="nil"/>
              <w:right w:val="nil"/>
            </w:tcBorders>
          </w:tcPr>
          <w:p w:rsidRPr="00E00C47" w:rsidR="002F22F3" w:rsidP="001E4DBC" w:rsidRDefault="002F22F3" w14:paraId="1490D32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b/>
                <w:bCs/>
                <w:i/>
                <w:iCs/>
                <w:color w:val="000000"/>
                <w:kern w:val="0"/>
                <w:sz w:val="20"/>
                <w:szCs w:val="20"/>
                <w14:numSpacing w14:val="default"/>
              </w:rPr>
            </w:pPr>
            <w:r w:rsidRPr="00E00C47">
              <w:rPr>
                <w:rFonts w:cstheme="minorHAnsi"/>
                <w:b/>
                <w:bCs/>
                <w:i/>
                <w:iCs/>
                <w:color w:val="000000"/>
                <w:kern w:val="0"/>
                <w:sz w:val="20"/>
                <w:szCs w:val="20"/>
                <w14:numSpacing w14:val="default"/>
              </w:rPr>
              <w:t>För ökad rättvisa</w:t>
            </w:r>
          </w:p>
        </w:tc>
        <w:tc>
          <w:tcPr>
            <w:tcW w:w="699" w:type="dxa"/>
            <w:tcBorders>
              <w:top w:val="single" w:color="auto" w:sz="6" w:space="0"/>
              <w:left w:val="nil"/>
              <w:right w:val="nil"/>
            </w:tcBorders>
          </w:tcPr>
          <w:p w:rsidRPr="00E00C47" w:rsidR="002F22F3" w:rsidP="001E4DBC" w:rsidRDefault="002F22F3" w14:paraId="1300AD8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700" w:type="dxa"/>
            <w:tcBorders>
              <w:top w:val="single" w:color="auto" w:sz="6" w:space="0"/>
              <w:left w:val="nil"/>
              <w:right w:val="nil"/>
            </w:tcBorders>
          </w:tcPr>
          <w:p w:rsidRPr="00E00C47" w:rsidR="002F22F3" w:rsidP="001E4DBC" w:rsidRDefault="002F22F3" w14:paraId="1C0CBB6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700" w:type="dxa"/>
            <w:tcBorders>
              <w:top w:val="single" w:color="auto" w:sz="6" w:space="0"/>
              <w:left w:val="nil"/>
              <w:right w:val="nil"/>
            </w:tcBorders>
          </w:tcPr>
          <w:p w:rsidRPr="00E00C47" w:rsidR="002F22F3" w:rsidP="001E4DBC" w:rsidRDefault="002F22F3" w14:paraId="2F7F19B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882" w:type="dxa"/>
            <w:tcBorders>
              <w:top w:val="single" w:color="auto" w:sz="6" w:space="0"/>
              <w:left w:val="nil"/>
              <w:right w:val="nil"/>
            </w:tcBorders>
          </w:tcPr>
          <w:p w:rsidRPr="00E00C47" w:rsidR="002F22F3" w:rsidP="001E4DBC" w:rsidRDefault="002F22F3" w14:paraId="3A0A688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E00C47" w:rsidR="00E00C47" w:rsidTr="0039164F" w14:paraId="2308255D" w14:textId="77777777">
        <w:trPr>
          <w:cantSplit/>
        </w:trPr>
        <w:tc>
          <w:tcPr>
            <w:tcW w:w="4524" w:type="dxa"/>
            <w:tcBorders>
              <w:left w:val="nil"/>
              <w:bottom w:val="nil"/>
              <w:right w:val="nil"/>
            </w:tcBorders>
          </w:tcPr>
          <w:p w:rsidRPr="00E00C47" w:rsidR="002F22F3" w:rsidP="001E4DBC" w:rsidRDefault="002F22F3" w14:paraId="19F89704" w14:textId="7444C52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 xml:space="preserve">Höjd skatt för de </w:t>
            </w:r>
            <w:r w:rsidRPr="00E00C47" w:rsidR="00497417">
              <w:rPr>
                <w:rFonts w:cstheme="minorHAnsi"/>
                <w:color w:val="000000"/>
                <w:kern w:val="0"/>
                <w:sz w:val="20"/>
                <w:szCs w:val="20"/>
                <w14:numSpacing w14:val="default"/>
              </w:rPr>
              <w:t xml:space="preserve">med </w:t>
            </w:r>
            <w:r w:rsidRPr="00E00C47">
              <w:rPr>
                <w:rFonts w:cstheme="minorHAnsi"/>
                <w:color w:val="000000"/>
                <w:kern w:val="0"/>
                <w:sz w:val="20"/>
                <w:szCs w:val="20"/>
                <w14:numSpacing w14:val="default"/>
              </w:rPr>
              <w:t>över 62</w:t>
            </w:r>
            <w:r w:rsidRPr="00E00C47" w:rsidR="00497417">
              <w:rPr>
                <w:rFonts w:cstheme="minorHAnsi"/>
                <w:color w:val="000000"/>
                <w:kern w:val="0"/>
                <w:sz w:val="20"/>
                <w:szCs w:val="20"/>
                <w14:numSpacing w14:val="default"/>
              </w:rPr>
              <w:t> </w:t>
            </w:r>
            <w:r w:rsidRPr="00E00C47">
              <w:rPr>
                <w:rFonts w:cstheme="minorHAnsi"/>
                <w:color w:val="000000"/>
                <w:kern w:val="0"/>
                <w:sz w:val="20"/>
                <w:szCs w:val="20"/>
                <w14:numSpacing w14:val="default"/>
              </w:rPr>
              <w:t>000 kr/mån</w:t>
            </w:r>
            <w:r w:rsidR="00E00C47">
              <w:rPr>
                <w:rFonts w:cstheme="minorHAnsi"/>
                <w:color w:val="000000"/>
                <w:kern w:val="0"/>
                <w:sz w:val="20"/>
                <w:szCs w:val="20"/>
                <w14:numSpacing w14:val="default"/>
              </w:rPr>
              <w:t>.</w:t>
            </w:r>
          </w:p>
        </w:tc>
        <w:tc>
          <w:tcPr>
            <w:tcW w:w="699" w:type="dxa"/>
            <w:tcBorders>
              <w:left w:val="nil"/>
              <w:bottom w:val="nil"/>
              <w:right w:val="nil"/>
            </w:tcBorders>
          </w:tcPr>
          <w:p w:rsidRPr="00E00C47" w:rsidR="002F22F3" w:rsidP="001E4DBC" w:rsidRDefault="002F22F3" w14:paraId="70C637E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8,30</w:t>
            </w:r>
          </w:p>
        </w:tc>
        <w:tc>
          <w:tcPr>
            <w:tcW w:w="700" w:type="dxa"/>
            <w:tcBorders>
              <w:left w:val="nil"/>
              <w:bottom w:val="nil"/>
              <w:right w:val="nil"/>
            </w:tcBorders>
          </w:tcPr>
          <w:p w:rsidRPr="00E00C47" w:rsidR="002F22F3" w:rsidP="001E4DBC" w:rsidRDefault="002F22F3" w14:paraId="7F5AEB9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8,30</w:t>
            </w:r>
          </w:p>
        </w:tc>
        <w:tc>
          <w:tcPr>
            <w:tcW w:w="700" w:type="dxa"/>
            <w:tcBorders>
              <w:left w:val="nil"/>
              <w:bottom w:val="nil"/>
              <w:right w:val="nil"/>
            </w:tcBorders>
          </w:tcPr>
          <w:p w:rsidRPr="00E00C47" w:rsidR="002F22F3" w:rsidP="001E4DBC" w:rsidRDefault="002F22F3" w14:paraId="5E0CB78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8,40</w:t>
            </w:r>
          </w:p>
        </w:tc>
        <w:tc>
          <w:tcPr>
            <w:tcW w:w="1882" w:type="dxa"/>
            <w:tcBorders>
              <w:left w:val="nil"/>
              <w:bottom w:val="nil"/>
              <w:right w:val="nil"/>
            </w:tcBorders>
          </w:tcPr>
          <w:p w:rsidRPr="00E00C47" w:rsidR="002F22F3" w:rsidP="001E4DBC" w:rsidRDefault="002F22F3" w14:paraId="28E98E6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2022:614</w:t>
            </w:r>
          </w:p>
        </w:tc>
      </w:tr>
      <w:tr w:rsidRPr="00E00C47" w:rsidR="00E00C47" w:rsidTr="0039164F" w14:paraId="0E46367C" w14:textId="77777777">
        <w:trPr>
          <w:cantSplit/>
        </w:trPr>
        <w:tc>
          <w:tcPr>
            <w:tcW w:w="4524" w:type="dxa"/>
            <w:tcBorders>
              <w:top w:val="nil"/>
              <w:left w:val="nil"/>
              <w:bottom w:val="nil"/>
              <w:right w:val="nil"/>
            </w:tcBorders>
          </w:tcPr>
          <w:p w:rsidRPr="00E00C47" w:rsidR="002F22F3" w:rsidP="001E4DBC" w:rsidRDefault="002F22F3" w14:paraId="0A8E198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Arvs- och gåvoskatt</w:t>
            </w:r>
          </w:p>
        </w:tc>
        <w:tc>
          <w:tcPr>
            <w:tcW w:w="699" w:type="dxa"/>
            <w:tcBorders>
              <w:top w:val="nil"/>
              <w:left w:val="nil"/>
              <w:bottom w:val="nil"/>
              <w:right w:val="nil"/>
            </w:tcBorders>
          </w:tcPr>
          <w:p w:rsidRPr="00E00C47" w:rsidR="002F22F3" w:rsidP="001E4DBC" w:rsidRDefault="002F22F3" w14:paraId="087556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3,70</w:t>
            </w:r>
          </w:p>
        </w:tc>
        <w:tc>
          <w:tcPr>
            <w:tcW w:w="700" w:type="dxa"/>
            <w:tcBorders>
              <w:top w:val="nil"/>
              <w:left w:val="nil"/>
              <w:bottom w:val="nil"/>
              <w:right w:val="nil"/>
            </w:tcBorders>
          </w:tcPr>
          <w:p w:rsidRPr="00E00C47" w:rsidR="002F22F3" w:rsidP="001E4DBC" w:rsidRDefault="002F22F3" w14:paraId="1895E0D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3,70</w:t>
            </w:r>
          </w:p>
        </w:tc>
        <w:tc>
          <w:tcPr>
            <w:tcW w:w="700" w:type="dxa"/>
            <w:tcBorders>
              <w:top w:val="nil"/>
              <w:left w:val="nil"/>
              <w:bottom w:val="nil"/>
              <w:right w:val="nil"/>
            </w:tcBorders>
          </w:tcPr>
          <w:p w:rsidRPr="00E00C47" w:rsidR="002F22F3" w:rsidP="001E4DBC" w:rsidRDefault="002F22F3" w14:paraId="48DEE71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3,70</w:t>
            </w:r>
          </w:p>
        </w:tc>
        <w:tc>
          <w:tcPr>
            <w:tcW w:w="1882" w:type="dxa"/>
            <w:tcBorders>
              <w:top w:val="nil"/>
              <w:left w:val="nil"/>
              <w:bottom w:val="nil"/>
              <w:right w:val="nil"/>
            </w:tcBorders>
          </w:tcPr>
          <w:p w:rsidRPr="00E00C47" w:rsidR="002F22F3" w:rsidP="001E4DBC" w:rsidRDefault="002F22F3" w14:paraId="2A54B23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SNS (2018)</w:t>
            </w:r>
          </w:p>
        </w:tc>
      </w:tr>
      <w:tr w:rsidRPr="00E00C47" w:rsidR="00E00C47" w:rsidTr="0039164F" w14:paraId="4BB2B022" w14:textId="77777777">
        <w:trPr>
          <w:cantSplit/>
        </w:trPr>
        <w:tc>
          <w:tcPr>
            <w:tcW w:w="4524" w:type="dxa"/>
            <w:tcBorders>
              <w:top w:val="nil"/>
              <w:left w:val="nil"/>
              <w:bottom w:val="nil"/>
              <w:right w:val="nil"/>
            </w:tcBorders>
          </w:tcPr>
          <w:p w:rsidRPr="00E00C47" w:rsidR="002F22F3" w:rsidP="001E4DBC" w:rsidRDefault="002F22F3" w14:paraId="36A4FD9A" w14:textId="5A7BE60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Nej till sänkt bensin- och di</w:t>
            </w:r>
            <w:r w:rsidRPr="00E00C47" w:rsidR="00B55DF0">
              <w:rPr>
                <w:rFonts w:cstheme="minorHAnsi"/>
                <w:color w:val="000000"/>
                <w:kern w:val="0"/>
                <w:sz w:val="20"/>
                <w:szCs w:val="20"/>
                <w14:numSpacing w14:val="default"/>
              </w:rPr>
              <w:t>e</w:t>
            </w:r>
            <w:r w:rsidRPr="00E00C47">
              <w:rPr>
                <w:rFonts w:cstheme="minorHAnsi"/>
                <w:color w:val="000000"/>
                <w:kern w:val="0"/>
                <w:sz w:val="20"/>
                <w:szCs w:val="20"/>
                <w14:numSpacing w14:val="default"/>
              </w:rPr>
              <w:t>selskatt</w:t>
            </w:r>
          </w:p>
        </w:tc>
        <w:tc>
          <w:tcPr>
            <w:tcW w:w="699" w:type="dxa"/>
            <w:tcBorders>
              <w:top w:val="nil"/>
              <w:left w:val="nil"/>
              <w:bottom w:val="nil"/>
              <w:right w:val="nil"/>
            </w:tcBorders>
          </w:tcPr>
          <w:p w:rsidRPr="00E00C47" w:rsidR="002F22F3" w:rsidP="001E4DBC" w:rsidRDefault="002F22F3" w14:paraId="72A1CC8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6,70</w:t>
            </w:r>
          </w:p>
        </w:tc>
        <w:tc>
          <w:tcPr>
            <w:tcW w:w="700" w:type="dxa"/>
            <w:tcBorders>
              <w:top w:val="nil"/>
              <w:left w:val="nil"/>
              <w:bottom w:val="nil"/>
              <w:right w:val="nil"/>
            </w:tcBorders>
          </w:tcPr>
          <w:p w:rsidRPr="00E00C47" w:rsidR="002F22F3" w:rsidP="001E4DBC" w:rsidRDefault="002F22F3" w14:paraId="442FE06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6,90</w:t>
            </w:r>
          </w:p>
        </w:tc>
        <w:tc>
          <w:tcPr>
            <w:tcW w:w="700" w:type="dxa"/>
            <w:tcBorders>
              <w:top w:val="nil"/>
              <w:left w:val="nil"/>
              <w:bottom w:val="nil"/>
              <w:right w:val="nil"/>
            </w:tcBorders>
          </w:tcPr>
          <w:p w:rsidRPr="00E00C47" w:rsidR="002F22F3" w:rsidP="001E4DBC" w:rsidRDefault="002F22F3" w14:paraId="7BC0EAB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6,90</w:t>
            </w:r>
          </w:p>
        </w:tc>
        <w:tc>
          <w:tcPr>
            <w:tcW w:w="1882" w:type="dxa"/>
            <w:tcBorders>
              <w:top w:val="nil"/>
              <w:left w:val="nil"/>
              <w:bottom w:val="nil"/>
              <w:right w:val="nil"/>
            </w:tcBorders>
          </w:tcPr>
          <w:p w:rsidRPr="00E00C47" w:rsidR="002F22F3" w:rsidP="001E4DBC" w:rsidRDefault="002F22F3" w14:paraId="32FA699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BP23</w:t>
            </w:r>
          </w:p>
        </w:tc>
      </w:tr>
      <w:tr w:rsidRPr="00E00C47" w:rsidR="00E00C47" w:rsidTr="0039164F" w14:paraId="541F723C" w14:textId="77777777">
        <w:trPr>
          <w:cantSplit/>
        </w:trPr>
        <w:tc>
          <w:tcPr>
            <w:tcW w:w="4524" w:type="dxa"/>
            <w:tcBorders>
              <w:top w:val="nil"/>
              <w:left w:val="nil"/>
              <w:bottom w:val="nil"/>
              <w:right w:val="nil"/>
            </w:tcBorders>
          </w:tcPr>
          <w:p w:rsidRPr="00E00C47" w:rsidR="002F22F3" w:rsidP="001E4DBC" w:rsidRDefault="002F22F3" w14:paraId="211BEB1C" w14:textId="7F2DA91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Oförändrad skiktgräns</w:t>
            </w:r>
            <w:r w:rsidR="00E00C47">
              <w:rPr>
                <w:rFonts w:cstheme="minorHAnsi"/>
                <w:color w:val="000000"/>
                <w:kern w:val="0"/>
                <w:sz w:val="20"/>
                <w:szCs w:val="20"/>
                <w14:numSpacing w14:val="default"/>
              </w:rPr>
              <w:t xml:space="preserve"> för</w:t>
            </w:r>
            <w:r w:rsidRPr="00E00C47">
              <w:rPr>
                <w:rFonts w:cstheme="minorHAnsi"/>
                <w:color w:val="000000"/>
                <w:kern w:val="0"/>
                <w:sz w:val="20"/>
                <w:szCs w:val="20"/>
                <w14:numSpacing w14:val="default"/>
              </w:rPr>
              <w:t xml:space="preserve"> statlig inkomstskatt</w:t>
            </w:r>
          </w:p>
        </w:tc>
        <w:tc>
          <w:tcPr>
            <w:tcW w:w="699" w:type="dxa"/>
            <w:tcBorders>
              <w:top w:val="nil"/>
              <w:left w:val="nil"/>
              <w:bottom w:val="nil"/>
              <w:right w:val="nil"/>
            </w:tcBorders>
          </w:tcPr>
          <w:p w:rsidRPr="00E00C47" w:rsidR="002F22F3" w:rsidP="001E4DBC" w:rsidRDefault="002F22F3" w14:paraId="4717541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12,90</w:t>
            </w:r>
          </w:p>
        </w:tc>
        <w:tc>
          <w:tcPr>
            <w:tcW w:w="700" w:type="dxa"/>
            <w:tcBorders>
              <w:top w:val="nil"/>
              <w:left w:val="nil"/>
              <w:bottom w:val="nil"/>
              <w:right w:val="nil"/>
            </w:tcBorders>
          </w:tcPr>
          <w:p w:rsidRPr="00E00C47" w:rsidR="002F22F3" w:rsidP="001E4DBC" w:rsidRDefault="002F22F3" w14:paraId="65018B5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11,80</w:t>
            </w:r>
          </w:p>
        </w:tc>
        <w:tc>
          <w:tcPr>
            <w:tcW w:w="700" w:type="dxa"/>
            <w:tcBorders>
              <w:top w:val="nil"/>
              <w:left w:val="nil"/>
              <w:bottom w:val="nil"/>
              <w:right w:val="nil"/>
            </w:tcBorders>
          </w:tcPr>
          <w:p w:rsidRPr="00E00C47" w:rsidR="002F22F3" w:rsidP="001E4DBC" w:rsidRDefault="002F22F3" w14:paraId="074B36B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12,40</w:t>
            </w:r>
          </w:p>
        </w:tc>
        <w:tc>
          <w:tcPr>
            <w:tcW w:w="1882" w:type="dxa"/>
            <w:tcBorders>
              <w:top w:val="nil"/>
              <w:left w:val="nil"/>
              <w:bottom w:val="nil"/>
              <w:right w:val="nil"/>
            </w:tcBorders>
          </w:tcPr>
          <w:p w:rsidRPr="00E00C47" w:rsidR="002F22F3" w:rsidP="001E4DBC" w:rsidRDefault="002F22F3" w14:paraId="6B7DCC9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2022:1219</w:t>
            </w:r>
          </w:p>
        </w:tc>
      </w:tr>
      <w:tr w:rsidRPr="00E00C47" w:rsidR="00E00C47" w:rsidTr="0039164F" w14:paraId="5F125F64" w14:textId="77777777">
        <w:trPr>
          <w:cantSplit/>
        </w:trPr>
        <w:tc>
          <w:tcPr>
            <w:tcW w:w="4524" w:type="dxa"/>
            <w:tcBorders>
              <w:top w:val="nil"/>
              <w:left w:val="nil"/>
              <w:bottom w:val="nil"/>
              <w:right w:val="nil"/>
            </w:tcBorders>
          </w:tcPr>
          <w:p w:rsidRPr="00E00C47" w:rsidR="002F22F3" w:rsidP="001E4DBC" w:rsidRDefault="002F22F3" w14:paraId="556E417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Ja till avståndsbaserat reseavdrag</w:t>
            </w:r>
          </w:p>
        </w:tc>
        <w:tc>
          <w:tcPr>
            <w:tcW w:w="699" w:type="dxa"/>
            <w:tcBorders>
              <w:top w:val="nil"/>
              <w:left w:val="nil"/>
              <w:bottom w:val="nil"/>
              <w:right w:val="nil"/>
            </w:tcBorders>
          </w:tcPr>
          <w:p w:rsidRPr="00E00C47" w:rsidR="002F22F3" w:rsidP="001E4DBC" w:rsidRDefault="002F22F3" w14:paraId="01D31C2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5,50</w:t>
            </w:r>
          </w:p>
        </w:tc>
        <w:tc>
          <w:tcPr>
            <w:tcW w:w="700" w:type="dxa"/>
            <w:tcBorders>
              <w:top w:val="nil"/>
              <w:left w:val="nil"/>
              <w:bottom w:val="nil"/>
              <w:right w:val="nil"/>
            </w:tcBorders>
          </w:tcPr>
          <w:p w:rsidRPr="00E00C47" w:rsidR="002F22F3" w:rsidP="001E4DBC" w:rsidRDefault="002F22F3" w14:paraId="1AEB991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5,50</w:t>
            </w:r>
          </w:p>
        </w:tc>
        <w:tc>
          <w:tcPr>
            <w:tcW w:w="700" w:type="dxa"/>
            <w:tcBorders>
              <w:top w:val="nil"/>
              <w:left w:val="nil"/>
              <w:bottom w:val="nil"/>
              <w:right w:val="nil"/>
            </w:tcBorders>
          </w:tcPr>
          <w:p w:rsidRPr="00E00C47" w:rsidR="002F22F3" w:rsidP="001E4DBC" w:rsidRDefault="002F22F3" w14:paraId="5B5C3B6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5,50</w:t>
            </w:r>
          </w:p>
        </w:tc>
        <w:tc>
          <w:tcPr>
            <w:tcW w:w="1882" w:type="dxa"/>
            <w:tcBorders>
              <w:top w:val="nil"/>
              <w:left w:val="nil"/>
              <w:bottom w:val="nil"/>
              <w:right w:val="nil"/>
            </w:tcBorders>
          </w:tcPr>
          <w:p w:rsidRPr="00E00C47" w:rsidR="002F22F3" w:rsidP="001E4DBC" w:rsidRDefault="002F22F3" w14:paraId="7C5EE2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BP23</w:t>
            </w:r>
          </w:p>
        </w:tc>
      </w:tr>
      <w:tr w:rsidRPr="00E00C47" w:rsidR="00E00C47" w:rsidTr="0039164F" w14:paraId="4AFCB893" w14:textId="77777777">
        <w:trPr>
          <w:cantSplit/>
        </w:trPr>
        <w:tc>
          <w:tcPr>
            <w:tcW w:w="4524" w:type="dxa"/>
            <w:tcBorders>
              <w:top w:val="nil"/>
              <w:left w:val="nil"/>
              <w:bottom w:val="nil"/>
              <w:right w:val="nil"/>
            </w:tcBorders>
          </w:tcPr>
          <w:p w:rsidRPr="00E00C47" w:rsidR="002F22F3" w:rsidP="001E4DBC" w:rsidRDefault="002F22F3" w14:paraId="5EE25D5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Nej till kostnadsbaserat reseavdrag</w:t>
            </w:r>
          </w:p>
        </w:tc>
        <w:tc>
          <w:tcPr>
            <w:tcW w:w="699" w:type="dxa"/>
            <w:tcBorders>
              <w:top w:val="nil"/>
              <w:left w:val="nil"/>
              <w:bottom w:val="nil"/>
              <w:right w:val="nil"/>
            </w:tcBorders>
          </w:tcPr>
          <w:p w:rsidRPr="00E00C47" w:rsidR="002F22F3" w:rsidP="001E4DBC" w:rsidRDefault="00E00C47" w14:paraId="2D24910D" w14:textId="5334C98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5,50</w:t>
            </w:r>
          </w:p>
        </w:tc>
        <w:tc>
          <w:tcPr>
            <w:tcW w:w="700" w:type="dxa"/>
            <w:tcBorders>
              <w:top w:val="nil"/>
              <w:left w:val="nil"/>
              <w:bottom w:val="nil"/>
              <w:right w:val="nil"/>
            </w:tcBorders>
          </w:tcPr>
          <w:p w:rsidRPr="00E00C47" w:rsidR="002F22F3" w:rsidP="001E4DBC" w:rsidRDefault="00E00C47" w14:paraId="6EDD7883" w14:textId="29C7198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5,50</w:t>
            </w:r>
          </w:p>
        </w:tc>
        <w:tc>
          <w:tcPr>
            <w:tcW w:w="700" w:type="dxa"/>
            <w:tcBorders>
              <w:top w:val="nil"/>
              <w:left w:val="nil"/>
              <w:bottom w:val="nil"/>
              <w:right w:val="nil"/>
            </w:tcBorders>
          </w:tcPr>
          <w:p w:rsidRPr="00E00C47" w:rsidR="002F22F3" w:rsidP="001E4DBC" w:rsidRDefault="00E00C47" w14:paraId="41651CCC" w14:textId="533CCFF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5,50</w:t>
            </w:r>
          </w:p>
        </w:tc>
        <w:tc>
          <w:tcPr>
            <w:tcW w:w="1882" w:type="dxa"/>
            <w:tcBorders>
              <w:top w:val="nil"/>
              <w:left w:val="nil"/>
              <w:bottom w:val="nil"/>
              <w:right w:val="nil"/>
            </w:tcBorders>
          </w:tcPr>
          <w:p w:rsidRPr="00E00C47" w:rsidR="002F22F3" w:rsidP="001E4DBC" w:rsidRDefault="002F22F3" w14:paraId="5F0E847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BP23</w:t>
            </w:r>
          </w:p>
        </w:tc>
      </w:tr>
      <w:tr w:rsidRPr="00E00C47" w:rsidR="00E00C47" w:rsidTr="0039164F" w14:paraId="4F9B0155" w14:textId="77777777">
        <w:trPr>
          <w:cantSplit/>
        </w:trPr>
        <w:tc>
          <w:tcPr>
            <w:tcW w:w="4524" w:type="dxa"/>
            <w:tcBorders>
              <w:top w:val="nil"/>
              <w:left w:val="nil"/>
              <w:bottom w:val="nil"/>
              <w:right w:val="nil"/>
            </w:tcBorders>
          </w:tcPr>
          <w:p w:rsidRPr="00E00C47" w:rsidR="002F22F3" w:rsidP="001E4DBC" w:rsidRDefault="002F22F3" w14:paraId="5C41B61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Ja till skattelättnad för arbetsresor med avståndsbaserat reseavdrag</w:t>
            </w:r>
          </w:p>
        </w:tc>
        <w:tc>
          <w:tcPr>
            <w:tcW w:w="699" w:type="dxa"/>
            <w:tcBorders>
              <w:top w:val="nil"/>
              <w:left w:val="nil"/>
              <w:bottom w:val="nil"/>
              <w:right w:val="nil"/>
            </w:tcBorders>
            <w:vAlign w:val="bottom"/>
          </w:tcPr>
          <w:p w:rsidRPr="00E00C47" w:rsidR="002F22F3" w:rsidP="00E00C47" w:rsidRDefault="00E00C47" w14:paraId="5FF396A0" w14:textId="1D49752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4,25</w:t>
            </w:r>
          </w:p>
        </w:tc>
        <w:tc>
          <w:tcPr>
            <w:tcW w:w="700" w:type="dxa"/>
            <w:tcBorders>
              <w:top w:val="nil"/>
              <w:left w:val="nil"/>
              <w:bottom w:val="nil"/>
              <w:right w:val="nil"/>
            </w:tcBorders>
            <w:vAlign w:val="bottom"/>
          </w:tcPr>
          <w:p w:rsidRPr="00E00C47" w:rsidR="002F22F3" w:rsidP="00E00C47" w:rsidRDefault="00E00C47" w14:paraId="1EE66526" w14:textId="4C428CE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4,25</w:t>
            </w:r>
          </w:p>
        </w:tc>
        <w:tc>
          <w:tcPr>
            <w:tcW w:w="700" w:type="dxa"/>
            <w:tcBorders>
              <w:top w:val="nil"/>
              <w:left w:val="nil"/>
              <w:bottom w:val="nil"/>
              <w:right w:val="nil"/>
            </w:tcBorders>
            <w:vAlign w:val="bottom"/>
          </w:tcPr>
          <w:p w:rsidRPr="00E00C47" w:rsidR="002F22F3" w:rsidP="00E00C47" w:rsidRDefault="00E00C47" w14:paraId="07C3214C" w14:textId="1E9FE51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4,25</w:t>
            </w:r>
          </w:p>
        </w:tc>
        <w:tc>
          <w:tcPr>
            <w:tcW w:w="1882" w:type="dxa"/>
            <w:tcBorders>
              <w:top w:val="nil"/>
              <w:left w:val="nil"/>
              <w:bottom w:val="nil"/>
              <w:right w:val="nil"/>
            </w:tcBorders>
            <w:vAlign w:val="bottom"/>
          </w:tcPr>
          <w:p w:rsidRPr="00E00C47" w:rsidR="002F22F3" w:rsidP="00E00C47" w:rsidRDefault="002F22F3" w14:paraId="63E126D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Fi 2022/01470</w:t>
            </w:r>
          </w:p>
        </w:tc>
      </w:tr>
      <w:tr w:rsidRPr="00E00C47" w:rsidR="00E00C47" w:rsidTr="0039164F" w14:paraId="4D2EE5E0" w14:textId="77777777">
        <w:trPr>
          <w:cantSplit/>
        </w:trPr>
        <w:tc>
          <w:tcPr>
            <w:tcW w:w="4524" w:type="dxa"/>
            <w:tcBorders>
              <w:top w:val="nil"/>
              <w:left w:val="nil"/>
              <w:bottom w:val="nil"/>
              <w:right w:val="nil"/>
            </w:tcBorders>
          </w:tcPr>
          <w:p w:rsidRPr="00E00C47" w:rsidR="002F22F3" w:rsidP="001E4DBC" w:rsidRDefault="002F22F3" w14:paraId="088EF8D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Nej till att enbart höja avdragen för resor med bil</w:t>
            </w:r>
          </w:p>
        </w:tc>
        <w:tc>
          <w:tcPr>
            <w:tcW w:w="699" w:type="dxa"/>
            <w:tcBorders>
              <w:top w:val="nil"/>
              <w:left w:val="nil"/>
              <w:bottom w:val="nil"/>
              <w:right w:val="nil"/>
            </w:tcBorders>
          </w:tcPr>
          <w:p w:rsidRPr="00E00C47" w:rsidR="002F22F3" w:rsidP="001E4DBC" w:rsidRDefault="002F22F3" w14:paraId="6FEC22B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1,61</w:t>
            </w:r>
          </w:p>
        </w:tc>
        <w:tc>
          <w:tcPr>
            <w:tcW w:w="700" w:type="dxa"/>
            <w:tcBorders>
              <w:top w:val="nil"/>
              <w:left w:val="nil"/>
              <w:bottom w:val="nil"/>
              <w:right w:val="nil"/>
            </w:tcBorders>
          </w:tcPr>
          <w:p w:rsidRPr="00E00C47" w:rsidR="002F22F3" w:rsidP="001E4DBC" w:rsidRDefault="002F22F3" w14:paraId="50FCE0E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1,61</w:t>
            </w:r>
          </w:p>
        </w:tc>
        <w:tc>
          <w:tcPr>
            <w:tcW w:w="700" w:type="dxa"/>
            <w:tcBorders>
              <w:top w:val="nil"/>
              <w:left w:val="nil"/>
              <w:bottom w:val="nil"/>
              <w:right w:val="nil"/>
            </w:tcBorders>
          </w:tcPr>
          <w:p w:rsidRPr="00E00C47" w:rsidR="002F22F3" w:rsidP="001E4DBC" w:rsidRDefault="002F22F3" w14:paraId="104D0C0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1,61</w:t>
            </w:r>
          </w:p>
        </w:tc>
        <w:tc>
          <w:tcPr>
            <w:tcW w:w="1882" w:type="dxa"/>
            <w:tcBorders>
              <w:top w:val="nil"/>
              <w:left w:val="nil"/>
              <w:bottom w:val="nil"/>
              <w:right w:val="nil"/>
            </w:tcBorders>
          </w:tcPr>
          <w:p w:rsidRPr="00E00C47" w:rsidR="002F22F3" w:rsidP="001E4DBC" w:rsidRDefault="002F22F3" w14:paraId="76D464E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BP23</w:t>
            </w:r>
          </w:p>
        </w:tc>
      </w:tr>
      <w:tr w:rsidRPr="00E00C47" w:rsidR="00E00C47" w:rsidTr="0039164F" w14:paraId="28D3611E" w14:textId="77777777">
        <w:trPr>
          <w:cantSplit/>
        </w:trPr>
        <w:tc>
          <w:tcPr>
            <w:tcW w:w="4524" w:type="dxa"/>
            <w:tcBorders>
              <w:top w:val="nil"/>
              <w:left w:val="nil"/>
              <w:bottom w:val="nil"/>
              <w:right w:val="nil"/>
            </w:tcBorders>
          </w:tcPr>
          <w:p w:rsidRPr="00E00C47" w:rsidR="002F22F3" w:rsidP="001E4DBC" w:rsidRDefault="002F22F3" w14:paraId="1B35AF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Nej till justerade avdrag för tjänsteresor</w:t>
            </w:r>
          </w:p>
        </w:tc>
        <w:tc>
          <w:tcPr>
            <w:tcW w:w="699" w:type="dxa"/>
            <w:tcBorders>
              <w:top w:val="nil"/>
              <w:left w:val="nil"/>
              <w:bottom w:val="nil"/>
              <w:right w:val="nil"/>
            </w:tcBorders>
          </w:tcPr>
          <w:p w:rsidRPr="00E00C47" w:rsidR="002F22F3" w:rsidP="001E4DBC" w:rsidRDefault="002F22F3" w14:paraId="75AD998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0,18</w:t>
            </w:r>
          </w:p>
        </w:tc>
        <w:tc>
          <w:tcPr>
            <w:tcW w:w="700" w:type="dxa"/>
            <w:tcBorders>
              <w:top w:val="nil"/>
              <w:left w:val="nil"/>
              <w:bottom w:val="nil"/>
              <w:right w:val="nil"/>
            </w:tcBorders>
          </w:tcPr>
          <w:p w:rsidRPr="00E00C47" w:rsidR="002F22F3" w:rsidP="001E4DBC" w:rsidRDefault="002F22F3" w14:paraId="1FE7023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0,20</w:t>
            </w:r>
          </w:p>
        </w:tc>
        <w:tc>
          <w:tcPr>
            <w:tcW w:w="700" w:type="dxa"/>
            <w:tcBorders>
              <w:top w:val="nil"/>
              <w:left w:val="nil"/>
              <w:bottom w:val="nil"/>
              <w:right w:val="nil"/>
            </w:tcBorders>
          </w:tcPr>
          <w:p w:rsidRPr="00E00C47" w:rsidR="002F22F3" w:rsidP="001E4DBC" w:rsidRDefault="002F22F3" w14:paraId="7C4BF64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0,20</w:t>
            </w:r>
          </w:p>
        </w:tc>
        <w:tc>
          <w:tcPr>
            <w:tcW w:w="1882" w:type="dxa"/>
            <w:tcBorders>
              <w:top w:val="nil"/>
              <w:left w:val="nil"/>
              <w:bottom w:val="nil"/>
              <w:right w:val="nil"/>
            </w:tcBorders>
          </w:tcPr>
          <w:p w:rsidRPr="00E00C47" w:rsidR="002F22F3" w:rsidP="001E4DBC" w:rsidRDefault="002F22F3" w14:paraId="0933F1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BP23</w:t>
            </w:r>
          </w:p>
        </w:tc>
      </w:tr>
      <w:tr w:rsidRPr="00E00C47" w:rsidR="00E00C47" w:rsidTr="0039164F" w14:paraId="7427CDDB" w14:textId="77777777">
        <w:trPr>
          <w:cantSplit/>
        </w:trPr>
        <w:tc>
          <w:tcPr>
            <w:tcW w:w="4524" w:type="dxa"/>
            <w:tcBorders>
              <w:top w:val="nil"/>
              <w:left w:val="nil"/>
              <w:bottom w:val="nil"/>
              <w:right w:val="nil"/>
            </w:tcBorders>
          </w:tcPr>
          <w:p w:rsidRPr="00E00C47" w:rsidR="002F22F3" w:rsidP="001E4DBC" w:rsidRDefault="002F22F3" w14:paraId="504172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Nej till avskaffad avfallsförbränningsskatt</w:t>
            </w:r>
          </w:p>
        </w:tc>
        <w:tc>
          <w:tcPr>
            <w:tcW w:w="699" w:type="dxa"/>
            <w:tcBorders>
              <w:top w:val="nil"/>
              <w:left w:val="nil"/>
              <w:bottom w:val="nil"/>
              <w:right w:val="nil"/>
            </w:tcBorders>
          </w:tcPr>
          <w:p w:rsidRPr="00E00C47" w:rsidR="002F22F3" w:rsidP="001E4DBC" w:rsidRDefault="002F22F3" w14:paraId="79D621F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0,41</w:t>
            </w:r>
          </w:p>
        </w:tc>
        <w:tc>
          <w:tcPr>
            <w:tcW w:w="700" w:type="dxa"/>
            <w:tcBorders>
              <w:top w:val="nil"/>
              <w:left w:val="nil"/>
              <w:bottom w:val="nil"/>
              <w:right w:val="nil"/>
            </w:tcBorders>
          </w:tcPr>
          <w:p w:rsidRPr="00E00C47" w:rsidR="002F22F3" w:rsidP="001E4DBC" w:rsidRDefault="002F22F3" w14:paraId="26E2A88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0,45</w:t>
            </w:r>
          </w:p>
        </w:tc>
        <w:tc>
          <w:tcPr>
            <w:tcW w:w="700" w:type="dxa"/>
            <w:tcBorders>
              <w:top w:val="nil"/>
              <w:left w:val="nil"/>
              <w:bottom w:val="nil"/>
              <w:right w:val="nil"/>
            </w:tcBorders>
          </w:tcPr>
          <w:p w:rsidRPr="00E00C47" w:rsidR="002F22F3" w:rsidP="001E4DBC" w:rsidRDefault="002F22F3" w14:paraId="6068E13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0,47</w:t>
            </w:r>
          </w:p>
        </w:tc>
        <w:tc>
          <w:tcPr>
            <w:tcW w:w="1882" w:type="dxa"/>
            <w:tcBorders>
              <w:top w:val="nil"/>
              <w:left w:val="nil"/>
              <w:bottom w:val="nil"/>
              <w:right w:val="nil"/>
            </w:tcBorders>
          </w:tcPr>
          <w:p w:rsidRPr="00E00C47" w:rsidR="002F22F3" w:rsidP="001E4DBC" w:rsidRDefault="002F22F3" w14:paraId="329408F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BP23</w:t>
            </w:r>
          </w:p>
        </w:tc>
      </w:tr>
      <w:tr w:rsidRPr="00E00C47" w:rsidR="00E00C47" w:rsidTr="0039164F" w14:paraId="273574DF" w14:textId="77777777">
        <w:trPr>
          <w:cantSplit/>
        </w:trPr>
        <w:tc>
          <w:tcPr>
            <w:tcW w:w="4524" w:type="dxa"/>
            <w:tcBorders>
              <w:top w:val="nil"/>
              <w:left w:val="nil"/>
              <w:right w:val="nil"/>
            </w:tcBorders>
          </w:tcPr>
          <w:p w:rsidRPr="00E00C47" w:rsidR="002F22F3" w:rsidP="001E4DBC" w:rsidRDefault="002F22F3" w14:paraId="36112F4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Nej till höjd moms på reparationer</w:t>
            </w:r>
          </w:p>
        </w:tc>
        <w:tc>
          <w:tcPr>
            <w:tcW w:w="699" w:type="dxa"/>
            <w:tcBorders>
              <w:top w:val="nil"/>
              <w:left w:val="nil"/>
              <w:right w:val="nil"/>
            </w:tcBorders>
          </w:tcPr>
          <w:p w:rsidRPr="00E00C47" w:rsidR="002F22F3" w:rsidP="001E4DBC" w:rsidRDefault="00E00C47" w14:paraId="4C4EFBF9" w14:textId="35BEA40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0,06</w:t>
            </w:r>
          </w:p>
        </w:tc>
        <w:tc>
          <w:tcPr>
            <w:tcW w:w="700" w:type="dxa"/>
            <w:tcBorders>
              <w:top w:val="nil"/>
              <w:left w:val="nil"/>
              <w:right w:val="nil"/>
            </w:tcBorders>
          </w:tcPr>
          <w:p w:rsidRPr="00E00C47" w:rsidR="002F22F3" w:rsidP="001E4DBC" w:rsidRDefault="00E00C47" w14:paraId="0D25691C" w14:textId="0A1A06C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0,08</w:t>
            </w:r>
          </w:p>
        </w:tc>
        <w:tc>
          <w:tcPr>
            <w:tcW w:w="700" w:type="dxa"/>
            <w:tcBorders>
              <w:top w:val="nil"/>
              <w:left w:val="nil"/>
              <w:right w:val="nil"/>
            </w:tcBorders>
          </w:tcPr>
          <w:p w:rsidRPr="00E00C47" w:rsidR="002F22F3" w:rsidP="001E4DBC" w:rsidRDefault="00E00C47" w14:paraId="6F3E0EFE" w14:textId="089F320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0,08</w:t>
            </w:r>
          </w:p>
        </w:tc>
        <w:tc>
          <w:tcPr>
            <w:tcW w:w="1882" w:type="dxa"/>
            <w:tcBorders>
              <w:top w:val="nil"/>
              <w:left w:val="nil"/>
              <w:right w:val="nil"/>
            </w:tcBorders>
          </w:tcPr>
          <w:p w:rsidRPr="00E00C47" w:rsidR="002F22F3" w:rsidP="001E4DBC" w:rsidRDefault="002F22F3" w14:paraId="3AD20C7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BP23</w:t>
            </w:r>
          </w:p>
        </w:tc>
      </w:tr>
      <w:tr w:rsidRPr="00E00C47" w:rsidR="00E00C47" w:rsidTr="0039164F" w14:paraId="0FCD971A" w14:textId="77777777">
        <w:trPr>
          <w:cantSplit/>
        </w:trPr>
        <w:tc>
          <w:tcPr>
            <w:tcW w:w="4524" w:type="dxa"/>
            <w:tcBorders>
              <w:left w:val="nil"/>
              <w:bottom w:val="single" w:color="auto" w:sz="6" w:space="0"/>
              <w:right w:val="nil"/>
            </w:tcBorders>
          </w:tcPr>
          <w:p w:rsidRPr="00E00C47" w:rsidR="002F22F3" w:rsidP="001E4DBC" w:rsidRDefault="002F22F3" w14:paraId="48D14C9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Summa nya skatteförslag</w:t>
            </w:r>
          </w:p>
        </w:tc>
        <w:tc>
          <w:tcPr>
            <w:tcW w:w="699" w:type="dxa"/>
            <w:tcBorders>
              <w:left w:val="nil"/>
              <w:bottom w:val="single" w:color="auto" w:sz="6" w:space="0"/>
              <w:right w:val="nil"/>
            </w:tcBorders>
          </w:tcPr>
          <w:p w:rsidRPr="00E00C47" w:rsidR="002F22F3" w:rsidP="001E4DBC" w:rsidRDefault="002F22F3" w14:paraId="207495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29,49</w:t>
            </w:r>
          </w:p>
        </w:tc>
        <w:tc>
          <w:tcPr>
            <w:tcW w:w="700" w:type="dxa"/>
            <w:tcBorders>
              <w:left w:val="nil"/>
              <w:bottom w:val="single" w:color="auto" w:sz="6" w:space="0"/>
              <w:right w:val="nil"/>
            </w:tcBorders>
          </w:tcPr>
          <w:p w:rsidRPr="00E00C47" w:rsidR="002F22F3" w:rsidP="001E4DBC" w:rsidRDefault="002F22F3" w14:paraId="339CE14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28,63</w:t>
            </w:r>
          </w:p>
        </w:tc>
        <w:tc>
          <w:tcPr>
            <w:tcW w:w="700" w:type="dxa"/>
            <w:tcBorders>
              <w:left w:val="nil"/>
              <w:bottom w:val="single" w:color="auto" w:sz="6" w:space="0"/>
              <w:right w:val="nil"/>
            </w:tcBorders>
          </w:tcPr>
          <w:p w:rsidRPr="00E00C47" w:rsidR="002F22F3" w:rsidP="001E4DBC" w:rsidRDefault="002F22F3" w14:paraId="247A7B6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29,35</w:t>
            </w:r>
          </w:p>
        </w:tc>
        <w:tc>
          <w:tcPr>
            <w:tcW w:w="1882" w:type="dxa"/>
            <w:tcBorders>
              <w:left w:val="nil"/>
              <w:bottom w:val="single" w:color="auto" w:sz="6" w:space="0"/>
              <w:right w:val="nil"/>
            </w:tcBorders>
          </w:tcPr>
          <w:p w:rsidRPr="00E00C47" w:rsidR="002F22F3" w:rsidP="001E4DBC" w:rsidRDefault="002F22F3" w14:paraId="09DD749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E00C47" w:rsidR="00E00C47" w:rsidTr="0039164F" w14:paraId="7B42883F" w14:textId="77777777">
        <w:trPr>
          <w:cantSplit/>
        </w:trPr>
        <w:tc>
          <w:tcPr>
            <w:tcW w:w="4524" w:type="dxa"/>
            <w:tcBorders>
              <w:top w:val="nil"/>
              <w:left w:val="nil"/>
              <w:right w:val="nil"/>
            </w:tcBorders>
          </w:tcPr>
          <w:p w:rsidRPr="00E00C47" w:rsidR="002F22F3" w:rsidP="001E4DBC" w:rsidRDefault="002F22F3" w14:paraId="5D2A6B4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699" w:type="dxa"/>
            <w:tcBorders>
              <w:top w:val="nil"/>
              <w:left w:val="nil"/>
              <w:right w:val="nil"/>
            </w:tcBorders>
          </w:tcPr>
          <w:p w:rsidRPr="00E00C47" w:rsidR="002F22F3" w:rsidP="001E4DBC" w:rsidRDefault="002F22F3" w14:paraId="3F63654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700" w:type="dxa"/>
            <w:tcBorders>
              <w:top w:val="nil"/>
              <w:left w:val="nil"/>
              <w:right w:val="nil"/>
            </w:tcBorders>
          </w:tcPr>
          <w:p w:rsidRPr="00E00C47" w:rsidR="002F22F3" w:rsidP="001E4DBC" w:rsidRDefault="002F22F3" w14:paraId="63313BB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700" w:type="dxa"/>
            <w:tcBorders>
              <w:top w:val="nil"/>
              <w:left w:val="nil"/>
              <w:right w:val="nil"/>
            </w:tcBorders>
          </w:tcPr>
          <w:p w:rsidRPr="00E00C47" w:rsidR="002F22F3" w:rsidP="001E4DBC" w:rsidRDefault="002F22F3" w14:paraId="72CDD7E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882" w:type="dxa"/>
            <w:tcBorders>
              <w:top w:val="nil"/>
              <w:left w:val="nil"/>
              <w:right w:val="nil"/>
            </w:tcBorders>
          </w:tcPr>
          <w:p w:rsidRPr="00E00C47" w:rsidR="002F22F3" w:rsidP="001E4DBC" w:rsidRDefault="002F22F3" w14:paraId="5DE026E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E00C47" w:rsidR="00E00C47" w:rsidTr="0039164F" w14:paraId="6DCABFB6" w14:textId="77777777">
        <w:trPr>
          <w:cantSplit/>
        </w:trPr>
        <w:tc>
          <w:tcPr>
            <w:tcW w:w="4524" w:type="dxa"/>
            <w:tcBorders>
              <w:top w:val="nil"/>
              <w:left w:val="nil"/>
              <w:right w:val="nil"/>
            </w:tcBorders>
          </w:tcPr>
          <w:p w:rsidRPr="00E00C47" w:rsidR="002F22F3" w:rsidP="001E4DBC" w:rsidRDefault="002F22F3" w14:paraId="4271C88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b/>
                <w:bCs/>
                <w:i/>
                <w:iCs/>
                <w:color w:val="000000"/>
                <w:kern w:val="0"/>
                <w:sz w:val="20"/>
                <w:szCs w:val="20"/>
                <w14:numSpacing w14:val="default"/>
              </w:rPr>
            </w:pPr>
            <w:r w:rsidRPr="00E00C47">
              <w:rPr>
                <w:rFonts w:cstheme="minorHAnsi"/>
                <w:b/>
                <w:bCs/>
                <w:i/>
                <w:iCs/>
                <w:color w:val="000000"/>
                <w:kern w:val="0"/>
                <w:sz w:val="20"/>
                <w:szCs w:val="20"/>
                <w14:numSpacing w14:val="default"/>
              </w:rPr>
              <w:t>För ökad likformighet</w:t>
            </w:r>
          </w:p>
        </w:tc>
        <w:tc>
          <w:tcPr>
            <w:tcW w:w="699" w:type="dxa"/>
            <w:tcBorders>
              <w:top w:val="nil"/>
              <w:left w:val="nil"/>
              <w:right w:val="nil"/>
            </w:tcBorders>
          </w:tcPr>
          <w:p w:rsidRPr="00E00C47" w:rsidR="002F22F3" w:rsidP="001E4DBC" w:rsidRDefault="002F22F3" w14:paraId="2226D5C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700" w:type="dxa"/>
            <w:tcBorders>
              <w:top w:val="nil"/>
              <w:left w:val="nil"/>
              <w:right w:val="nil"/>
            </w:tcBorders>
          </w:tcPr>
          <w:p w:rsidRPr="00E00C47" w:rsidR="002F22F3" w:rsidP="001E4DBC" w:rsidRDefault="002F22F3" w14:paraId="46E350D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700" w:type="dxa"/>
            <w:tcBorders>
              <w:top w:val="nil"/>
              <w:left w:val="nil"/>
              <w:right w:val="nil"/>
            </w:tcBorders>
          </w:tcPr>
          <w:p w:rsidRPr="00E00C47" w:rsidR="002F22F3" w:rsidP="001E4DBC" w:rsidRDefault="002F22F3" w14:paraId="19A1080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882" w:type="dxa"/>
            <w:tcBorders>
              <w:top w:val="nil"/>
              <w:left w:val="nil"/>
              <w:right w:val="nil"/>
            </w:tcBorders>
          </w:tcPr>
          <w:p w:rsidRPr="00E00C47" w:rsidR="002F22F3" w:rsidP="001E4DBC" w:rsidRDefault="002F22F3" w14:paraId="51BD7F5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E00C47" w:rsidR="00E00C47" w:rsidTr="0039164F" w14:paraId="3BDA664F" w14:textId="77777777">
        <w:trPr>
          <w:cantSplit/>
        </w:trPr>
        <w:tc>
          <w:tcPr>
            <w:tcW w:w="4524" w:type="dxa"/>
            <w:tcBorders>
              <w:left w:val="nil"/>
              <w:bottom w:val="nil"/>
              <w:right w:val="nil"/>
            </w:tcBorders>
          </w:tcPr>
          <w:p w:rsidRPr="00E00C47" w:rsidR="002F22F3" w:rsidP="001E4DBC" w:rsidRDefault="002F22F3" w14:paraId="16298F2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Skattereduktion för fackföreningsavgift</w:t>
            </w:r>
          </w:p>
        </w:tc>
        <w:tc>
          <w:tcPr>
            <w:tcW w:w="699" w:type="dxa"/>
            <w:tcBorders>
              <w:left w:val="nil"/>
              <w:bottom w:val="nil"/>
              <w:right w:val="nil"/>
            </w:tcBorders>
          </w:tcPr>
          <w:p w:rsidRPr="00E00C47" w:rsidR="002F22F3" w:rsidP="001E4DBC" w:rsidRDefault="00E00C47" w14:paraId="53664DBF" w14:textId="5E037E7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2,60</w:t>
            </w:r>
          </w:p>
        </w:tc>
        <w:tc>
          <w:tcPr>
            <w:tcW w:w="700" w:type="dxa"/>
            <w:tcBorders>
              <w:left w:val="nil"/>
              <w:bottom w:val="nil"/>
              <w:right w:val="nil"/>
            </w:tcBorders>
          </w:tcPr>
          <w:p w:rsidRPr="00E00C47" w:rsidR="002F22F3" w:rsidP="001E4DBC" w:rsidRDefault="00E00C47" w14:paraId="16C16C29" w14:textId="224762D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2,60</w:t>
            </w:r>
          </w:p>
        </w:tc>
        <w:tc>
          <w:tcPr>
            <w:tcW w:w="700" w:type="dxa"/>
            <w:tcBorders>
              <w:left w:val="nil"/>
              <w:bottom w:val="nil"/>
              <w:right w:val="nil"/>
            </w:tcBorders>
          </w:tcPr>
          <w:p w:rsidRPr="00E00C47" w:rsidR="002F22F3" w:rsidP="001E4DBC" w:rsidRDefault="000073E7" w14:paraId="155F1738" w14:textId="7D3F80A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2,60</w:t>
            </w:r>
          </w:p>
        </w:tc>
        <w:tc>
          <w:tcPr>
            <w:tcW w:w="1882" w:type="dxa"/>
            <w:tcBorders>
              <w:left w:val="nil"/>
              <w:bottom w:val="nil"/>
              <w:right w:val="nil"/>
            </w:tcBorders>
          </w:tcPr>
          <w:p w:rsidRPr="00E00C47" w:rsidR="002F22F3" w:rsidP="001E4DBC" w:rsidRDefault="002F22F3" w14:paraId="7C0A8D4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2022:612</w:t>
            </w:r>
          </w:p>
        </w:tc>
      </w:tr>
      <w:tr w:rsidRPr="00E00C47" w:rsidR="00E00C47" w:rsidTr="0039164F" w14:paraId="0284854A" w14:textId="77777777">
        <w:trPr>
          <w:cantSplit/>
        </w:trPr>
        <w:tc>
          <w:tcPr>
            <w:tcW w:w="4524" w:type="dxa"/>
            <w:tcBorders>
              <w:top w:val="nil"/>
              <w:left w:val="nil"/>
              <w:bottom w:val="nil"/>
              <w:right w:val="nil"/>
            </w:tcBorders>
          </w:tcPr>
          <w:p w:rsidRPr="00E00C47" w:rsidR="002F22F3" w:rsidP="001E4DBC" w:rsidRDefault="002F22F3" w14:paraId="4493C13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Sänkt skatt för sjuka, arbetslösa m.fl.</w:t>
            </w:r>
          </w:p>
        </w:tc>
        <w:tc>
          <w:tcPr>
            <w:tcW w:w="699" w:type="dxa"/>
            <w:tcBorders>
              <w:top w:val="nil"/>
              <w:left w:val="nil"/>
              <w:bottom w:val="nil"/>
              <w:right w:val="nil"/>
            </w:tcBorders>
          </w:tcPr>
          <w:p w:rsidRPr="00E00C47" w:rsidR="002F22F3" w:rsidP="001E4DBC" w:rsidRDefault="000073E7" w14:paraId="73690125" w14:textId="1FA7A0C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7,00</w:t>
            </w:r>
          </w:p>
        </w:tc>
        <w:tc>
          <w:tcPr>
            <w:tcW w:w="700" w:type="dxa"/>
            <w:tcBorders>
              <w:top w:val="nil"/>
              <w:left w:val="nil"/>
              <w:bottom w:val="nil"/>
              <w:right w:val="nil"/>
            </w:tcBorders>
          </w:tcPr>
          <w:p w:rsidRPr="00E00C47" w:rsidR="002F22F3" w:rsidP="001E4DBC" w:rsidRDefault="000073E7" w14:paraId="1E5DED4B" w14:textId="338E23C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7,20</w:t>
            </w:r>
          </w:p>
        </w:tc>
        <w:tc>
          <w:tcPr>
            <w:tcW w:w="700" w:type="dxa"/>
            <w:tcBorders>
              <w:top w:val="nil"/>
              <w:left w:val="nil"/>
              <w:bottom w:val="nil"/>
              <w:right w:val="nil"/>
            </w:tcBorders>
          </w:tcPr>
          <w:p w:rsidRPr="00E00C47" w:rsidR="002F22F3" w:rsidP="001E4DBC" w:rsidRDefault="000073E7" w14:paraId="14650BAC" w14:textId="18B5C77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Pr>
                <w:rFonts w:cstheme="minorHAnsi"/>
                <w:color w:val="000000"/>
                <w:kern w:val="0"/>
                <w:sz w:val="20"/>
                <w:szCs w:val="20"/>
                <w14:numSpacing w14:val="default"/>
              </w:rPr>
              <w:t>–</w:t>
            </w:r>
            <w:r w:rsidRPr="00E00C47" w:rsidR="002F22F3">
              <w:rPr>
                <w:rFonts w:cstheme="minorHAnsi"/>
                <w:color w:val="000000"/>
                <w:kern w:val="0"/>
                <w:sz w:val="20"/>
                <w:szCs w:val="20"/>
                <w14:numSpacing w14:val="default"/>
              </w:rPr>
              <w:t>7,40</w:t>
            </w:r>
          </w:p>
        </w:tc>
        <w:tc>
          <w:tcPr>
            <w:tcW w:w="1882" w:type="dxa"/>
            <w:tcBorders>
              <w:top w:val="nil"/>
              <w:left w:val="nil"/>
              <w:bottom w:val="nil"/>
              <w:right w:val="nil"/>
            </w:tcBorders>
          </w:tcPr>
          <w:p w:rsidRPr="00E00C47" w:rsidR="002F22F3" w:rsidP="001E4DBC" w:rsidRDefault="002F22F3" w14:paraId="037D8C8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2022:614</w:t>
            </w:r>
          </w:p>
        </w:tc>
      </w:tr>
      <w:tr w:rsidRPr="00E00C47" w:rsidR="00E00C47" w:rsidTr="0039164F" w14:paraId="380E7EC4" w14:textId="77777777">
        <w:trPr>
          <w:cantSplit/>
        </w:trPr>
        <w:tc>
          <w:tcPr>
            <w:tcW w:w="4524" w:type="dxa"/>
            <w:tcBorders>
              <w:top w:val="nil"/>
              <w:left w:val="nil"/>
              <w:bottom w:val="nil"/>
              <w:right w:val="nil"/>
            </w:tcBorders>
          </w:tcPr>
          <w:p w:rsidRPr="00E00C47" w:rsidR="002F22F3" w:rsidP="001E4DBC" w:rsidRDefault="002F22F3" w14:paraId="30FA197D" w14:textId="779B204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Slopad nedsättning av arbetsgivaravgifterna för</w:t>
            </w:r>
            <w:r w:rsidR="002E3A52">
              <w:rPr>
                <w:rFonts w:cstheme="minorHAnsi"/>
                <w:color w:val="000000"/>
                <w:kern w:val="0"/>
                <w:sz w:val="20"/>
                <w:szCs w:val="20"/>
                <w14:numSpacing w14:val="default"/>
              </w:rPr>
              <w:t xml:space="preserve"> de som är</w:t>
            </w:r>
            <w:r w:rsidRPr="00E00C47">
              <w:rPr>
                <w:rFonts w:cstheme="minorHAnsi"/>
                <w:color w:val="000000"/>
                <w:kern w:val="0"/>
                <w:sz w:val="20"/>
                <w:szCs w:val="20"/>
                <w14:numSpacing w14:val="default"/>
              </w:rPr>
              <w:t xml:space="preserve"> 19</w:t>
            </w:r>
            <w:r w:rsidR="002E3A52">
              <w:rPr>
                <w:rFonts w:cstheme="minorHAnsi"/>
                <w:color w:val="000000"/>
                <w:kern w:val="0"/>
                <w:sz w:val="20"/>
                <w:szCs w:val="20"/>
                <w14:numSpacing w14:val="default"/>
              </w:rPr>
              <w:t>–</w:t>
            </w:r>
            <w:r w:rsidRPr="00E00C47">
              <w:rPr>
                <w:rFonts w:cstheme="minorHAnsi"/>
                <w:color w:val="000000"/>
                <w:kern w:val="0"/>
                <w:sz w:val="20"/>
                <w:szCs w:val="20"/>
                <w14:numSpacing w14:val="default"/>
              </w:rPr>
              <w:t>23 år</w:t>
            </w:r>
          </w:p>
        </w:tc>
        <w:tc>
          <w:tcPr>
            <w:tcW w:w="699" w:type="dxa"/>
            <w:tcBorders>
              <w:top w:val="nil"/>
              <w:left w:val="nil"/>
              <w:bottom w:val="nil"/>
              <w:right w:val="nil"/>
            </w:tcBorders>
            <w:vAlign w:val="bottom"/>
          </w:tcPr>
          <w:p w:rsidRPr="00E00C47" w:rsidR="002F22F3" w:rsidP="00B1331F" w:rsidRDefault="002F22F3" w14:paraId="05B08D5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1,42</w:t>
            </w:r>
          </w:p>
        </w:tc>
        <w:tc>
          <w:tcPr>
            <w:tcW w:w="700" w:type="dxa"/>
            <w:tcBorders>
              <w:top w:val="nil"/>
              <w:left w:val="nil"/>
              <w:bottom w:val="nil"/>
              <w:right w:val="nil"/>
            </w:tcBorders>
            <w:vAlign w:val="bottom"/>
          </w:tcPr>
          <w:p w:rsidRPr="00E00C47" w:rsidR="002F22F3" w:rsidP="00B1331F" w:rsidRDefault="002F22F3" w14:paraId="612AB3D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700" w:type="dxa"/>
            <w:tcBorders>
              <w:top w:val="nil"/>
              <w:left w:val="nil"/>
              <w:bottom w:val="nil"/>
              <w:right w:val="nil"/>
            </w:tcBorders>
            <w:vAlign w:val="bottom"/>
          </w:tcPr>
          <w:p w:rsidRPr="00E00C47" w:rsidR="002F22F3" w:rsidP="00B1331F" w:rsidRDefault="002F22F3" w14:paraId="3E4247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882" w:type="dxa"/>
            <w:tcBorders>
              <w:top w:val="nil"/>
              <w:left w:val="nil"/>
              <w:bottom w:val="nil"/>
              <w:right w:val="nil"/>
            </w:tcBorders>
            <w:vAlign w:val="bottom"/>
          </w:tcPr>
          <w:p w:rsidRPr="00E00C47" w:rsidR="002F22F3" w:rsidP="00B1331F" w:rsidRDefault="002F22F3" w14:paraId="0FC29D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2021:673</w:t>
            </w:r>
          </w:p>
        </w:tc>
      </w:tr>
      <w:tr w:rsidRPr="00E00C47" w:rsidR="00E00C47" w:rsidTr="0039164F" w14:paraId="0D244A90" w14:textId="77777777">
        <w:trPr>
          <w:cantSplit/>
        </w:trPr>
        <w:tc>
          <w:tcPr>
            <w:tcW w:w="4524" w:type="dxa"/>
            <w:tcBorders>
              <w:top w:val="nil"/>
              <w:left w:val="nil"/>
              <w:bottom w:val="nil"/>
              <w:right w:val="nil"/>
            </w:tcBorders>
          </w:tcPr>
          <w:p w:rsidRPr="00E00C47" w:rsidR="002F22F3" w:rsidP="001E4DBC" w:rsidRDefault="002F22F3" w14:paraId="1F21F6A7" w14:textId="2818DDA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Slopad nedsättning av arbetsgivaravgifterna för</w:t>
            </w:r>
            <w:r w:rsidR="002E3A52">
              <w:rPr>
                <w:rFonts w:cstheme="minorHAnsi"/>
                <w:color w:val="000000"/>
                <w:kern w:val="0"/>
                <w:sz w:val="20"/>
                <w:szCs w:val="20"/>
                <w14:numSpacing w14:val="default"/>
              </w:rPr>
              <w:t xml:space="preserve"> de som är</w:t>
            </w:r>
            <w:r w:rsidRPr="00E00C47">
              <w:rPr>
                <w:rFonts w:cstheme="minorHAnsi"/>
                <w:color w:val="000000"/>
                <w:kern w:val="0"/>
                <w:sz w:val="20"/>
                <w:szCs w:val="20"/>
                <w14:numSpacing w14:val="default"/>
              </w:rPr>
              <w:t xml:space="preserve"> 15</w:t>
            </w:r>
            <w:r w:rsidR="002E3A52">
              <w:rPr>
                <w:rFonts w:cstheme="minorHAnsi"/>
                <w:color w:val="000000"/>
                <w:kern w:val="0"/>
                <w:sz w:val="20"/>
                <w:szCs w:val="20"/>
                <w14:numSpacing w14:val="default"/>
              </w:rPr>
              <w:t>–</w:t>
            </w:r>
            <w:r w:rsidRPr="00E00C47">
              <w:rPr>
                <w:rFonts w:cstheme="minorHAnsi"/>
                <w:color w:val="000000"/>
                <w:kern w:val="0"/>
                <w:sz w:val="20"/>
                <w:szCs w:val="20"/>
                <w14:numSpacing w14:val="default"/>
              </w:rPr>
              <w:t>18 år</w:t>
            </w:r>
          </w:p>
        </w:tc>
        <w:tc>
          <w:tcPr>
            <w:tcW w:w="699" w:type="dxa"/>
            <w:tcBorders>
              <w:top w:val="nil"/>
              <w:left w:val="nil"/>
              <w:bottom w:val="nil"/>
              <w:right w:val="nil"/>
            </w:tcBorders>
            <w:vAlign w:val="bottom"/>
          </w:tcPr>
          <w:p w:rsidRPr="00E00C47" w:rsidR="002F22F3" w:rsidP="00B1331F" w:rsidRDefault="002F22F3" w14:paraId="7500292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0,70</w:t>
            </w:r>
          </w:p>
        </w:tc>
        <w:tc>
          <w:tcPr>
            <w:tcW w:w="700" w:type="dxa"/>
            <w:tcBorders>
              <w:top w:val="nil"/>
              <w:left w:val="nil"/>
              <w:bottom w:val="nil"/>
              <w:right w:val="nil"/>
            </w:tcBorders>
            <w:vAlign w:val="bottom"/>
          </w:tcPr>
          <w:p w:rsidRPr="00E00C47" w:rsidR="002F22F3" w:rsidP="00B1331F" w:rsidRDefault="002F22F3" w14:paraId="223797C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0,70</w:t>
            </w:r>
          </w:p>
        </w:tc>
        <w:tc>
          <w:tcPr>
            <w:tcW w:w="700" w:type="dxa"/>
            <w:tcBorders>
              <w:top w:val="nil"/>
              <w:left w:val="nil"/>
              <w:bottom w:val="nil"/>
              <w:right w:val="nil"/>
            </w:tcBorders>
            <w:vAlign w:val="bottom"/>
          </w:tcPr>
          <w:p w:rsidRPr="00E00C47" w:rsidR="002F22F3" w:rsidP="00B1331F" w:rsidRDefault="002F22F3" w14:paraId="49C5B82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0,70</w:t>
            </w:r>
          </w:p>
        </w:tc>
        <w:tc>
          <w:tcPr>
            <w:tcW w:w="1882" w:type="dxa"/>
            <w:tcBorders>
              <w:top w:val="nil"/>
              <w:left w:val="nil"/>
              <w:bottom w:val="nil"/>
              <w:right w:val="nil"/>
            </w:tcBorders>
            <w:vAlign w:val="bottom"/>
          </w:tcPr>
          <w:p w:rsidRPr="00E00C47" w:rsidR="002F22F3" w:rsidP="00B1331F" w:rsidRDefault="002F22F3" w14:paraId="41379A3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2022:969</w:t>
            </w:r>
          </w:p>
        </w:tc>
      </w:tr>
      <w:tr w:rsidRPr="00E00C47" w:rsidR="00E00C47" w:rsidTr="0039164F" w14:paraId="14752335" w14:textId="77777777">
        <w:trPr>
          <w:cantSplit/>
        </w:trPr>
        <w:tc>
          <w:tcPr>
            <w:tcW w:w="4524" w:type="dxa"/>
            <w:tcBorders>
              <w:top w:val="nil"/>
              <w:left w:val="nil"/>
              <w:bottom w:val="nil"/>
              <w:right w:val="nil"/>
            </w:tcBorders>
          </w:tcPr>
          <w:p w:rsidRPr="00E00C47" w:rsidR="002F22F3" w:rsidP="001E4DBC" w:rsidRDefault="002F22F3" w14:paraId="444D1F39" w14:textId="13DAC42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Slopa</w:t>
            </w:r>
            <w:r w:rsidR="008C3461">
              <w:rPr>
                <w:rFonts w:cstheme="minorHAnsi"/>
                <w:color w:val="000000"/>
                <w:kern w:val="0"/>
                <w:sz w:val="20"/>
                <w:szCs w:val="20"/>
                <w14:numSpacing w14:val="default"/>
              </w:rPr>
              <w:t>d</w:t>
            </w:r>
            <w:r w:rsidRPr="00E00C47">
              <w:rPr>
                <w:rFonts w:cstheme="minorHAnsi"/>
                <w:color w:val="000000"/>
                <w:kern w:val="0"/>
                <w:sz w:val="20"/>
                <w:szCs w:val="20"/>
                <w14:numSpacing w14:val="default"/>
              </w:rPr>
              <w:t xml:space="preserve"> nedsättning</w:t>
            </w:r>
            <w:r w:rsidR="003D17CE">
              <w:rPr>
                <w:rFonts w:cstheme="minorHAnsi"/>
                <w:color w:val="000000"/>
                <w:kern w:val="0"/>
                <w:sz w:val="20"/>
                <w:szCs w:val="20"/>
                <w14:numSpacing w14:val="default"/>
              </w:rPr>
              <w:t xml:space="preserve"> av</w:t>
            </w:r>
            <w:r w:rsidRPr="00E00C47">
              <w:rPr>
                <w:rFonts w:cstheme="minorHAnsi"/>
                <w:color w:val="000000"/>
                <w:kern w:val="0"/>
                <w:sz w:val="20"/>
                <w:szCs w:val="20"/>
                <w14:numSpacing w14:val="default"/>
              </w:rPr>
              <w:t xml:space="preserve"> arbetsgivaravgifter</w:t>
            </w:r>
            <w:r w:rsidR="003D17CE">
              <w:rPr>
                <w:rFonts w:cstheme="minorHAnsi"/>
                <w:color w:val="000000"/>
                <w:kern w:val="0"/>
                <w:sz w:val="20"/>
                <w:szCs w:val="20"/>
                <w14:numSpacing w14:val="default"/>
              </w:rPr>
              <w:t xml:space="preserve"> för</w:t>
            </w:r>
            <w:r w:rsidRPr="00E00C47">
              <w:rPr>
                <w:rFonts w:cstheme="minorHAnsi"/>
                <w:color w:val="000000"/>
                <w:kern w:val="0"/>
                <w:sz w:val="20"/>
                <w:szCs w:val="20"/>
                <w14:numSpacing w14:val="default"/>
              </w:rPr>
              <w:t xml:space="preserve"> FoU</w:t>
            </w:r>
          </w:p>
        </w:tc>
        <w:tc>
          <w:tcPr>
            <w:tcW w:w="699" w:type="dxa"/>
            <w:tcBorders>
              <w:top w:val="nil"/>
              <w:left w:val="nil"/>
              <w:bottom w:val="nil"/>
              <w:right w:val="nil"/>
            </w:tcBorders>
          </w:tcPr>
          <w:p w:rsidRPr="00E00C47" w:rsidR="002F22F3" w:rsidP="001E4DBC" w:rsidRDefault="002F22F3" w14:paraId="5DB3AE4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2,16</w:t>
            </w:r>
          </w:p>
        </w:tc>
        <w:tc>
          <w:tcPr>
            <w:tcW w:w="700" w:type="dxa"/>
            <w:tcBorders>
              <w:top w:val="nil"/>
              <w:left w:val="nil"/>
              <w:bottom w:val="nil"/>
              <w:right w:val="nil"/>
            </w:tcBorders>
          </w:tcPr>
          <w:p w:rsidRPr="00E00C47" w:rsidR="002F22F3" w:rsidP="001E4DBC" w:rsidRDefault="002F22F3" w14:paraId="51322B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2,33</w:t>
            </w:r>
          </w:p>
        </w:tc>
        <w:tc>
          <w:tcPr>
            <w:tcW w:w="700" w:type="dxa"/>
            <w:tcBorders>
              <w:top w:val="nil"/>
              <w:left w:val="nil"/>
              <w:bottom w:val="nil"/>
              <w:right w:val="nil"/>
            </w:tcBorders>
          </w:tcPr>
          <w:p w:rsidRPr="00E00C47" w:rsidR="002F22F3" w:rsidP="001E4DBC" w:rsidRDefault="002F22F3" w14:paraId="0CCAAFF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2,33</w:t>
            </w:r>
          </w:p>
        </w:tc>
        <w:tc>
          <w:tcPr>
            <w:tcW w:w="1882" w:type="dxa"/>
            <w:tcBorders>
              <w:top w:val="nil"/>
              <w:left w:val="nil"/>
              <w:bottom w:val="nil"/>
              <w:right w:val="nil"/>
            </w:tcBorders>
          </w:tcPr>
          <w:p w:rsidRPr="00E00C47" w:rsidR="002F22F3" w:rsidP="001E4DBC" w:rsidRDefault="002F22F3" w14:paraId="56CD139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2022:970/1189</w:t>
            </w:r>
          </w:p>
        </w:tc>
      </w:tr>
      <w:tr w:rsidRPr="00E00C47" w:rsidR="00E00C47" w:rsidTr="0039164F" w14:paraId="2DD68204" w14:textId="77777777">
        <w:trPr>
          <w:cantSplit/>
        </w:trPr>
        <w:tc>
          <w:tcPr>
            <w:tcW w:w="4524" w:type="dxa"/>
            <w:tcBorders>
              <w:top w:val="nil"/>
              <w:left w:val="nil"/>
              <w:bottom w:val="nil"/>
              <w:right w:val="nil"/>
            </w:tcBorders>
          </w:tcPr>
          <w:p w:rsidRPr="00E00C47" w:rsidR="002F22F3" w:rsidP="001E4DBC" w:rsidRDefault="002F22F3" w14:paraId="6CD4673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Arbetsgivaravgifter för den första anställd</w:t>
            </w:r>
          </w:p>
        </w:tc>
        <w:tc>
          <w:tcPr>
            <w:tcW w:w="699" w:type="dxa"/>
            <w:tcBorders>
              <w:top w:val="nil"/>
              <w:left w:val="nil"/>
              <w:bottom w:val="nil"/>
              <w:right w:val="nil"/>
            </w:tcBorders>
          </w:tcPr>
          <w:p w:rsidRPr="00E00C47" w:rsidR="002F22F3" w:rsidP="001E4DBC" w:rsidRDefault="002F22F3" w14:paraId="2B87B2D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0,20</w:t>
            </w:r>
          </w:p>
        </w:tc>
        <w:tc>
          <w:tcPr>
            <w:tcW w:w="700" w:type="dxa"/>
            <w:tcBorders>
              <w:top w:val="nil"/>
              <w:left w:val="nil"/>
              <w:bottom w:val="nil"/>
              <w:right w:val="nil"/>
            </w:tcBorders>
          </w:tcPr>
          <w:p w:rsidRPr="00E00C47" w:rsidR="002F22F3" w:rsidP="001E4DBC" w:rsidRDefault="002F22F3" w14:paraId="0FE3EB0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0,40</w:t>
            </w:r>
          </w:p>
        </w:tc>
        <w:tc>
          <w:tcPr>
            <w:tcW w:w="700" w:type="dxa"/>
            <w:tcBorders>
              <w:top w:val="nil"/>
              <w:left w:val="nil"/>
              <w:bottom w:val="nil"/>
              <w:right w:val="nil"/>
            </w:tcBorders>
          </w:tcPr>
          <w:p w:rsidRPr="00E00C47" w:rsidR="002F22F3" w:rsidP="001E4DBC" w:rsidRDefault="002F22F3" w14:paraId="35BCED2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0,40</w:t>
            </w:r>
          </w:p>
        </w:tc>
        <w:tc>
          <w:tcPr>
            <w:tcW w:w="1882" w:type="dxa"/>
            <w:tcBorders>
              <w:top w:val="nil"/>
              <w:left w:val="nil"/>
              <w:bottom w:val="nil"/>
              <w:right w:val="nil"/>
            </w:tcBorders>
          </w:tcPr>
          <w:p w:rsidRPr="00E00C47" w:rsidR="002F22F3" w:rsidP="001E4DBC" w:rsidRDefault="002F22F3" w14:paraId="2BE290B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2022:700</w:t>
            </w:r>
          </w:p>
        </w:tc>
      </w:tr>
      <w:tr w:rsidRPr="00E00C47" w:rsidR="00E00C47" w:rsidTr="0039164F" w14:paraId="258CEC66" w14:textId="77777777">
        <w:trPr>
          <w:cantSplit/>
        </w:trPr>
        <w:tc>
          <w:tcPr>
            <w:tcW w:w="4524" w:type="dxa"/>
            <w:tcBorders>
              <w:top w:val="nil"/>
              <w:left w:val="nil"/>
              <w:bottom w:val="nil"/>
              <w:right w:val="nil"/>
            </w:tcBorders>
          </w:tcPr>
          <w:p w:rsidRPr="00E00C47" w:rsidR="002F22F3" w:rsidP="001E4DBC" w:rsidRDefault="002F22F3" w14:paraId="19469C83" w14:textId="7F6FBCC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 xml:space="preserve">Avskaffa </w:t>
            </w:r>
            <w:r w:rsidRPr="00E00C47" w:rsidR="00497417">
              <w:rPr>
                <w:rFonts w:cstheme="minorHAnsi"/>
                <w:color w:val="000000"/>
                <w:kern w:val="0"/>
                <w:sz w:val="20"/>
                <w:szCs w:val="20"/>
                <w14:numSpacing w14:val="default"/>
              </w:rPr>
              <w:t>rut</w:t>
            </w:r>
            <w:r w:rsidRPr="00E00C47">
              <w:rPr>
                <w:rFonts w:cstheme="minorHAnsi"/>
                <w:color w:val="000000"/>
                <w:kern w:val="0"/>
                <w:sz w:val="20"/>
                <w:szCs w:val="20"/>
                <w14:numSpacing w14:val="default"/>
              </w:rPr>
              <w:t>avdraget</w:t>
            </w:r>
          </w:p>
        </w:tc>
        <w:tc>
          <w:tcPr>
            <w:tcW w:w="699" w:type="dxa"/>
            <w:tcBorders>
              <w:top w:val="nil"/>
              <w:left w:val="nil"/>
              <w:bottom w:val="nil"/>
              <w:right w:val="nil"/>
            </w:tcBorders>
          </w:tcPr>
          <w:p w:rsidRPr="00E00C47" w:rsidR="002F22F3" w:rsidP="001E4DBC" w:rsidRDefault="002F22F3" w14:paraId="44EF04E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7,70</w:t>
            </w:r>
          </w:p>
        </w:tc>
        <w:tc>
          <w:tcPr>
            <w:tcW w:w="700" w:type="dxa"/>
            <w:tcBorders>
              <w:top w:val="nil"/>
              <w:left w:val="nil"/>
              <w:bottom w:val="nil"/>
              <w:right w:val="nil"/>
            </w:tcBorders>
          </w:tcPr>
          <w:p w:rsidRPr="00E00C47" w:rsidR="002F22F3" w:rsidP="001E4DBC" w:rsidRDefault="002F22F3" w14:paraId="209B54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8,00</w:t>
            </w:r>
          </w:p>
        </w:tc>
        <w:tc>
          <w:tcPr>
            <w:tcW w:w="700" w:type="dxa"/>
            <w:tcBorders>
              <w:top w:val="nil"/>
              <w:left w:val="nil"/>
              <w:bottom w:val="nil"/>
              <w:right w:val="nil"/>
            </w:tcBorders>
          </w:tcPr>
          <w:p w:rsidRPr="00E00C47" w:rsidR="002F22F3" w:rsidP="001E4DBC" w:rsidRDefault="002F22F3" w14:paraId="01FC08A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8,40</w:t>
            </w:r>
          </w:p>
        </w:tc>
        <w:tc>
          <w:tcPr>
            <w:tcW w:w="1882" w:type="dxa"/>
            <w:tcBorders>
              <w:top w:val="nil"/>
              <w:left w:val="nil"/>
              <w:bottom w:val="nil"/>
              <w:right w:val="nil"/>
            </w:tcBorders>
          </w:tcPr>
          <w:p w:rsidRPr="00E00C47" w:rsidR="002F22F3" w:rsidP="001E4DBC" w:rsidRDefault="002F22F3" w14:paraId="3CE4834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2022:616</w:t>
            </w:r>
          </w:p>
        </w:tc>
      </w:tr>
      <w:tr w:rsidRPr="00E00C47" w:rsidR="00E00C47" w:rsidTr="0039164F" w14:paraId="6BA2D566" w14:textId="77777777">
        <w:trPr>
          <w:cantSplit/>
        </w:trPr>
        <w:tc>
          <w:tcPr>
            <w:tcW w:w="4524" w:type="dxa"/>
            <w:tcBorders>
              <w:top w:val="nil"/>
              <w:left w:val="nil"/>
              <w:bottom w:val="nil"/>
              <w:right w:val="nil"/>
            </w:tcBorders>
          </w:tcPr>
          <w:p w:rsidRPr="00E00C47" w:rsidR="002F22F3" w:rsidP="001E4DBC" w:rsidRDefault="002F22F3" w14:paraId="2A55D8FA" w14:textId="33E0364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 xml:space="preserve">Sänkt tak </w:t>
            </w:r>
            <w:r w:rsidRPr="00E00C47" w:rsidR="00497417">
              <w:rPr>
                <w:rFonts w:cstheme="minorHAnsi"/>
                <w:color w:val="000000"/>
                <w:kern w:val="0"/>
                <w:sz w:val="20"/>
                <w:szCs w:val="20"/>
                <w14:numSpacing w14:val="default"/>
              </w:rPr>
              <w:t>för rot</w:t>
            </w:r>
            <w:r w:rsidRPr="00E00C47">
              <w:rPr>
                <w:rFonts w:cstheme="minorHAnsi"/>
                <w:color w:val="000000"/>
                <w:kern w:val="0"/>
                <w:sz w:val="20"/>
                <w:szCs w:val="20"/>
                <w14:numSpacing w14:val="default"/>
              </w:rPr>
              <w:t>avdraget</w:t>
            </w:r>
          </w:p>
        </w:tc>
        <w:tc>
          <w:tcPr>
            <w:tcW w:w="699" w:type="dxa"/>
            <w:tcBorders>
              <w:top w:val="nil"/>
              <w:left w:val="nil"/>
              <w:bottom w:val="nil"/>
              <w:right w:val="nil"/>
            </w:tcBorders>
          </w:tcPr>
          <w:p w:rsidRPr="00E00C47" w:rsidR="002F22F3" w:rsidP="001E4DBC" w:rsidRDefault="002F22F3" w14:paraId="3A71B31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2,60</w:t>
            </w:r>
          </w:p>
        </w:tc>
        <w:tc>
          <w:tcPr>
            <w:tcW w:w="700" w:type="dxa"/>
            <w:tcBorders>
              <w:top w:val="nil"/>
              <w:left w:val="nil"/>
              <w:bottom w:val="nil"/>
              <w:right w:val="nil"/>
            </w:tcBorders>
          </w:tcPr>
          <w:p w:rsidRPr="00E00C47" w:rsidR="002F22F3" w:rsidP="001E4DBC" w:rsidRDefault="002F22F3" w14:paraId="36EFF25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2,90</w:t>
            </w:r>
          </w:p>
        </w:tc>
        <w:tc>
          <w:tcPr>
            <w:tcW w:w="700" w:type="dxa"/>
            <w:tcBorders>
              <w:top w:val="nil"/>
              <w:left w:val="nil"/>
              <w:bottom w:val="nil"/>
              <w:right w:val="nil"/>
            </w:tcBorders>
          </w:tcPr>
          <w:p w:rsidRPr="00E00C47" w:rsidR="002F22F3" w:rsidP="001E4DBC" w:rsidRDefault="002F22F3" w14:paraId="2E2FBE0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3,20</w:t>
            </w:r>
          </w:p>
        </w:tc>
        <w:tc>
          <w:tcPr>
            <w:tcW w:w="1882" w:type="dxa"/>
            <w:tcBorders>
              <w:top w:val="nil"/>
              <w:left w:val="nil"/>
              <w:bottom w:val="nil"/>
              <w:right w:val="nil"/>
            </w:tcBorders>
          </w:tcPr>
          <w:p w:rsidRPr="00E00C47" w:rsidR="002F22F3" w:rsidP="001E4DBC" w:rsidRDefault="002F22F3" w14:paraId="789AF48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2022:617</w:t>
            </w:r>
          </w:p>
        </w:tc>
      </w:tr>
      <w:tr w:rsidRPr="00E00C47" w:rsidR="00E00C47" w:rsidTr="0039164F" w14:paraId="7F61FBA8" w14:textId="77777777">
        <w:trPr>
          <w:cantSplit/>
        </w:trPr>
        <w:tc>
          <w:tcPr>
            <w:tcW w:w="4524" w:type="dxa"/>
            <w:tcBorders>
              <w:top w:val="nil"/>
              <w:left w:val="nil"/>
              <w:bottom w:val="nil"/>
              <w:right w:val="nil"/>
            </w:tcBorders>
          </w:tcPr>
          <w:p w:rsidRPr="00E00C47" w:rsidR="002F22F3" w:rsidP="001E4DBC" w:rsidRDefault="002F22F3" w14:paraId="60E1907B" w14:textId="7D297BC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 xml:space="preserve">Utdelning och kapitalvinst </w:t>
            </w:r>
            <w:r w:rsidRPr="00E00C47" w:rsidR="00497417">
              <w:rPr>
                <w:rFonts w:cstheme="minorHAnsi"/>
                <w:color w:val="000000"/>
                <w:kern w:val="0"/>
                <w:sz w:val="20"/>
                <w:szCs w:val="20"/>
                <w14:numSpacing w14:val="default"/>
              </w:rPr>
              <w:t xml:space="preserve">i </w:t>
            </w:r>
            <w:r w:rsidRPr="00E00C47">
              <w:rPr>
                <w:rFonts w:cstheme="minorHAnsi"/>
                <w:color w:val="000000"/>
                <w:kern w:val="0"/>
                <w:sz w:val="20"/>
                <w:szCs w:val="20"/>
                <w14:numSpacing w14:val="default"/>
              </w:rPr>
              <w:t>fåmansbolag</w:t>
            </w:r>
          </w:p>
        </w:tc>
        <w:tc>
          <w:tcPr>
            <w:tcW w:w="699" w:type="dxa"/>
            <w:tcBorders>
              <w:top w:val="nil"/>
              <w:left w:val="nil"/>
              <w:bottom w:val="nil"/>
              <w:right w:val="nil"/>
            </w:tcBorders>
          </w:tcPr>
          <w:p w:rsidRPr="00E00C47" w:rsidR="002F22F3" w:rsidP="001E4DBC" w:rsidRDefault="002F22F3" w14:paraId="4870A43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10,31</w:t>
            </w:r>
          </w:p>
        </w:tc>
        <w:tc>
          <w:tcPr>
            <w:tcW w:w="700" w:type="dxa"/>
            <w:tcBorders>
              <w:top w:val="nil"/>
              <w:left w:val="nil"/>
              <w:bottom w:val="nil"/>
              <w:right w:val="nil"/>
            </w:tcBorders>
          </w:tcPr>
          <w:p w:rsidRPr="00E00C47" w:rsidR="002F22F3" w:rsidP="001E4DBC" w:rsidRDefault="002F22F3" w14:paraId="24588A2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11,68</w:t>
            </w:r>
          </w:p>
        </w:tc>
        <w:tc>
          <w:tcPr>
            <w:tcW w:w="700" w:type="dxa"/>
            <w:tcBorders>
              <w:top w:val="nil"/>
              <w:left w:val="nil"/>
              <w:bottom w:val="nil"/>
              <w:right w:val="nil"/>
            </w:tcBorders>
          </w:tcPr>
          <w:p w:rsidRPr="00E00C47" w:rsidR="002F22F3" w:rsidP="001E4DBC" w:rsidRDefault="002F22F3" w14:paraId="73B9C30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11,68</w:t>
            </w:r>
          </w:p>
        </w:tc>
        <w:tc>
          <w:tcPr>
            <w:tcW w:w="1882" w:type="dxa"/>
            <w:tcBorders>
              <w:top w:val="nil"/>
              <w:left w:val="nil"/>
              <w:bottom w:val="nil"/>
              <w:right w:val="nil"/>
            </w:tcBorders>
          </w:tcPr>
          <w:p w:rsidRPr="00E00C47" w:rsidR="002F22F3" w:rsidP="001E4DBC" w:rsidRDefault="002F22F3" w14:paraId="387BC5D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Skr. 2021/22:98</w:t>
            </w:r>
          </w:p>
        </w:tc>
      </w:tr>
      <w:tr w:rsidRPr="00E00C47" w:rsidR="00E00C47" w:rsidTr="0039164F" w14:paraId="4101534F" w14:textId="77777777">
        <w:trPr>
          <w:cantSplit/>
        </w:trPr>
        <w:tc>
          <w:tcPr>
            <w:tcW w:w="4524" w:type="dxa"/>
            <w:tcBorders>
              <w:top w:val="nil"/>
              <w:left w:val="nil"/>
              <w:bottom w:val="nil"/>
              <w:right w:val="nil"/>
            </w:tcBorders>
          </w:tcPr>
          <w:p w:rsidRPr="00E00C47" w:rsidR="002F22F3" w:rsidP="001E4DBC" w:rsidRDefault="002F22F3" w14:paraId="6D005676" w14:textId="5835D83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 xml:space="preserve">Utdelning och kapitalvinst </w:t>
            </w:r>
            <w:r w:rsidRPr="00E00C47" w:rsidR="00497417">
              <w:rPr>
                <w:rFonts w:cstheme="minorHAnsi"/>
                <w:color w:val="000000"/>
                <w:kern w:val="0"/>
                <w:sz w:val="20"/>
                <w:szCs w:val="20"/>
                <w14:numSpacing w14:val="default"/>
              </w:rPr>
              <w:t xml:space="preserve">i </w:t>
            </w:r>
            <w:r w:rsidRPr="00E00C47">
              <w:rPr>
                <w:rFonts w:cstheme="minorHAnsi"/>
                <w:color w:val="000000"/>
                <w:kern w:val="0"/>
                <w:sz w:val="20"/>
                <w:szCs w:val="20"/>
                <w14:numSpacing w14:val="default"/>
              </w:rPr>
              <w:t>onoterade bolag</w:t>
            </w:r>
          </w:p>
        </w:tc>
        <w:tc>
          <w:tcPr>
            <w:tcW w:w="699" w:type="dxa"/>
            <w:tcBorders>
              <w:top w:val="nil"/>
              <w:left w:val="nil"/>
              <w:bottom w:val="nil"/>
              <w:right w:val="nil"/>
            </w:tcBorders>
          </w:tcPr>
          <w:p w:rsidRPr="00E00C47" w:rsidR="002F22F3" w:rsidP="001E4DBC" w:rsidRDefault="002F22F3" w14:paraId="4101E59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1,80</w:t>
            </w:r>
          </w:p>
        </w:tc>
        <w:tc>
          <w:tcPr>
            <w:tcW w:w="700" w:type="dxa"/>
            <w:tcBorders>
              <w:top w:val="nil"/>
              <w:left w:val="nil"/>
              <w:bottom w:val="nil"/>
              <w:right w:val="nil"/>
            </w:tcBorders>
          </w:tcPr>
          <w:p w:rsidRPr="00E00C47" w:rsidR="002F22F3" w:rsidP="001E4DBC" w:rsidRDefault="002F22F3" w14:paraId="00D12A3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1,70</w:t>
            </w:r>
          </w:p>
        </w:tc>
        <w:tc>
          <w:tcPr>
            <w:tcW w:w="700" w:type="dxa"/>
            <w:tcBorders>
              <w:top w:val="nil"/>
              <w:left w:val="nil"/>
              <w:bottom w:val="nil"/>
              <w:right w:val="nil"/>
            </w:tcBorders>
          </w:tcPr>
          <w:p w:rsidRPr="00E00C47" w:rsidR="002F22F3" w:rsidP="001E4DBC" w:rsidRDefault="002F22F3" w14:paraId="734D7CC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1,80</w:t>
            </w:r>
          </w:p>
        </w:tc>
        <w:tc>
          <w:tcPr>
            <w:tcW w:w="1882" w:type="dxa"/>
            <w:tcBorders>
              <w:top w:val="nil"/>
              <w:left w:val="nil"/>
              <w:bottom w:val="nil"/>
              <w:right w:val="nil"/>
            </w:tcBorders>
          </w:tcPr>
          <w:p w:rsidRPr="00E00C47" w:rsidR="002F22F3" w:rsidP="001E4DBC" w:rsidRDefault="002F22F3" w14:paraId="7EBA02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2022:716</w:t>
            </w:r>
          </w:p>
        </w:tc>
      </w:tr>
      <w:tr w:rsidRPr="00E00C47" w:rsidR="00E00C47" w:rsidTr="0039164F" w14:paraId="2381E056" w14:textId="77777777">
        <w:trPr>
          <w:cantSplit/>
        </w:trPr>
        <w:tc>
          <w:tcPr>
            <w:tcW w:w="4524" w:type="dxa"/>
            <w:tcBorders>
              <w:top w:val="nil"/>
              <w:left w:val="nil"/>
              <w:bottom w:val="nil"/>
              <w:right w:val="nil"/>
            </w:tcBorders>
          </w:tcPr>
          <w:p w:rsidRPr="00E00C47" w:rsidR="002F22F3" w:rsidP="001E4DBC" w:rsidRDefault="002F22F3" w14:paraId="6AE5E76C" w14:textId="04AAD48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Tak</w:t>
            </w:r>
            <w:r w:rsidR="003D17CE">
              <w:rPr>
                <w:rFonts w:cstheme="minorHAnsi"/>
                <w:color w:val="000000"/>
                <w:kern w:val="0"/>
                <w:sz w:val="20"/>
                <w:szCs w:val="20"/>
                <w14:numSpacing w14:val="default"/>
              </w:rPr>
              <w:t xml:space="preserve"> för</w:t>
            </w:r>
            <w:r w:rsidRPr="00E00C47">
              <w:rPr>
                <w:rFonts w:cstheme="minorHAnsi"/>
                <w:color w:val="000000"/>
                <w:kern w:val="0"/>
                <w:sz w:val="20"/>
                <w:szCs w:val="20"/>
                <w14:numSpacing w14:val="default"/>
              </w:rPr>
              <w:t xml:space="preserve"> ISK</w:t>
            </w:r>
          </w:p>
        </w:tc>
        <w:tc>
          <w:tcPr>
            <w:tcW w:w="699" w:type="dxa"/>
            <w:tcBorders>
              <w:top w:val="nil"/>
              <w:left w:val="nil"/>
              <w:bottom w:val="nil"/>
              <w:right w:val="nil"/>
            </w:tcBorders>
          </w:tcPr>
          <w:p w:rsidRPr="00E00C47" w:rsidR="002F22F3" w:rsidP="001E4DBC" w:rsidRDefault="002F22F3" w14:paraId="10EBFF6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5,70</w:t>
            </w:r>
          </w:p>
        </w:tc>
        <w:tc>
          <w:tcPr>
            <w:tcW w:w="700" w:type="dxa"/>
            <w:tcBorders>
              <w:top w:val="nil"/>
              <w:left w:val="nil"/>
              <w:bottom w:val="nil"/>
              <w:right w:val="nil"/>
            </w:tcBorders>
          </w:tcPr>
          <w:p w:rsidRPr="00E00C47" w:rsidR="002F22F3" w:rsidP="001E4DBC" w:rsidRDefault="002F22F3" w14:paraId="48B15B3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5,90</w:t>
            </w:r>
          </w:p>
        </w:tc>
        <w:tc>
          <w:tcPr>
            <w:tcW w:w="700" w:type="dxa"/>
            <w:tcBorders>
              <w:top w:val="nil"/>
              <w:left w:val="nil"/>
              <w:bottom w:val="nil"/>
              <w:right w:val="nil"/>
            </w:tcBorders>
          </w:tcPr>
          <w:p w:rsidRPr="00E00C47" w:rsidR="002F22F3" w:rsidP="001E4DBC" w:rsidRDefault="002F22F3" w14:paraId="57046C0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6,10</w:t>
            </w:r>
          </w:p>
        </w:tc>
        <w:tc>
          <w:tcPr>
            <w:tcW w:w="1882" w:type="dxa"/>
            <w:tcBorders>
              <w:top w:val="nil"/>
              <w:left w:val="nil"/>
              <w:bottom w:val="nil"/>
              <w:right w:val="nil"/>
            </w:tcBorders>
          </w:tcPr>
          <w:p w:rsidRPr="00E00C47" w:rsidR="002F22F3" w:rsidP="001E4DBC" w:rsidRDefault="002F22F3" w14:paraId="5FB0FA5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2022:838</w:t>
            </w:r>
          </w:p>
        </w:tc>
      </w:tr>
      <w:tr w:rsidRPr="00E00C47" w:rsidR="00E00C47" w:rsidTr="0039164F" w14:paraId="2D618882" w14:textId="77777777">
        <w:trPr>
          <w:cantSplit/>
        </w:trPr>
        <w:tc>
          <w:tcPr>
            <w:tcW w:w="4524" w:type="dxa"/>
            <w:tcBorders>
              <w:top w:val="nil"/>
              <w:left w:val="nil"/>
              <w:bottom w:val="nil"/>
              <w:right w:val="nil"/>
            </w:tcBorders>
          </w:tcPr>
          <w:p w:rsidRPr="00E00C47" w:rsidR="002F22F3" w:rsidP="001E4DBC" w:rsidRDefault="002F22F3" w14:paraId="48880434" w14:textId="54890EC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Avtrappat jobbskatteavdrag, från 43</w:t>
            </w:r>
            <w:r w:rsidRPr="00E00C47" w:rsidR="00497417">
              <w:rPr>
                <w:rFonts w:cstheme="minorHAnsi"/>
                <w:color w:val="000000"/>
                <w:kern w:val="0"/>
                <w:sz w:val="20"/>
                <w:szCs w:val="20"/>
                <w14:numSpacing w14:val="default"/>
              </w:rPr>
              <w:t> </w:t>
            </w:r>
            <w:r w:rsidRPr="00E00C47">
              <w:rPr>
                <w:rFonts w:cstheme="minorHAnsi"/>
                <w:color w:val="000000"/>
                <w:kern w:val="0"/>
                <w:sz w:val="20"/>
                <w:szCs w:val="20"/>
                <w14:numSpacing w14:val="default"/>
              </w:rPr>
              <w:t>000 kr/mån</w:t>
            </w:r>
            <w:r w:rsidRPr="00E00C47" w:rsidR="00497417">
              <w:rPr>
                <w:rFonts w:cstheme="minorHAnsi"/>
                <w:color w:val="000000"/>
                <w:kern w:val="0"/>
                <w:sz w:val="20"/>
                <w:szCs w:val="20"/>
                <w14:numSpacing w14:val="default"/>
              </w:rPr>
              <w:t>.</w:t>
            </w:r>
          </w:p>
        </w:tc>
        <w:tc>
          <w:tcPr>
            <w:tcW w:w="699" w:type="dxa"/>
            <w:tcBorders>
              <w:top w:val="nil"/>
              <w:left w:val="nil"/>
              <w:bottom w:val="nil"/>
              <w:right w:val="nil"/>
            </w:tcBorders>
          </w:tcPr>
          <w:p w:rsidRPr="00E00C47" w:rsidR="002F22F3" w:rsidP="001E4DBC" w:rsidRDefault="002F22F3" w14:paraId="25162B3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7,90</w:t>
            </w:r>
          </w:p>
        </w:tc>
        <w:tc>
          <w:tcPr>
            <w:tcW w:w="700" w:type="dxa"/>
            <w:tcBorders>
              <w:top w:val="nil"/>
              <w:left w:val="nil"/>
              <w:bottom w:val="nil"/>
              <w:right w:val="nil"/>
            </w:tcBorders>
          </w:tcPr>
          <w:p w:rsidRPr="00E00C47" w:rsidR="002F22F3" w:rsidP="001E4DBC" w:rsidRDefault="002F22F3" w14:paraId="5E858FA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8,20</w:t>
            </w:r>
          </w:p>
        </w:tc>
        <w:tc>
          <w:tcPr>
            <w:tcW w:w="700" w:type="dxa"/>
            <w:tcBorders>
              <w:top w:val="nil"/>
              <w:left w:val="nil"/>
              <w:bottom w:val="nil"/>
              <w:right w:val="nil"/>
            </w:tcBorders>
          </w:tcPr>
          <w:p w:rsidRPr="00E00C47" w:rsidR="002F22F3" w:rsidP="001E4DBC" w:rsidRDefault="002F22F3" w14:paraId="44E531B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8,70</w:t>
            </w:r>
          </w:p>
        </w:tc>
        <w:tc>
          <w:tcPr>
            <w:tcW w:w="1882" w:type="dxa"/>
            <w:tcBorders>
              <w:top w:val="nil"/>
              <w:left w:val="nil"/>
              <w:bottom w:val="nil"/>
              <w:right w:val="nil"/>
            </w:tcBorders>
          </w:tcPr>
          <w:p w:rsidRPr="00E00C47" w:rsidR="002F22F3" w:rsidP="001E4DBC" w:rsidRDefault="002F22F3" w14:paraId="27B0315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2022:614</w:t>
            </w:r>
          </w:p>
        </w:tc>
      </w:tr>
      <w:tr w:rsidRPr="00E00C47" w:rsidR="00E00C47" w:rsidTr="0039164F" w14:paraId="3AC590CB" w14:textId="77777777">
        <w:trPr>
          <w:cantSplit/>
        </w:trPr>
        <w:tc>
          <w:tcPr>
            <w:tcW w:w="4524" w:type="dxa"/>
            <w:tcBorders>
              <w:top w:val="nil"/>
              <w:left w:val="nil"/>
              <w:bottom w:val="nil"/>
              <w:right w:val="nil"/>
            </w:tcBorders>
          </w:tcPr>
          <w:p w:rsidRPr="00E00C47" w:rsidR="002F22F3" w:rsidP="001E4DBC" w:rsidRDefault="002F22F3" w14:paraId="11BEBC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Nej till utökat jobbskatteavdrag för äldre</w:t>
            </w:r>
          </w:p>
        </w:tc>
        <w:tc>
          <w:tcPr>
            <w:tcW w:w="699" w:type="dxa"/>
            <w:tcBorders>
              <w:top w:val="nil"/>
              <w:left w:val="nil"/>
              <w:bottom w:val="nil"/>
              <w:right w:val="nil"/>
            </w:tcBorders>
          </w:tcPr>
          <w:p w:rsidRPr="00E00C47" w:rsidR="002F22F3" w:rsidP="001E4DBC" w:rsidRDefault="002F22F3" w14:paraId="5D3FC8A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0,77</w:t>
            </w:r>
          </w:p>
        </w:tc>
        <w:tc>
          <w:tcPr>
            <w:tcW w:w="700" w:type="dxa"/>
            <w:tcBorders>
              <w:top w:val="nil"/>
              <w:left w:val="nil"/>
              <w:bottom w:val="nil"/>
              <w:right w:val="nil"/>
            </w:tcBorders>
          </w:tcPr>
          <w:p w:rsidRPr="00E00C47" w:rsidR="002F22F3" w:rsidP="001E4DBC" w:rsidRDefault="002F22F3" w14:paraId="7301C1C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0,77</w:t>
            </w:r>
          </w:p>
        </w:tc>
        <w:tc>
          <w:tcPr>
            <w:tcW w:w="700" w:type="dxa"/>
            <w:tcBorders>
              <w:top w:val="nil"/>
              <w:left w:val="nil"/>
              <w:bottom w:val="nil"/>
              <w:right w:val="nil"/>
            </w:tcBorders>
          </w:tcPr>
          <w:p w:rsidRPr="00E00C47" w:rsidR="002F22F3" w:rsidP="001E4DBC" w:rsidRDefault="002F22F3" w14:paraId="2572D21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0,77</w:t>
            </w:r>
          </w:p>
        </w:tc>
        <w:tc>
          <w:tcPr>
            <w:tcW w:w="1882" w:type="dxa"/>
            <w:tcBorders>
              <w:top w:val="nil"/>
              <w:left w:val="nil"/>
              <w:bottom w:val="nil"/>
              <w:right w:val="nil"/>
            </w:tcBorders>
          </w:tcPr>
          <w:p w:rsidRPr="00E00C47" w:rsidR="002F22F3" w:rsidP="001E4DBC" w:rsidRDefault="002F22F3" w14:paraId="40F2B9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BP23</w:t>
            </w:r>
          </w:p>
        </w:tc>
      </w:tr>
      <w:tr w:rsidRPr="00E00C47" w:rsidR="00E00C47" w:rsidTr="0039164F" w14:paraId="0A16C137" w14:textId="77777777">
        <w:trPr>
          <w:cantSplit/>
        </w:trPr>
        <w:tc>
          <w:tcPr>
            <w:tcW w:w="4524" w:type="dxa"/>
            <w:tcBorders>
              <w:top w:val="nil"/>
              <w:left w:val="nil"/>
              <w:bottom w:val="nil"/>
              <w:right w:val="nil"/>
            </w:tcBorders>
          </w:tcPr>
          <w:p w:rsidRPr="00E00C47" w:rsidR="002F22F3" w:rsidP="001E4DBC" w:rsidRDefault="002F22F3" w14:paraId="4850A086" w14:textId="443E858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Fastighetsskatt på villor med över ca</w:t>
            </w:r>
            <w:r w:rsidRPr="00E00C47" w:rsidR="00497417">
              <w:rPr>
                <w:rFonts w:cstheme="minorHAnsi"/>
                <w:color w:val="000000"/>
                <w:kern w:val="0"/>
                <w:sz w:val="20"/>
                <w:szCs w:val="20"/>
                <w14:numSpacing w14:val="default"/>
              </w:rPr>
              <w:t> </w:t>
            </w:r>
            <w:r w:rsidRPr="00E00C47">
              <w:rPr>
                <w:rFonts w:cstheme="minorHAnsi"/>
                <w:color w:val="000000"/>
                <w:kern w:val="0"/>
                <w:sz w:val="20"/>
                <w:szCs w:val="20"/>
                <w14:numSpacing w14:val="default"/>
              </w:rPr>
              <w:t>10</w:t>
            </w:r>
            <w:r w:rsidRPr="00E00C47" w:rsidR="00497417">
              <w:rPr>
                <w:rFonts w:cstheme="minorHAnsi"/>
                <w:color w:val="000000"/>
                <w:kern w:val="0"/>
                <w:sz w:val="20"/>
                <w:szCs w:val="20"/>
                <w14:numSpacing w14:val="default"/>
              </w:rPr>
              <w:t> </w:t>
            </w:r>
            <w:r w:rsidRPr="00E00C47">
              <w:rPr>
                <w:rFonts w:cstheme="minorHAnsi"/>
                <w:color w:val="000000"/>
                <w:kern w:val="0"/>
                <w:sz w:val="20"/>
                <w:szCs w:val="20"/>
                <w14:numSpacing w14:val="default"/>
              </w:rPr>
              <w:t>mnkr i marknadsvärde</w:t>
            </w:r>
          </w:p>
        </w:tc>
        <w:tc>
          <w:tcPr>
            <w:tcW w:w="699" w:type="dxa"/>
            <w:tcBorders>
              <w:top w:val="nil"/>
              <w:left w:val="nil"/>
              <w:bottom w:val="nil"/>
              <w:right w:val="nil"/>
            </w:tcBorders>
            <w:vAlign w:val="bottom"/>
          </w:tcPr>
          <w:p w:rsidRPr="00E00C47" w:rsidR="002F22F3" w:rsidP="00B1331F" w:rsidRDefault="002F22F3" w14:paraId="582B1A4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4,20</w:t>
            </w:r>
          </w:p>
        </w:tc>
        <w:tc>
          <w:tcPr>
            <w:tcW w:w="700" w:type="dxa"/>
            <w:tcBorders>
              <w:top w:val="nil"/>
              <w:left w:val="nil"/>
              <w:bottom w:val="nil"/>
              <w:right w:val="nil"/>
            </w:tcBorders>
            <w:vAlign w:val="bottom"/>
          </w:tcPr>
          <w:p w:rsidRPr="00E00C47" w:rsidR="002F22F3" w:rsidP="00B1331F" w:rsidRDefault="002F22F3" w14:paraId="089C21B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4,20</w:t>
            </w:r>
          </w:p>
        </w:tc>
        <w:tc>
          <w:tcPr>
            <w:tcW w:w="700" w:type="dxa"/>
            <w:tcBorders>
              <w:top w:val="nil"/>
              <w:left w:val="nil"/>
              <w:bottom w:val="nil"/>
              <w:right w:val="nil"/>
            </w:tcBorders>
            <w:vAlign w:val="bottom"/>
          </w:tcPr>
          <w:p w:rsidRPr="00E00C47" w:rsidR="002F22F3" w:rsidP="00B1331F" w:rsidRDefault="002F22F3" w14:paraId="68C5152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4,20</w:t>
            </w:r>
          </w:p>
        </w:tc>
        <w:tc>
          <w:tcPr>
            <w:tcW w:w="1882" w:type="dxa"/>
            <w:tcBorders>
              <w:top w:val="nil"/>
              <w:left w:val="nil"/>
              <w:bottom w:val="nil"/>
              <w:right w:val="nil"/>
            </w:tcBorders>
            <w:vAlign w:val="bottom"/>
          </w:tcPr>
          <w:p w:rsidRPr="00E00C47" w:rsidR="002F22F3" w:rsidP="00B1331F" w:rsidRDefault="002F22F3" w14:paraId="6BC89C0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2022:659</w:t>
            </w:r>
          </w:p>
        </w:tc>
      </w:tr>
      <w:tr w:rsidRPr="00E00C47" w:rsidR="00E00C47" w:rsidTr="0039164F" w14:paraId="218A145B" w14:textId="77777777">
        <w:trPr>
          <w:cantSplit/>
        </w:trPr>
        <w:tc>
          <w:tcPr>
            <w:tcW w:w="4524" w:type="dxa"/>
            <w:tcBorders>
              <w:top w:val="nil"/>
              <w:left w:val="nil"/>
              <w:bottom w:val="nil"/>
              <w:right w:val="nil"/>
            </w:tcBorders>
          </w:tcPr>
          <w:p w:rsidRPr="00E00C47" w:rsidR="002F22F3" w:rsidP="001E4DBC" w:rsidRDefault="002F22F3" w14:paraId="25FF1A7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Avtrappade ränteavdrag</w:t>
            </w:r>
          </w:p>
        </w:tc>
        <w:tc>
          <w:tcPr>
            <w:tcW w:w="699" w:type="dxa"/>
            <w:tcBorders>
              <w:top w:val="nil"/>
              <w:left w:val="nil"/>
              <w:bottom w:val="nil"/>
              <w:right w:val="nil"/>
            </w:tcBorders>
          </w:tcPr>
          <w:p w:rsidRPr="00E00C47" w:rsidR="002F22F3" w:rsidP="001E4DBC" w:rsidRDefault="002F22F3" w14:paraId="46A65B7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700" w:type="dxa"/>
            <w:tcBorders>
              <w:top w:val="nil"/>
              <w:left w:val="nil"/>
              <w:bottom w:val="nil"/>
              <w:right w:val="nil"/>
            </w:tcBorders>
          </w:tcPr>
          <w:p w:rsidRPr="00E00C47" w:rsidR="002F22F3" w:rsidP="001E4DBC" w:rsidRDefault="002F22F3" w14:paraId="7710763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700" w:type="dxa"/>
            <w:tcBorders>
              <w:top w:val="nil"/>
              <w:left w:val="nil"/>
              <w:bottom w:val="nil"/>
              <w:right w:val="nil"/>
            </w:tcBorders>
          </w:tcPr>
          <w:p w:rsidRPr="00E00C47" w:rsidR="002F22F3" w:rsidP="001E4DBC" w:rsidRDefault="002F22F3" w14:paraId="4D950C5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4,00</w:t>
            </w:r>
          </w:p>
        </w:tc>
        <w:tc>
          <w:tcPr>
            <w:tcW w:w="1882" w:type="dxa"/>
            <w:tcBorders>
              <w:top w:val="nil"/>
              <w:left w:val="nil"/>
              <w:bottom w:val="nil"/>
              <w:right w:val="nil"/>
            </w:tcBorders>
          </w:tcPr>
          <w:p w:rsidRPr="00E00C47" w:rsidR="002F22F3" w:rsidP="001E4DBC" w:rsidRDefault="002F22F3" w14:paraId="6A06CA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2022:668</w:t>
            </w:r>
          </w:p>
        </w:tc>
      </w:tr>
      <w:tr w:rsidRPr="00E00C47" w:rsidR="00E00C47" w:rsidTr="0039164F" w14:paraId="305DDBC4" w14:textId="77777777">
        <w:trPr>
          <w:cantSplit/>
        </w:trPr>
        <w:tc>
          <w:tcPr>
            <w:tcW w:w="4524" w:type="dxa"/>
            <w:tcBorders>
              <w:top w:val="nil"/>
              <w:left w:val="nil"/>
              <w:bottom w:val="nil"/>
              <w:right w:val="nil"/>
            </w:tcBorders>
          </w:tcPr>
          <w:p w:rsidRPr="00E00C47" w:rsidR="002F22F3" w:rsidP="001E4DBC" w:rsidRDefault="002F22F3" w14:paraId="493B9A62" w14:textId="3A74AF2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Tak och uppskovsränta</w:t>
            </w:r>
            <w:r w:rsidR="003D17CE">
              <w:rPr>
                <w:rFonts w:cstheme="minorHAnsi"/>
                <w:color w:val="000000"/>
                <w:kern w:val="0"/>
                <w:sz w:val="20"/>
                <w:szCs w:val="20"/>
                <w14:numSpacing w14:val="default"/>
              </w:rPr>
              <w:t xml:space="preserve"> för</w:t>
            </w:r>
            <w:r w:rsidRPr="00E00C47">
              <w:rPr>
                <w:rFonts w:cstheme="minorHAnsi"/>
                <w:color w:val="000000"/>
                <w:kern w:val="0"/>
                <w:sz w:val="20"/>
                <w:szCs w:val="20"/>
                <w14:numSpacing w14:val="default"/>
              </w:rPr>
              <w:t xml:space="preserve"> avyttring bostad</w:t>
            </w:r>
          </w:p>
        </w:tc>
        <w:tc>
          <w:tcPr>
            <w:tcW w:w="699" w:type="dxa"/>
            <w:tcBorders>
              <w:top w:val="nil"/>
              <w:left w:val="nil"/>
              <w:bottom w:val="nil"/>
              <w:right w:val="nil"/>
            </w:tcBorders>
          </w:tcPr>
          <w:p w:rsidRPr="00E00C47" w:rsidR="002F22F3" w:rsidP="001E4DBC" w:rsidRDefault="002F22F3" w14:paraId="0E9E8BB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1,74</w:t>
            </w:r>
          </w:p>
        </w:tc>
        <w:tc>
          <w:tcPr>
            <w:tcW w:w="700" w:type="dxa"/>
            <w:tcBorders>
              <w:top w:val="nil"/>
              <w:left w:val="nil"/>
              <w:bottom w:val="nil"/>
              <w:right w:val="nil"/>
            </w:tcBorders>
          </w:tcPr>
          <w:p w:rsidRPr="00E00C47" w:rsidR="002F22F3" w:rsidP="001E4DBC" w:rsidRDefault="002F22F3" w14:paraId="736233A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1,74</w:t>
            </w:r>
          </w:p>
        </w:tc>
        <w:tc>
          <w:tcPr>
            <w:tcW w:w="700" w:type="dxa"/>
            <w:tcBorders>
              <w:top w:val="nil"/>
              <w:left w:val="nil"/>
              <w:bottom w:val="nil"/>
              <w:right w:val="nil"/>
            </w:tcBorders>
          </w:tcPr>
          <w:p w:rsidRPr="00E00C47" w:rsidR="002F22F3" w:rsidP="001E4DBC" w:rsidRDefault="002F22F3" w14:paraId="1964A7E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1,74</w:t>
            </w:r>
          </w:p>
        </w:tc>
        <w:tc>
          <w:tcPr>
            <w:tcW w:w="1882" w:type="dxa"/>
            <w:tcBorders>
              <w:top w:val="nil"/>
              <w:left w:val="nil"/>
              <w:bottom w:val="nil"/>
              <w:right w:val="nil"/>
            </w:tcBorders>
          </w:tcPr>
          <w:p w:rsidRPr="00E00C47" w:rsidR="002F22F3" w:rsidP="001E4DBC" w:rsidRDefault="002F22F3" w14:paraId="4588E8F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RUT 2021:693</w:t>
            </w:r>
          </w:p>
        </w:tc>
      </w:tr>
      <w:tr w:rsidRPr="00E00C47" w:rsidR="00E00C47" w:rsidTr="0039164F" w14:paraId="2D93BB1B" w14:textId="77777777">
        <w:trPr>
          <w:cantSplit/>
        </w:trPr>
        <w:tc>
          <w:tcPr>
            <w:tcW w:w="4524" w:type="dxa"/>
            <w:tcBorders>
              <w:top w:val="nil"/>
              <w:left w:val="nil"/>
              <w:bottom w:val="nil"/>
              <w:right w:val="nil"/>
            </w:tcBorders>
          </w:tcPr>
          <w:p w:rsidRPr="00E00C47" w:rsidR="002F22F3" w:rsidP="001E4DBC" w:rsidRDefault="002F22F3" w14:paraId="1BC4C31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t>Nej till slopad koldioxidskatt på bränsle inom EU ETS</w:t>
            </w:r>
          </w:p>
        </w:tc>
        <w:tc>
          <w:tcPr>
            <w:tcW w:w="699" w:type="dxa"/>
            <w:tcBorders>
              <w:top w:val="nil"/>
              <w:left w:val="nil"/>
              <w:bottom w:val="nil"/>
              <w:right w:val="nil"/>
            </w:tcBorders>
          </w:tcPr>
          <w:p w:rsidRPr="00E00C47" w:rsidR="002F22F3" w:rsidP="001E4DBC" w:rsidRDefault="002F22F3" w14:paraId="667D683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0,10</w:t>
            </w:r>
          </w:p>
        </w:tc>
        <w:tc>
          <w:tcPr>
            <w:tcW w:w="700" w:type="dxa"/>
            <w:tcBorders>
              <w:top w:val="nil"/>
              <w:left w:val="nil"/>
              <w:bottom w:val="nil"/>
              <w:right w:val="nil"/>
            </w:tcBorders>
          </w:tcPr>
          <w:p w:rsidRPr="00E00C47" w:rsidR="002F22F3" w:rsidP="001E4DBC" w:rsidRDefault="002F22F3" w14:paraId="74136FB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0,10</w:t>
            </w:r>
          </w:p>
        </w:tc>
        <w:tc>
          <w:tcPr>
            <w:tcW w:w="700" w:type="dxa"/>
            <w:tcBorders>
              <w:top w:val="nil"/>
              <w:left w:val="nil"/>
              <w:bottom w:val="nil"/>
              <w:right w:val="nil"/>
            </w:tcBorders>
          </w:tcPr>
          <w:p w:rsidRPr="00E00C47" w:rsidR="002F22F3" w:rsidP="001E4DBC" w:rsidRDefault="002F22F3" w14:paraId="28B20E6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0,10</w:t>
            </w:r>
          </w:p>
        </w:tc>
        <w:tc>
          <w:tcPr>
            <w:tcW w:w="1882" w:type="dxa"/>
            <w:tcBorders>
              <w:top w:val="nil"/>
              <w:left w:val="nil"/>
              <w:bottom w:val="nil"/>
              <w:right w:val="nil"/>
            </w:tcBorders>
          </w:tcPr>
          <w:p w:rsidRPr="00E00C47" w:rsidR="002F22F3" w:rsidP="001E4DBC" w:rsidRDefault="002F22F3" w14:paraId="51E0867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BP23</w:t>
            </w:r>
          </w:p>
        </w:tc>
      </w:tr>
      <w:tr w:rsidRPr="00E00C47" w:rsidR="00E00C47" w:rsidTr="0039164F" w14:paraId="6FE9C0EB" w14:textId="77777777">
        <w:trPr>
          <w:cantSplit/>
        </w:trPr>
        <w:tc>
          <w:tcPr>
            <w:tcW w:w="4524" w:type="dxa"/>
            <w:tcBorders>
              <w:top w:val="nil"/>
              <w:left w:val="nil"/>
              <w:right w:val="nil"/>
            </w:tcBorders>
          </w:tcPr>
          <w:p w:rsidRPr="00E00C47" w:rsidR="002F22F3" w:rsidP="001E4DBC" w:rsidRDefault="002F22F3" w14:paraId="177DCAE9" w14:textId="5BA722F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color w:val="000000"/>
                <w:kern w:val="0"/>
                <w:sz w:val="20"/>
                <w:szCs w:val="20"/>
                <w14:numSpacing w14:val="default"/>
              </w:rPr>
            </w:pPr>
            <w:r w:rsidRPr="00E00C47">
              <w:rPr>
                <w:rFonts w:cstheme="minorHAnsi"/>
                <w:color w:val="000000"/>
                <w:kern w:val="0"/>
                <w:sz w:val="20"/>
                <w:szCs w:val="20"/>
                <w14:numSpacing w14:val="default"/>
              </w:rPr>
              <w:lastRenderedPageBreak/>
              <w:t xml:space="preserve">Nej till tillfälligt sänkt skatt </w:t>
            </w:r>
            <w:r w:rsidRPr="00E00C47" w:rsidR="00497417">
              <w:rPr>
                <w:rFonts w:cstheme="minorHAnsi"/>
                <w:color w:val="000000"/>
                <w:kern w:val="0"/>
                <w:sz w:val="20"/>
                <w:szCs w:val="20"/>
                <w14:numSpacing w14:val="default"/>
              </w:rPr>
              <w:t xml:space="preserve">på </w:t>
            </w:r>
            <w:r w:rsidRPr="00E00C47">
              <w:rPr>
                <w:rFonts w:cstheme="minorHAnsi"/>
                <w:color w:val="000000"/>
                <w:kern w:val="0"/>
                <w:sz w:val="20"/>
                <w:szCs w:val="20"/>
                <w14:numSpacing w14:val="default"/>
              </w:rPr>
              <w:t>di</w:t>
            </w:r>
            <w:r w:rsidRPr="00E00C47" w:rsidR="00497417">
              <w:rPr>
                <w:rFonts w:cstheme="minorHAnsi"/>
                <w:color w:val="000000"/>
                <w:kern w:val="0"/>
                <w:sz w:val="20"/>
                <w:szCs w:val="20"/>
                <w14:numSpacing w14:val="default"/>
              </w:rPr>
              <w:t>e</w:t>
            </w:r>
            <w:r w:rsidRPr="00E00C47">
              <w:rPr>
                <w:rFonts w:cstheme="minorHAnsi"/>
                <w:color w:val="000000"/>
                <w:kern w:val="0"/>
                <w:sz w:val="20"/>
                <w:szCs w:val="20"/>
                <w14:numSpacing w14:val="default"/>
              </w:rPr>
              <w:t>sel inom jord- och skogsbruk</w:t>
            </w:r>
          </w:p>
        </w:tc>
        <w:tc>
          <w:tcPr>
            <w:tcW w:w="699" w:type="dxa"/>
            <w:tcBorders>
              <w:top w:val="nil"/>
              <w:left w:val="nil"/>
              <w:right w:val="nil"/>
            </w:tcBorders>
            <w:vAlign w:val="bottom"/>
          </w:tcPr>
          <w:p w:rsidRPr="00E00C47" w:rsidR="002F22F3" w:rsidP="00B1331F" w:rsidRDefault="002F22F3" w14:paraId="4FDE06C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0,38</w:t>
            </w:r>
          </w:p>
        </w:tc>
        <w:tc>
          <w:tcPr>
            <w:tcW w:w="700" w:type="dxa"/>
            <w:tcBorders>
              <w:top w:val="nil"/>
              <w:left w:val="nil"/>
              <w:right w:val="nil"/>
            </w:tcBorders>
            <w:vAlign w:val="bottom"/>
          </w:tcPr>
          <w:p w:rsidRPr="00E00C47" w:rsidR="002F22F3" w:rsidP="00B1331F" w:rsidRDefault="002F22F3" w14:paraId="13B74B6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700" w:type="dxa"/>
            <w:tcBorders>
              <w:top w:val="nil"/>
              <w:left w:val="nil"/>
              <w:right w:val="nil"/>
            </w:tcBorders>
            <w:vAlign w:val="bottom"/>
          </w:tcPr>
          <w:p w:rsidRPr="00E00C47" w:rsidR="002F22F3" w:rsidP="00B1331F" w:rsidRDefault="002F22F3" w14:paraId="79D5587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1882" w:type="dxa"/>
            <w:tcBorders>
              <w:top w:val="nil"/>
              <w:left w:val="nil"/>
              <w:right w:val="nil"/>
            </w:tcBorders>
            <w:vAlign w:val="bottom"/>
          </w:tcPr>
          <w:p w:rsidRPr="00E00C47" w:rsidR="002F22F3" w:rsidP="00B1331F" w:rsidRDefault="002F22F3" w14:paraId="08B056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r w:rsidRPr="00E00C47">
              <w:rPr>
                <w:rFonts w:cstheme="minorHAnsi"/>
                <w:color w:val="000000"/>
                <w:kern w:val="0"/>
                <w:sz w:val="20"/>
                <w:szCs w:val="20"/>
                <w14:numSpacing w14:val="default"/>
              </w:rPr>
              <w:t>BP23</w:t>
            </w:r>
          </w:p>
        </w:tc>
      </w:tr>
      <w:tr w:rsidRPr="00E00C47" w:rsidR="00E00C47" w:rsidTr="0039164F" w14:paraId="3371C675" w14:textId="77777777">
        <w:trPr>
          <w:cantSplit/>
        </w:trPr>
        <w:tc>
          <w:tcPr>
            <w:tcW w:w="4524" w:type="dxa"/>
            <w:tcBorders>
              <w:left w:val="nil"/>
              <w:bottom w:val="single" w:color="auto" w:sz="6" w:space="0"/>
              <w:right w:val="nil"/>
            </w:tcBorders>
          </w:tcPr>
          <w:p w:rsidRPr="00E00C47" w:rsidR="002F22F3" w:rsidP="001E4DBC" w:rsidRDefault="002F22F3" w14:paraId="759AF83F" w14:textId="4EB041F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Summa reducera</w:t>
            </w:r>
            <w:r w:rsidR="003D17CE">
              <w:rPr>
                <w:rFonts w:cstheme="minorHAnsi"/>
                <w:b/>
                <w:bCs/>
                <w:color w:val="000000"/>
                <w:kern w:val="0"/>
                <w:sz w:val="20"/>
                <w:szCs w:val="20"/>
                <w14:numSpacing w14:val="default"/>
              </w:rPr>
              <w:t>de</w:t>
            </w:r>
            <w:r w:rsidRPr="00E00C47">
              <w:rPr>
                <w:rFonts w:cstheme="minorHAnsi"/>
                <w:b/>
                <w:bCs/>
                <w:color w:val="000000"/>
                <w:kern w:val="0"/>
                <w:sz w:val="20"/>
                <w:szCs w:val="20"/>
                <w14:numSpacing w14:val="default"/>
              </w:rPr>
              <w:t xml:space="preserve"> skattesubventioner</w:t>
            </w:r>
          </w:p>
        </w:tc>
        <w:tc>
          <w:tcPr>
            <w:tcW w:w="699" w:type="dxa"/>
            <w:tcBorders>
              <w:left w:val="nil"/>
              <w:bottom w:val="single" w:color="auto" w:sz="6" w:space="0"/>
              <w:right w:val="nil"/>
            </w:tcBorders>
          </w:tcPr>
          <w:p w:rsidRPr="00E00C47" w:rsidR="002F22F3" w:rsidP="001E4DBC" w:rsidRDefault="002F22F3" w14:paraId="553272E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38,08</w:t>
            </w:r>
          </w:p>
        </w:tc>
        <w:tc>
          <w:tcPr>
            <w:tcW w:w="700" w:type="dxa"/>
            <w:tcBorders>
              <w:left w:val="nil"/>
              <w:bottom w:val="single" w:color="auto" w:sz="6" w:space="0"/>
              <w:right w:val="nil"/>
            </w:tcBorders>
          </w:tcPr>
          <w:p w:rsidRPr="00E00C47" w:rsidR="002F22F3" w:rsidP="001E4DBC" w:rsidRDefault="002F22F3" w14:paraId="0B6F2F6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38,82</w:t>
            </w:r>
          </w:p>
        </w:tc>
        <w:tc>
          <w:tcPr>
            <w:tcW w:w="700" w:type="dxa"/>
            <w:tcBorders>
              <w:left w:val="nil"/>
              <w:bottom w:val="single" w:color="auto" w:sz="6" w:space="0"/>
              <w:right w:val="nil"/>
            </w:tcBorders>
          </w:tcPr>
          <w:p w:rsidRPr="00E00C47" w:rsidR="002F22F3" w:rsidP="001E4DBC" w:rsidRDefault="002F22F3" w14:paraId="43799B2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44,12</w:t>
            </w:r>
          </w:p>
        </w:tc>
        <w:tc>
          <w:tcPr>
            <w:tcW w:w="1882" w:type="dxa"/>
            <w:tcBorders>
              <w:left w:val="nil"/>
              <w:bottom w:val="single" w:color="auto" w:sz="6" w:space="0"/>
              <w:right w:val="nil"/>
            </w:tcBorders>
          </w:tcPr>
          <w:p w:rsidRPr="00E00C47" w:rsidR="002F22F3" w:rsidP="001E4DBC" w:rsidRDefault="002F22F3" w14:paraId="2B428EE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r w:rsidRPr="00E00C47" w:rsidR="00E00C47" w:rsidTr="0039164F" w14:paraId="2EA3134C" w14:textId="77777777">
        <w:trPr>
          <w:cantSplit/>
        </w:trPr>
        <w:tc>
          <w:tcPr>
            <w:tcW w:w="4524" w:type="dxa"/>
            <w:tcBorders>
              <w:top w:val="nil"/>
              <w:left w:val="nil"/>
              <w:bottom w:val="single" w:color="auto" w:sz="4" w:space="0"/>
              <w:right w:val="nil"/>
            </w:tcBorders>
          </w:tcPr>
          <w:p w:rsidRPr="00E00C47" w:rsidR="002F22F3" w:rsidP="001E4DBC" w:rsidRDefault="002F22F3" w14:paraId="2A653BC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SUMMA ÄNDRADE SKATTER (avrundat)</w:t>
            </w:r>
          </w:p>
        </w:tc>
        <w:tc>
          <w:tcPr>
            <w:tcW w:w="699" w:type="dxa"/>
            <w:tcBorders>
              <w:top w:val="nil"/>
              <w:left w:val="nil"/>
              <w:bottom w:val="single" w:color="auto" w:sz="4" w:space="0"/>
              <w:right w:val="nil"/>
            </w:tcBorders>
          </w:tcPr>
          <w:p w:rsidRPr="00E00C47" w:rsidR="002F22F3" w:rsidP="001E4DBC" w:rsidRDefault="002F22F3" w14:paraId="08B2CF2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68</w:t>
            </w:r>
          </w:p>
        </w:tc>
        <w:tc>
          <w:tcPr>
            <w:tcW w:w="700" w:type="dxa"/>
            <w:tcBorders>
              <w:top w:val="nil"/>
              <w:left w:val="nil"/>
              <w:bottom w:val="single" w:color="auto" w:sz="4" w:space="0"/>
              <w:right w:val="nil"/>
            </w:tcBorders>
          </w:tcPr>
          <w:p w:rsidRPr="00E00C47" w:rsidR="002F22F3" w:rsidP="001E4DBC" w:rsidRDefault="002F22F3" w14:paraId="4EC1FC2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67</w:t>
            </w:r>
          </w:p>
        </w:tc>
        <w:tc>
          <w:tcPr>
            <w:tcW w:w="700" w:type="dxa"/>
            <w:tcBorders>
              <w:top w:val="nil"/>
              <w:left w:val="nil"/>
              <w:bottom w:val="single" w:color="auto" w:sz="4" w:space="0"/>
              <w:right w:val="nil"/>
            </w:tcBorders>
          </w:tcPr>
          <w:p w:rsidRPr="00E00C47" w:rsidR="002F22F3" w:rsidP="001E4DBC" w:rsidRDefault="002F22F3" w14:paraId="02F3877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E00C47">
              <w:rPr>
                <w:rFonts w:cstheme="minorHAnsi"/>
                <w:b/>
                <w:bCs/>
                <w:color w:val="000000"/>
                <w:kern w:val="0"/>
                <w:sz w:val="20"/>
                <w:szCs w:val="20"/>
                <w14:numSpacing w14:val="default"/>
              </w:rPr>
              <w:t>73</w:t>
            </w:r>
          </w:p>
        </w:tc>
        <w:tc>
          <w:tcPr>
            <w:tcW w:w="1882" w:type="dxa"/>
            <w:tcBorders>
              <w:top w:val="nil"/>
              <w:left w:val="nil"/>
              <w:bottom w:val="single" w:color="auto" w:sz="4" w:space="0"/>
              <w:right w:val="nil"/>
            </w:tcBorders>
          </w:tcPr>
          <w:p w:rsidRPr="00E00C47" w:rsidR="002F22F3" w:rsidP="001E4DBC" w:rsidRDefault="002F22F3" w14:paraId="539FA5A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r>
    </w:tbl>
    <w:p w:rsidRPr="00FC2616" w:rsidR="00A42E84" w:rsidP="009B27C4" w:rsidRDefault="00D6559C" w14:paraId="06CB1C9D" w14:textId="387F820F">
      <w:pPr>
        <w:pStyle w:val="Rubrik1numrerat"/>
      </w:pPr>
      <w:bookmarkStart w:name="_Toc149814602" w:id="230"/>
      <w:r w:rsidRPr="00FC2616">
        <w:t>Långsiktigt hållbar finanspolitik</w:t>
      </w:r>
      <w:bookmarkEnd w:id="230"/>
    </w:p>
    <w:p w:rsidRPr="00FC2616" w:rsidR="00E226B0" w:rsidP="00CD4080" w:rsidRDefault="00E226B0" w14:paraId="5975763B" w14:textId="023A0EA4">
      <w:pPr>
        <w:pStyle w:val="Rubrik2numrerat"/>
        <w:spacing w:before="440"/>
      </w:pPr>
      <w:bookmarkStart w:name="_Toc149814603" w:id="231"/>
      <w:r w:rsidRPr="00FC2616">
        <w:t>Klimatomställningen och behovet av ett reformerat ramverk</w:t>
      </w:r>
      <w:bookmarkEnd w:id="231"/>
    </w:p>
    <w:p w:rsidRPr="00FC2616" w:rsidR="0059395E" w:rsidP="0059395E" w:rsidRDefault="0059395E" w14:paraId="5A22A0B9" w14:textId="12C5C857">
      <w:pPr>
        <w:pStyle w:val="Normalutanindragellerluft"/>
      </w:pPr>
      <w:r w:rsidRPr="00FC2616">
        <w:t>År 2016 slöts en överenskommelse om det finanspolitiska ramverket mellan samtliga riksdagspartier, förutom Sverigedemokraterna. De viktigaste delarna i överens</w:t>
      </w:r>
      <w:r w:rsidR="004B65BC">
        <w:softHyphen/>
      </w:r>
      <w:r w:rsidRPr="00FC2616">
        <w:t>kommelsen var att nivån på överskottsmålet för de offentliga finanserna sänktes från 1</w:t>
      </w:r>
      <w:r w:rsidR="004D1CE1">
        <w:t> </w:t>
      </w:r>
      <w:r w:rsidRPr="00FC2616">
        <w:t>procent till 0,33</w:t>
      </w:r>
      <w:r w:rsidR="004D1CE1">
        <w:t> </w:t>
      </w:r>
      <w:r w:rsidRPr="00FC2616">
        <w:t>procent över en konjunkturcykel och att ett skuldankare för den offentliga skulden infördes. Dessa regler trädde i kraft 2019. En annan central komponent i överenskommelsen var att man skrev in att det finanspolitiska ramverket skulle ses över i slutet av varannan mandatperiod så att eventuella reviderade mål skulle kunna träda i kraft första året efter ett ordinarie val. I utredningen som föregick det nya överskottsmålet skissade man på en beslutsordning där en översyn görs 2025 och där beslut fattas i samband med behandlingen av budgetpropositionen för 2026.</w:t>
      </w:r>
      <w:r w:rsidRPr="00FC2616">
        <w:rPr>
          <w:rStyle w:val="Fotnotsreferens"/>
        </w:rPr>
        <w:footnoteReference w:id="122"/>
      </w:r>
      <w:r w:rsidRPr="00FC2616">
        <w:t xml:space="preserve"> De nya reglerna skulle då kunna börja gälla från och med 2027.</w:t>
      </w:r>
    </w:p>
    <w:p w:rsidRPr="00FC2616" w:rsidR="0059395E" w:rsidP="009A136F" w:rsidRDefault="0059395E" w14:paraId="7D7CC806" w14:textId="443436FA">
      <w:r w:rsidRPr="00FC2616">
        <w:t xml:space="preserve">Vänsterpartiet har länge drivit frågan om att tidigarelägga denna översyn. Det som vi framför allt lyft fram är att nivån på överskottsmålet och det nya skuldankaret inte är konsistenta med varandra och att överskottsmålet står i vägen för de stora statliga investeringar som måste till för att möjliggöra och snabba på klimatomställningen. Den gröna omställningen kan inte vänta till 2027, den måste ske omedelbart. </w:t>
      </w:r>
    </w:p>
    <w:p w:rsidRPr="00FC2616" w:rsidR="00847618" w:rsidP="009B27C4" w:rsidRDefault="00847618" w14:paraId="7EB4AAD1" w14:textId="5D7BF820">
      <w:r w:rsidRPr="00FC2616">
        <w:t>Klimatomställningen kommer att innebära att omfattande investeringar behöver göras i en rad samhällsviktiga verksamheter. Det rör sig om investeringar i transport</w:t>
      </w:r>
      <w:r w:rsidR="004B65BC">
        <w:softHyphen/>
      </w:r>
      <w:r w:rsidRPr="00FC2616">
        <w:t xml:space="preserve">infrastruktur, </w:t>
      </w:r>
      <w:proofErr w:type="spellStart"/>
      <w:r w:rsidRPr="00FC2616">
        <w:t>elöverföring</w:t>
      </w:r>
      <w:proofErr w:type="spellEnd"/>
      <w:r w:rsidRPr="00FC2616">
        <w:t xml:space="preserve"> och </w:t>
      </w:r>
      <w:r w:rsidR="003C7BAC">
        <w:t>el</w:t>
      </w:r>
      <w:r w:rsidRPr="00FC2616">
        <w:t>produktion och en upprustning samt klimatanpassning av bostadsbeståndet. Investeringarnas storlek är beroende av en rad faktorer och tids</w:t>
      </w:r>
      <w:r w:rsidR="004B65BC">
        <w:softHyphen/>
      </w:r>
      <w:r w:rsidRPr="00FC2616">
        <w:t>aspekten är en viktigt sådan. Ju längre världens stater avstår från att vidta åtgärder och genomföra omfattande investeringar</w:t>
      </w:r>
      <w:r w:rsidR="00B52F8E">
        <w:t>,</w:t>
      </w:r>
      <w:r w:rsidRPr="00FC2616">
        <w:t xml:space="preserve"> desto högre kommer kostnaden att bli för att hantera effekterna av klimatförändringarna. Att återställa, förhindra och reparera skador i efterhand är en betydligt dyrare väg att gå än att i möjligaste mån förebygga klimat</w:t>
      </w:r>
      <w:r w:rsidR="004B65BC">
        <w:softHyphen/>
      </w:r>
      <w:r w:rsidRPr="00FC2616">
        <w:t xml:space="preserve">förändringarnas negativa inverkan på samhället. Dessutom förutsätter en offensiv klimatomställningspolitik som är lika </w:t>
      </w:r>
      <w:r w:rsidRPr="00FC2616" w:rsidR="000B0968">
        <w:t xml:space="preserve">ambitiös </w:t>
      </w:r>
      <w:r w:rsidR="000B0968">
        <w:t xml:space="preserve">som </w:t>
      </w:r>
      <w:r w:rsidRPr="00FC2616">
        <w:t>eller mer ambitiös än de konven</w:t>
      </w:r>
      <w:r w:rsidR="004B65BC">
        <w:softHyphen/>
      </w:r>
      <w:r w:rsidRPr="00FC2616">
        <w:t xml:space="preserve">tionsbundna åtaganden som Sverige förbundit sig att följa att investeringarna behöver genomföras i relativ närtid och </w:t>
      </w:r>
      <w:r w:rsidR="000B0968">
        <w:t>med</w:t>
      </w:r>
      <w:r w:rsidRPr="00FC2616">
        <w:t xml:space="preserve"> betydande summor. </w:t>
      </w:r>
    </w:p>
    <w:p w:rsidRPr="00FC2616" w:rsidR="00A82F55" w:rsidP="00EE6785" w:rsidRDefault="00847618" w14:paraId="4CC21028" w14:textId="13D6D12A">
      <w:pPr>
        <w:pStyle w:val="Rubrik2numrerat"/>
      </w:pPr>
      <w:bookmarkStart w:name="_Toc149814604" w:id="232"/>
      <w:r w:rsidRPr="00FC2616">
        <w:t>Ett ramverk för ett rikare Sverige</w:t>
      </w:r>
      <w:bookmarkEnd w:id="232"/>
    </w:p>
    <w:p w:rsidRPr="00FC2616" w:rsidR="00A82F55" w:rsidP="00A82F55" w:rsidRDefault="00A82F55" w14:paraId="4BF2ABBE" w14:textId="3E59D1AD">
      <w:pPr>
        <w:pStyle w:val="Normalutanindragellerluft"/>
      </w:pPr>
      <w:r w:rsidRPr="00FC2616">
        <w:t xml:space="preserve">De ursprungliga skälen bakom överskottsmålet är sedan länge uppfyllda och/eller överspelade. Sverige har bland de starkaste offentliga finanserna i västvärlden och löpande och stora överskott i bytesbalansen. I Konjunkturinstitutets senaste </w:t>
      </w:r>
      <w:r w:rsidRPr="00FC2616">
        <w:lastRenderedPageBreak/>
        <w:t>hållbarhetsrapport beräknas den offentliga bruttoskulden sjunka till 29,1 procent av BNP 2023, vilket är mycket lågt i ett internationellt perspektiv (se figur</w:t>
      </w:r>
      <w:r w:rsidRPr="00FC2616" w:rsidR="00D52509">
        <w:t xml:space="preserve"> 1</w:t>
      </w:r>
      <w:r w:rsidRPr="00FC2616" w:rsidR="00095517">
        <w:t>3</w:t>
      </w:r>
      <w:r w:rsidRPr="00FC2616">
        <w:t xml:space="preserve"> nedan).</w:t>
      </w:r>
      <w:r w:rsidRPr="00FC2616" w:rsidR="005201AE">
        <w:rPr>
          <w:rStyle w:val="Fotnotsreferens"/>
        </w:rPr>
        <w:footnoteReference w:id="123"/>
      </w:r>
      <w:r w:rsidRPr="00FC2616">
        <w:t xml:space="preserve"> Samtidigt står världen inför ett klimatnödläge, där vi har ca tio år på oss att vända utvecklingen. De tillfälliga utsläppsminskningar som skett under pandemin har endast haft en marginell betydelse på den globala uppvärmningen och våra möjligheter att nå de nationella klimatmålen. Klimatkrisen innebär att staten måste ta ansvar för ett stort investeringsprogram. Rätt hanterat kan detta investeringsprogram bli en katalysator för ökad produktivitet, minskad arbetslöshet och en modernisering av det svenska samhället.</w:t>
      </w:r>
    </w:p>
    <w:p w:rsidRPr="00FC2616" w:rsidR="00112839" w:rsidP="009B27C4" w:rsidRDefault="00A82F55" w14:paraId="79E941C6" w14:textId="0BD5E655">
      <w:r w:rsidRPr="00FC2616">
        <w:t xml:space="preserve">För att finansiera detta investeringsprogram föreslår Vänsterpartiet att ett 10-årigt moratorium införs för det finanspolitiska ramverket, med start 2023. Vänsterpartiet föreslår att dagens överskottsmål ersätts med ett underskottsmål för de offentliga finanserna under moratoriet. Vi föreslår att saldomålet för de offentliga finanserna sätts till </w:t>
      </w:r>
      <w:r w:rsidR="00C20542">
        <w:t>–</w:t>
      </w:r>
      <w:r w:rsidRPr="00FC2616">
        <w:t>1</w:t>
      </w:r>
      <w:r w:rsidR="003B5A31">
        <w:t> </w:t>
      </w:r>
      <w:r w:rsidRPr="00FC2616">
        <w:t>procent av BNP över en konjunkturcykel. Vänsterpartiet har bett riksdagens utredningstjänst att räkna på hur den offentliga skulden skulle utvecklas med ett sådant underskottsmål. Analysen visar att den offentliga bruttoskulden beräknas landa på 38,7</w:t>
      </w:r>
      <w:r w:rsidR="008048DE">
        <w:t> </w:t>
      </w:r>
      <w:r w:rsidRPr="00FC2616">
        <w:t xml:space="preserve">procent av BNP år 2032. Om Sverige skulle </w:t>
      </w:r>
      <w:r w:rsidR="00EF20A3">
        <w:t xml:space="preserve">ha </w:t>
      </w:r>
      <w:r w:rsidRPr="00FC2616">
        <w:t>haft en bruttoskuld på den nivån i</w:t>
      </w:r>
      <w:r w:rsidRPr="00FC2616" w:rsidR="00D87A0F">
        <w:t xml:space="preserve"> </w:t>
      </w:r>
      <w:r w:rsidRPr="00FC2616">
        <w:t xml:space="preserve">dag, skulle vi fortfarande ha bland de starkaste offentliga finanserna inom EU och bland andra jämförbara länder, se figur </w:t>
      </w:r>
      <w:r w:rsidRPr="00FC2616" w:rsidR="00D52509">
        <w:t>1</w:t>
      </w:r>
      <w:r w:rsidRPr="00FC2616" w:rsidR="00095517">
        <w:t>3</w:t>
      </w:r>
      <w:r w:rsidRPr="00FC2616">
        <w:t xml:space="preserve"> nedan.</w:t>
      </w:r>
    </w:p>
    <w:p w:rsidRPr="00CD4080" w:rsidR="00112839" w:rsidP="00CD4080" w:rsidRDefault="00112839" w14:paraId="68010CB7" w14:textId="532943FC">
      <w:pPr>
        <w:pStyle w:val="Tabellrubrik"/>
      </w:pPr>
      <w:r w:rsidRPr="00CD4080">
        <w:t xml:space="preserve">Figur </w:t>
      </w:r>
      <w:r w:rsidRPr="00CD4080" w:rsidR="00D52509">
        <w:t>1</w:t>
      </w:r>
      <w:r w:rsidRPr="00CD4080" w:rsidR="00095517">
        <w:t>3</w:t>
      </w:r>
      <w:r w:rsidRPr="00CD4080">
        <w:t xml:space="preserve"> Den offentliga sektorns bruttoskuld i utvalda länder, 2022</w:t>
      </w:r>
    </w:p>
    <w:p w:rsidRPr="00CD4080" w:rsidR="00112839" w:rsidP="00CD4080" w:rsidRDefault="00112839" w14:paraId="0B51A6AB" w14:textId="45C4C47B">
      <w:pPr>
        <w:pStyle w:val="Tabellunderrubrik"/>
      </w:pPr>
      <w:r w:rsidRPr="00CD4080">
        <w:t>Procent av BNP</w:t>
      </w:r>
    </w:p>
    <w:p w:rsidRPr="00FC2616" w:rsidR="00112839" w:rsidP="00112839" w:rsidRDefault="00112839" w14:paraId="28B26C44" w14:textId="3972AF25">
      <w:pPr>
        <w:tabs>
          <w:tab w:val="clear" w:pos="284"/>
        </w:tabs>
        <w:ind w:firstLine="0"/>
        <w:rPr>
          <w:sz w:val="20"/>
          <w:szCs w:val="20"/>
        </w:rPr>
      </w:pPr>
      <w:r w:rsidRPr="00FC2616">
        <w:rPr>
          <w:noProof/>
        </w:rPr>
        <w:drawing>
          <wp:inline distT="0" distB="0" distL="0" distR="0" wp14:anchorId="5DBB09F4" wp14:editId="17EE6B96">
            <wp:extent cx="5357092" cy="3214255"/>
            <wp:effectExtent l="0" t="0" r="15240" b="5715"/>
            <wp:docPr id="7" name="Diagram 7" descr="">
              <a:extLst xmlns:a="http://schemas.openxmlformats.org/drawingml/2006/main">
                <a:ext uri="{FF2B5EF4-FFF2-40B4-BE49-F238E27FC236}">
                  <a16:creationId xmlns:a16="http://schemas.microsoft.com/office/drawing/2014/main" id="{137EC606-50A1-4A0A-AE3A-016FE77CAE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CD4080" w:rsidR="00112839" w:rsidP="00CD4080" w:rsidRDefault="00112839" w14:paraId="0B63B991" w14:textId="77777777">
      <w:pPr>
        <w:pStyle w:val="Klla"/>
      </w:pPr>
      <w:r w:rsidRPr="00CD4080">
        <w:t>Källa: IMF, KI och RUT 2022:33.</w:t>
      </w:r>
    </w:p>
    <w:p w:rsidRPr="00CD4080" w:rsidR="00112839" w:rsidP="00CD4080" w:rsidRDefault="00112839" w14:paraId="0BD2A494" w14:textId="6D7FFFC4">
      <w:pPr>
        <w:pStyle w:val="Klla"/>
      </w:pPr>
      <w:r w:rsidRPr="00CD4080">
        <w:t>Anm</w:t>
      </w:r>
      <w:r w:rsidRPr="00CD4080" w:rsidR="00B55DF0">
        <w:t>.</w:t>
      </w:r>
      <w:r w:rsidRPr="00CD4080" w:rsidR="0082669C">
        <w:t> </w:t>
      </w:r>
      <w:r w:rsidRPr="00CD4080" w:rsidR="007F5FD5">
        <w:t>1:</w:t>
      </w:r>
      <w:r w:rsidRPr="00CD4080">
        <w:t xml:space="preserve"> Stapeln SWE 2032 visar Sveriges bruttoskuld 2032 med ett underskottsmål på </w:t>
      </w:r>
      <w:r w:rsidRPr="00CD4080" w:rsidR="00B55DF0">
        <w:t>–</w:t>
      </w:r>
      <w:r w:rsidRPr="00CD4080">
        <w:t>1</w:t>
      </w:r>
      <w:r w:rsidRPr="00CD4080" w:rsidR="00B55DF0">
        <w:t> </w:t>
      </w:r>
      <w:r w:rsidRPr="00CD4080">
        <w:t>%.</w:t>
      </w:r>
    </w:p>
    <w:p w:rsidRPr="00CD4080" w:rsidR="00112839" w:rsidP="00CD4080" w:rsidRDefault="00112839" w14:paraId="7FB5F4FB" w14:textId="3945743A">
      <w:pPr>
        <w:pStyle w:val="Klla"/>
      </w:pPr>
      <w:r w:rsidRPr="00CD4080">
        <w:t>Anm</w:t>
      </w:r>
      <w:r w:rsidRPr="00CD4080" w:rsidR="00B55DF0">
        <w:t>.</w:t>
      </w:r>
      <w:r w:rsidRPr="00CD4080" w:rsidR="0082669C">
        <w:t> </w:t>
      </w:r>
      <w:r w:rsidRPr="00CD4080" w:rsidR="007F5FD5">
        <w:t>2:</w:t>
      </w:r>
      <w:r w:rsidRPr="00CD4080">
        <w:t xml:space="preserve"> Värdet på SWE är </w:t>
      </w:r>
      <w:r w:rsidRPr="00CD4080" w:rsidR="00B55DF0">
        <w:t xml:space="preserve">en </w:t>
      </w:r>
      <w:r w:rsidRPr="00CD4080">
        <w:t>prognos för 2023, detta för att på ett korrekt sätt åskådliggöra effekterna av Vänsterpartiets underskottsmål som föreslås börja gälla 2023.</w:t>
      </w:r>
    </w:p>
    <w:p w:rsidRPr="00FC2616" w:rsidR="0023113E" w:rsidP="00CD4080" w:rsidRDefault="0023113E" w14:paraId="18EBA2CD" w14:textId="2C926E4F">
      <w:pPr>
        <w:pStyle w:val="Normalutanindragellerluft"/>
        <w:spacing w:before="150"/>
      </w:pPr>
      <w:r w:rsidRPr="00FC2616">
        <w:t xml:space="preserve">Ett underskottsmål på </w:t>
      </w:r>
      <w:r w:rsidR="007F5FD5">
        <w:t>–</w:t>
      </w:r>
      <w:r w:rsidRPr="00FC2616">
        <w:t>1</w:t>
      </w:r>
      <w:r w:rsidR="004517A4">
        <w:t> </w:t>
      </w:r>
      <w:r w:rsidRPr="00FC2616">
        <w:t>procent frigör ett budgetpolitiskt utrymme på ca</w:t>
      </w:r>
      <w:r w:rsidR="004517A4">
        <w:t> </w:t>
      </w:r>
      <w:r w:rsidRPr="00FC2616">
        <w:t>800 miljarder kronor under en 10-årsperiod jämfört med dagens överskottsmål.</w:t>
      </w:r>
      <w:r w:rsidRPr="00FC2616">
        <w:rPr>
          <w:rStyle w:val="Fotnotsreferens"/>
        </w:rPr>
        <w:footnoteReference w:id="124"/>
      </w:r>
      <w:r w:rsidRPr="00FC2616">
        <w:t xml:space="preserve"> I relation till ett balansmål för de offentliga finanserna skapar underskottsmålet ett ekonomiskt utrymme </w:t>
      </w:r>
      <w:r w:rsidRPr="00FC2616">
        <w:lastRenderedPageBreak/>
        <w:t>på ca</w:t>
      </w:r>
      <w:r w:rsidR="001313D8">
        <w:t> </w:t>
      </w:r>
      <w:r w:rsidRPr="00FC2616">
        <w:t>600 miljarder kronor. Vänsterpartiet föreslår att underskottsmålet används för att finansiera ett stort statligt investeringsprogram för att snabba på och möjliggöra klimatomställningen. Det utrymme som skapas ska inte användas för löpande statliga utgifter utan ska öronmärkas till investeringar som behövs för att ställa om ekonomin i en för miljön hållbar utveckling.</w:t>
      </w:r>
    </w:p>
    <w:p w:rsidRPr="00FC2616" w:rsidR="0097299E" w:rsidP="0097299E" w:rsidRDefault="0023113E" w14:paraId="39377CC5" w14:textId="59C22039">
      <w:r w:rsidRPr="00FC2616">
        <w:t xml:space="preserve">Moratoriets finansieringsmöjligheter innebär att medel frigörs för att säkerställa en långsiktigt hållbar klimatomställning. På så sätt kan staten säkerställa att nödvändig infrastruktur bidrar till att Sverige även framgent har en innovativ industrisektor, att klimatomställningen kan äga rum i hela landet samt att den betydande exportsektorn i Sverige ges förutsättningar att konkurrera med en världsmarknad som sannolikt kommer </w:t>
      </w:r>
      <w:r w:rsidR="001C1720">
        <w:t xml:space="preserve">att </w:t>
      </w:r>
      <w:r w:rsidRPr="00FC2616">
        <w:t>se betydande klimatinvesteringar de närmaste åren. Moratoriet skulle innebära en omfattande kapitalisering av klimatomställningen med offentliga medel, något som är en förutsättning för att inte privata kapitalintressen ska föregå det offentliga och förvärva viktig infrastruktur eller andra delar som är nödvändig</w:t>
      </w:r>
      <w:r w:rsidR="003706E6">
        <w:t>a</w:t>
      </w:r>
      <w:r w:rsidRPr="00FC2616">
        <w:t xml:space="preserve"> i klimatomställningen. Klimatomställningen som helhet behöver säkerställas genom en lång rad reformer på i stort sett alla politikområden, men ett moratorium för det finanspolitiska ramverket möjliggör ett svar på frågan hur några av de största investeringsbehoven ska finansieras.</w:t>
      </w:r>
    </w:p>
    <w:p w:rsidRPr="00FC2616" w:rsidR="00381D71" w:rsidP="009B27C4" w:rsidRDefault="00381D71" w14:paraId="4F389224" w14:textId="3031389D">
      <w:pPr>
        <w:pStyle w:val="Rubrik2numrerat"/>
      </w:pPr>
      <w:bookmarkStart w:name="_Toc149814605" w:id="233"/>
      <w:r w:rsidRPr="00FC2616">
        <w:t>Realekonomiska mål bör komplettera de finansiella målen</w:t>
      </w:r>
      <w:bookmarkEnd w:id="233"/>
    </w:p>
    <w:p w:rsidRPr="00FC2616" w:rsidR="00381D71" w:rsidP="00381D71" w:rsidRDefault="00381D71" w14:paraId="4D9946E5" w14:textId="365C2E4F">
      <w:pPr>
        <w:pStyle w:val="Normalutanindragellerluft"/>
      </w:pPr>
      <w:r w:rsidRPr="00FC2616">
        <w:t>Syftet med det finanspolitiska ramverket är att säkerställa att de offentliga finanserna inte äventyras på lång sikt – att inte de offentliga underskotten blir för stora eller att skulden ökar snabbt under en längre tidsperiod. Ramverket i sig är inte målet med den ekonomiska politiken. Dock har det periodvis fungerat begränsande för möjligheten att öka resurser</w:t>
      </w:r>
      <w:r w:rsidR="00BA2C87">
        <w:t>na</w:t>
      </w:r>
      <w:r w:rsidRPr="00FC2616">
        <w:t xml:space="preserve"> till välfärden i takt med behoven eller för att öka de offentliga satsningarna för att pressa ner arbetslösheten.</w:t>
      </w:r>
    </w:p>
    <w:p w:rsidRPr="00FC2616" w:rsidR="00C95E5C" w:rsidP="00E01D49" w:rsidRDefault="00381D71" w14:paraId="5979B157" w14:textId="365EB3B0">
      <w:r w:rsidRPr="00FC2616">
        <w:t>Den ekonomiska politiken bör styras av reala mål om ökad sysselsättning, rättvis fördelning, investeringar och klimatomställning – där offentligfinansiella</w:t>
      </w:r>
      <w:r w:rsidR="008D6271">
        <w:t xml:space="preserve"> mål</w:t>
      </w:r>
      <w:r w:rsidRPr="00FC2616">
        <w:t xml:space="preserve"> och inflationsmål blir verktyg för att uppnå de reala målen. Vänsterpartiet föreslår därför att det finanspolitiska ramverket kompletteras med mål för arbetsmarknaden om full sysselsättning och ett mål för offentliga investeringar i linje med våra klimatåtaganden.</w:t>
      </w:r>
    </w:p>
    <w:p w:rsidRPr="00FC2616" w:rsidR="003258A1" w:rsidP="003258A1" w:rsidRDefault="00E01D49" w14:paraId="4BA54FF8" w14:textId="0E4303EF">
      <w:r w:rsidRPr="00FC2616">
        <w:t xml:space="preserve">Finanspolitiska rådet är den myndighet som </w:t>
      </w:r>
      <w:r w:rsidRPr="00FC2616" w:rsidR="006A00E0">
        <w:t xml:space="preserve">har </w:t>
      </w:r>
      <w:r w:rsidRPr="00FC2616">
        <w:t>satts att vaka över det finans</w:t>
      </w:r>
      <w:r w:rsidR="00970F38">
        <w:softHyphen/>
      </w:r>
      <w:r w:rsidRPr="00FC2616">
        <w:t>politiska ramverket</w:t>
      </w:r>
      <w:r w:rsidRPr="00FC2616" w:rsidR="00351F47">
        <w:t>. Rådet ska bedöma om finanspolitiken är förenlig med långsiktigt hållbara offentliga finanser</w:t>
      </w:r>
      <w:r w:rsidRPr="00FC2616" w:rsidR="00AE081A">
        <w:t xml:space="preserve"> och</w:t>
      </w:r>
      <w:r w:rsidRPr="00FC2616" w:rsidR="00351F47">
        <w:t xml:space="preserve"> bedöma om finanspolitiken är i linje med konjunktur</w:t>
      </w:r>
      <w:r w:rsidR="00970F38">
        <w:softHyphen/>
      </w:r>
      <w:r w:rsidRPr="00FC2616" w:rsidR="00351F47">
        <w:t xml:space="preserve">utvecklingen, </w:t>
      </w:r>
      <w:r w:rsidR="006E0DB3">
        <w:t xml:space="preserve">en </w:t>
      </w:r>
      <w:r w:rsidRPr="00FC2616" w:rsidR="00351F47">
        <w:t xml:space="preserve">långsiktigt uthållig tillväxt och </w:t>
      </w:r>
      <w:r w:rsidR="006E0DB3">
        <w:t xml:space="preserve">en </w:t>
      </w:r>
      <w:r w:rsidRPr="00FC2616" w:rsidR="00351F47">
        <w:t xml:space="preserve">långsiktigt hållbar sysselsättning. </w:t>
      </w:r>
      <w:r w:rsidRPr="00FC2616" w:rsidR="00652328">
        <w:t xml:space="preserve">Dessa variabler är dock i sig inte ensidigt tekniska, utan i stor utsträckning beroende </w:t>
      </w:r>
      <w:r w:rsidRPr="00FC2616" w:rsidR="006A00E0">
        <w:t>av</w:t>
      </w:r>
      <w:r w:rsidRPr="00FC2616" w:rsidR="00652328">
        <w:t xml:space="preserve"> antaganden om ekonomins funktionssätt. </w:t>
      </w:r>
      <w:r w:rsidRPr="00FC2616" w:rsidR="00B74AC1">
        <w:t xml:space="preserve">Rådet har i uppdrag att verka för en ökad offentlig diskussion i samhället om den ekonomiska politiken. </w:t>
      </w:r>
      <w:r w:rsidRPr="00FC2616" w:rsidR="00A24909">
        <w:t xml:space="preserve">Sedan inrättandet 2007 har dock rådet inte </w:t>
      </w:r>
      <w:r w:rsidRPr="00FC2616" w:rsidR="00E54BDC">
        <w:t xml:space="preserve">bidragit till att bredda diskussionen om ramverket. </w:t>
      </w:r>
      <w:r w:rsidRPr="00FC2616" w:rsidR="003258A1">
        <w:t xml:space="preserve">Finanspolitiska rådet har i sin ekonomiska modell anslutit sig till den nationalekonomiska mittfåran, </w:t>
      </w:r>
      <w:r w:rsidRPr="00FC2616" w:rsidR="005F0B31">
        <w:t>som exempelvis innebär en</w:t>
      </w:r>
      <w:r w:rsidRPr="00FC2616" w:rsidR="003258A1">
        <w:t xml:space="preserve"> syn på finanspolitikens begränsade roll för den totala efterfrågan. </w:t>
      </w:r>
      <w:r w:rsidRPr="00FC2616" w:rsidR="005F0B31">
        <w:t xml:space="preserve">Finansiella mål anses därmed inte stå i konflikt med reala. </w:t>
      </w:r>
      <w:r w:rsidRPr="00FC2616" w:rsidR="003258A1">
        <w:rPr>
          <w:rFonts w:eastAsia="Calibri"/>
        </w:rPr>
        <w:t>Vänsterpartiet anser att den ekonomiska politiken i</w:t>
      </w:r>
      <w:r w:rsidRPr="00FC2616" w:rsidR="00E7570E">
        <w:rPr>
          <w:rFonts w:eastAsia="Calibri"/>
        </w:rPr>
        <w:t xml:space="preserve"> </w:t>
      </w:r>
      <w:r w:rsidRPr="00FC2616" w:rsidR="003258A1">
        <w:rPr>
          <w:rFonts w:eastAsia="Calibri"/>
        </w:rPr>
        <w:t>stället bör styras av reala mål om ökad syssel</w:t>
      </w:r>
      <w:r w:rsidR="00970F38">
        <w:rPr>
          <w:rFonts w:eastAsia="Calibri"/>
        </w:rPr>
        <w:softHyphen/>
      </w:r>
      <w:r w:rsidRPr="00FC2616" w:rsidR="003258A1">
        <w:rPr>
          <w:rFonts w:eastAsia="Calibri"/>
        </w:rPr>
        <w:t>sättning, investeringar och klimatomställning – där offentligfinansiella</w:t>
      </w:r>
      <w:r w:rsidRPr="00FC2616" w:rsidR="006F1C5F">
        <w:rPr>
          <w:rFonts w:eastAsia="Calibri"/>
        </w:rPr>
        <w:t xml:space="preserve"> </w:t>
      </w:r>
      <w:r w:rsidRPr="00FC2616" w:rsidR="003258A1">
        <w:rPr>
          <w:rFonts w:eastAsia="Calibri"/>
        </w:rPr>
        <w:t xml:space="preserve">mål blir verktyg för att uppnå de reala målen. </w:t>
      </w:r>
      <w:r w:rsidRPr="00FC2616" w:rsidR="00E54BDC">
        <w:t>Vänsterpartiets slutsats är att Finanspolitiska rådet</w:t>
      </w:r>
      <w:r w:rsidRPr="00FC2616" w:rsidR="00AE081A">
        <w:t xml:space="preserve"> i sin </w:t>
      </w:r>
      <w:r w:rsidRPr="00FC2616" w:rsidR="00AE081A">
        <w:lastRenderedPageBreak/>
        <w:t xml:space="preserve">nuvarande utformning saknar kompetens att föra </w:t>
      </w:r>
      <w:r w:rsidRPr="00FC2616" w:rsidR="005F0B31">
        <w:t>en</w:t>
      </w:r>
      <w:r w:rsidRPr="00FC2616" w:rsidR="00AE081A">
        <w:t xml:space="preserve"> diskussion</w:t>
      </w:r>
      <w:r w:rsidRPr="00FC2616" w:rsidR="00B74AC1">
        <w:t xml:space="preserve"> </w:t>
      </w:r>
      <w:r w:rsidRPr="00FC2616" w:rsidR="005F0B31">
        <w:t xml:space="preserve">om den ekonomiska politiken </w:t>
      </w:r>
      <w:r w:rsidRPr="00FC2616" w:rsidR="003258A1">
        <w:t>utanför de ramar som en ensidig nationalekonomisk modell innebär.</w:t>
      </w:r>
    </w:p>
    <w:p w:rsidRPr="00FC2616" w:rsidR="00C95E5C" w:rsidP="00D4517C" w:rsidRDefault="003258A1" w14:paraId="73508CFF" w14:textId="53442A93">
      <w:r w:rsidRPr="00FC2616">
        <w:t xml:space="preserve">Vänsterpartiet anser därför att Finanspolitiska rådet kan avvecklas. Myndigheten kan med fördel ersättas av ett institut med en betydligt bredare kompetens. Vi föreslår ett inrättande av Stockholmsinstitutet för </w:t>
      </w:r>
      <w:r w:rsidRPr="00FC2616" w:rsidR="00430B56">
        <w:t xml:space="preserve">tvärvetenskaplig samhällsekonomisk forskning. Denna myndighet </w:t>
      </w:r>
      <w:r w:rsidRPr="00FC2616" w:rsidR="00AE3192">
        <w:t>bör</w:t>
      </w:r>
      <w:r w:rsidRPr="00FC2616" w:rsidR="00A11427">
        <w:t xml:space="preserve"> få i uppdrag att b</w:t>
      </w:r>
      <w:r w:rsidRPr="00FC2616" w:rsidR="00B130D9">
        <w:t xml:space="preserve">idra till diskussionen om </w:t>
      </w:r>
      <w:r w:rsidRPr="00FC2616" w:rsidR="00AE3192">
        <w:t>finans</w:t>
      </w:r>
      <w:r w:rsidRPr="00FC2616" w:rsidR="00A11427">
        <w:t>politik</w:t>
      </w:r>
      <w:r w:rsidRPr="00FC2616" w:rsidR="00B130D9">
        <w:t>en</w:t>
      </w:r>
      <w:r w:rsidRPr="00FC2616" w:rsidR="00A11427">
        <w:t xml:space="preserve"> </w:t>
      </w:r>
      <w:r w:rsidRPr="00FC2616" w:rsidR="00B130D9">
        <w:t xml:space="preserve">utifrån ett tvärvetenskapligt perspektiv. Detta innebär att analysen tar </w:t>
      </w:r>
      <w:r w:rsidRPr="00FC2616" w:rsidR="00AE3192">
        <w:t xml:space="preserve">i </w:t>
      </w:r>
      <w:r w:rsidRPr="00FC2616" w:rsidR="00B130D9">
        <w:t>b</w:t>
      </w:r>
      <w:r w:rsidRPr="00FC2616" w:rsidR="00A11427">
        <w:t xml:space="preserve">eaktande såväl ekonomiska effekter som sociala och institutionella. </w:t>
      </w:r>
      <w:r w:rsidRPr="00FC2616" w:rsidR="00827D76">
        <w:t>Institutet</w:t>
      </w:r>
      <w:r w:rsidRPr="00FC2616" w:rsidR="00A11427">
        <w:t xml:space="preserve"> ska på så vi bidra till en ökad öppenhet och tydlighet kring den ekonomiska politiken</w:t>
      </w:r>
      <w:r w:rsidR="005015AC">
        <w:t xml:space="preserve"> och</w:t>
      </w:r>
      <w:r w:rsidRPr="00FC2616" w:rsidR="00A11427">
        <w:t xml:space="preserve"> dess syfte, effektivitet och effekter på samhället i stort.</w:t>
      </w:r>
      <w:r w:rsidRPr="00FC2616" w:rsidR="00D4517C">
        <w:t xml:space="preserve"> </w:t>
      </w:r>
    </w:p>
    <w:p w:rsidRPr="00FC2616" w:rsidR="00DC3C92" w:rsidP="00470EC7" w:rsidRDefault="00C95E5C" w14:paraId="5A0A6BE7" w14:textId="7AE8AAE8">
      <w:pPr>
        <w:pStyle w:val="Rubrik1numrerat"/>
      </w:pPr>
      <w:bookmarkStart w:name="_Toc149814606" w:id="234"/>
      <w:r w:rsidRPr="00FC2616">
        <w:t>Utgiftsramar och fördelning av utgifter i statsbudgeten</w:t>
      </w:r>
      <w:bookmarkEnd w:id="234"/>
    </w:p>
    <w:p w:rsidRPr="00CD4080" w:rsidR="00FC14DC" w:rsidP="00CD4080" w:rsidRDefault="00DC3C92" w14:paraId="2110E139" w14:textId="300CA7AD">
      <w:pPr>
        <w:pStyle w:val="Tabellrubrik"/>
        <w:spacing w:before="300"/>
      </w:pPr>
      <w:r w:rsidRPr="00CD4080">
        <w:t xml:space="preserve">Tabell </w:t>
      </w:r>
      <w:r w:rsidRPr="00CD4080" w:rsidR="0008121C">
        <w:t>9</w:t>
      </w:r>
      <w:r w:rsidRPr="00CD4080" w:rsidR="002F22F3">
        <w:t xml:space="preserve"> Vänsterpartiets förslag till utgiftsramar för 2023</w:t>
      </w:r>
      <w:r w:rsidRPr="00CD4080" w:rsidR="00FC14DC">
        <w:t> </w:t>
      </w:r>
    </w:p>
    <w:p w:rsidRPr="00CD4080" w:rsidR="00FC14DC" w:rsidP="00CD4080" w:rsidRDefault="00FC14DC" w14:paraId="7F89E201" w14:textId="77777777">
      <w:pPr>
        <w:pStyle w:val="Tabellunderrubrik"/>
      </w:pPr>
      <w:r w:rsidRPr="00CD408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FC2616" w:rsidR="00FC14DC" w:rsidTr="00787D6C" w14:paraId="3DD8D863" w14:textId="77777777">
        <w:trPr>
          <w:trHeight w:val="170"/>
          <w:tblHeader/>
        </w:trPr>
        <w:tc>
          <w:tcPr>
            <w:tcW w:w="4139"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FC2616" w:rsidR="00FC14DC" w:rsidP="00FC14DC" w:rsidRDefault="00FC14DC" w14:paraId="6781E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D9C4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FAF9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37365F1C"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42F23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01</w:t>
            </w:r>
          </w:p>
        </w:tc>
        <w:tc>
          <w:tcPr>
            <w:tcW w:w="4139" w:type="dxa"/>
            <w:shd w:val="clear" w:color="auto" w:fill="FFFFFF"/>
            <w:tcMar>
              <w:top w:w="68" w:type="dxa"/>
              <w:left w:w="28" w:type="dxa"/>
              <w:bottom w:w="0" w:type="dxa"/>
              <w:right w:w="28" w:type="dxa"/>
            </w:tcMar>
            <w:hideMark/>
          </w:tcPr>
          <w:p w:rsidRPr="00FC2616" w:rsidR="00FC14DC" w:rsidP="00FC14DC" w:rsidRDefault="00FC14DC" w14:paraId="605DCA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FC2616" w:rsidR="00FC14DC" w:rsidP="00FC14DC" w:rsidRDefault="00FC14DC" w14:paraId="093FD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18 270 004</w:t>
            </w:r>
          </w:p>
        </w:tc>
        <w:tc>
          <w:tcPr>
            <w:tcW w:w="1418" w:type="dxa"/>
            <w:shd w:val="clear" w:color="auto" w:fill="FFFFFF"/>
            <w:tcMar>
              <w:top w:w="68" w:type="dxa"/>
              <w:left w:w="28" w:type="dxa"/>
              <w:bottom w:w="0" w:type="dxa"/>
              <w:right w:w="28" w:type="dxa"/>
            </w:tcMar>
            <w:hideMark/>
          </w:tcPr>
          <w:p w:rsidRPr="00FC2616" w:rsidR="00FC14DC" w:rsidP="00FC14DC" w:rsidRDefault="00FC14DC" w14:paraId="70F30C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−479 900</w:t>
            </w:r>
          </w:p>
        </w:tc>
      </w:tr>
      <w:tr w:rsidRPr="00FC2616" w:rsidR="00FC14DC" w:rsidTr="00FC14DC" w14:paraId="08DF287D"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3BEB8A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02</w:t>
            </w:r>
          </w:p>
        </w:tc>
        <w:tc>
          <w:tcPr>
            <w:tcW w:w="4139" w:type="dxa"/>
            <w:shd w:val="clear" w:color="auto" w:fill="FFFFFF"/>
            <w:tcMar>
              <w:top w:w="68" w:type="dxa"/>
              <w:left w:w="28" w:type="dxa"/>
              <w:bottom w:w="0" w:type="dxa"/>
              <w:right w:w="28" w:type="dxa"/>
            </w:tcMar>
            <w:hideMark/>
          </w:tcPr>
          <w:p w:rsidRPr="00FC2616" w:rsidR="00FC14DC" w:rsidP="00FC14DC" w:rsidRDefault="00FC14DC" w14:paraId="56393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FC2616" w:rsidR="00FC14DC" w:rsidP="00FC14DC" w:rsidRDefault="00FC14DC" w14:paraId="6D32E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19 021 399</w:t>
            </w:r>
          </w:p>
        </w:tc>
        <w:tc>
          <w:tcPr>
            <w:tcW w:w="1418" w:type="dxa"/>
            <w:shd w:val="clear" w:color="auto" w:fill="FFFFFF"/>
            <w:tcMar>
              <w:top w:w="68" w:type="dxa"/>
              <w:left w:w="28" w:type="dxa"/>
              <w:bottom w:w="0" w:type="dxa"/>
              <w:right w:w="28" w:type="dxa"/>
            </w:tcMar>
            <w:hideMark/>
          </w:tcPr>
          <w:p w:rsidRPr="00FC2616" w:rsidR="00FC14DC" w:rsidP="00FC14DC" w:rsidRDefault="00FC14DC" w14:paraId="5448D3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744 000</w:t>
            </w:r>
          </w:p>
        </w:tc>
      </w:tr>
      <w:tr w:rsidRPr="00FC2616" w:rsidR="00FC14DC" w:rsidTr="00FC14DC" w14:paraId="759FA068"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7420E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03</w:t>
            </w:r>
          </w:p>
        </w:tc>
        <w:tc>
          <w:tcPr>
            <w:tcW w:w="4139" w:type="dxa"/>
            <w:shd w:val="clear" w:color="auto" w:fill="FFFFFF"/>
            <w:tcMar>
              <w:top w:w="68" w:type="dxa"/>
              <w:left w:w="28" w:type="dxa"/>
              <w:bottom w:w="0" w:type="dxa"/>
              <w:right w:w="28" w:type="dxa"/>
            </w:tcMar>
            <w:hideMark/>
          </w:tcPr>
          <w:p w:rsidRPr="00FC2616" w:rsidR="00FC14DC" w:rsidP="00FC14DC" w:rsidRDefault="00FC14DC" w14:paraId="2E0B66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FC2616" w:rsidR="00FC14DC" w:rsidP="00FC14DC" w:rsidRDefault="00FC14DC" w14:paraId="067702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12 923 291</w:t>
            </w:r>
          </w:p>
        </w:tc>
        <w:tc>
          <w:tcPr>
            <w:tcW w:w="1418" w:type="dxa"/>
            <w:shd w:val="clear" w:color="auto" w:fill="FFFFFF"/>
            <w:tcMar>
              <w:top w:w="68" w:type="dxa"/>
              <w:left w:w="28" w:type="dxa"/>
              <w:bottom w:w="0" w:type="dxa"/>
              <w:right w:w="28" w:type="dxa"/>
            </w:tcMar>
            <w:hideMark/>
          </w:tcPr>
          <w:p w:rsidRPr="00FC2616" w:rsidR="00FC14DC" w:rsidP="00FC14DC" w:rsidRDefault="00FC14DC" w14:paraId="1E95D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−45 000</w:t>
            </w:r>
          </w:p>
        </w:tc>
      </w:tr>
      <w:tr w:rsidRPr="00FC2616" w:rsidR="00FC14DC" w:rsidTr="00FC14DC" w14:paraId="47F825E9"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07D9A3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04</w:t>
            </w:r>
          </w:p>
        </w:tc>
        <w:tc>
          <w:tcPr>
            <w:tcW w:w="4139" w:type="dxa"/>
            <w:shd w:val="clear" w:color="auto" w:fill="FFFFFF"/>
            <w:tcMar>
              <w:top w:w="68" w:type="dxa"/>
              <w:left w:w="28" w:type="dxa"/>
              <w:bottom w:w="0" w:type="dxa"/>
              <w:right w:w="28" w:type="dxa"/>
            </w:tcMar>
            <w:hideMark/>
          </w:tcPr>
          <w:p w:rsidRPr="00FC2616" w:rsidR="00FC14DC" w:rsidP="00FC14DC" w:rsidRDefault="00FC14DC" w14:paraId="437295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FC2616" w:rsidR="00FC14DC" w:rsidP="00FC14DC" w:rsidRDefault="00FC14DC" w14:paraId="1DDF8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68 305 854</w:t>
            </w:r>
          </w:p>
        </w:tc>
        <w:tc>
          <w:tcPr>
            <w:tcW w:w="1418" w:type="dxa"/>
            <w:shd w:val="clear" w:color="auto" w:fill="FFFFFF"/>
            <w:tcMar>
              <w:top w:w="68" w:type="dxa"/>
              <w:left w:w="28" w:type="dxa"/>
              <w:bottom w:w="0" w:type="dxa"/>
              <w:right w:w="28" w:type="dxa"/>
            </w:tcMar>
            <w:hideMark/>
          </w:tcPr>
          <w:p w:rsidRPr="00FC2616" w:rsidR="00FC14DC" w:rsidP="00FC14DC" w:rsidRDefault="00FC14DC" w14:paraId="2403F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−151 000</w:t>
            </w:r>
          </w:p>
        </w:tc>
      </w:tr>
      <w:tr w:rsidRPr="00FC2616" w:rsidR="00FC14DC" w:rsidTr="00FC14DC" w14:paraId="211C1DBF"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15D33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05</w:t>
            </w:r>
          </w:p>
        </w:tc>
        <w:tc>
          <w:tcPr>
            <w:tcW w:w="4139" w:type="dxa"/>
            <w:shd w:val="clear" w:color="auto" w:fill="FFFFFF"/>
            <w:tcMar>
              <w:top w:w="68" w:type="dxa"/>
              <w:left w:w="28" w:type="dxa"/>
              <w:bottom w:w="0" w:type="dxa"/>
              <w:right w:w="28" w:type="dxa"/>
            </w:tcMar>
            <w:hideMark/>
          </w:tcPr>
          <w:p w:rsidRPr="00FC2616" w:rsidR="00FC14DC" w:rsidP="00FC14DC" w:rsidRDefault="00FC14DC" w14:paraId="62222E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FC2616" w:rsidR="00FC14DC" w:rsidP="00FC14DC" w:rsidRDefault="00FC14DC" w14:paraId="545C9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2 094 669</w:t>
            </w:r>
          </w:p>
        </w:tc>
        <w:tc>
          <w:tcPr>
            <w:tcW w:w="1418" w:type="dxa"/>
            <w:shd w:val="clear" w:color="auto" w:fill="FFFFFF"/>
            <w:tcMar>
              <w:top w:w="68" w:type="dxa"/>
              <w:left w:w="28" w:type="dxa"/>
              <w:bottom w:w="0" w:type="dxa"/>
              <w:right w:w="28" w:type="dxa"/>
            </w:tcMar>
            <w:hideMark/>
          </w:tcPr>
          <w:p w:rsidRPr="00FC2616" w:rsidR="00FC14DC" w:rsidP="00FC14DC" w:rsidRDefault="00FC14DC" w14:paraId="7EC9DC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015077E1"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4EADF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06</w:t>
            </w:r>
          </w:p>
        </w:tc>
        <w:tc>
          <w:tcPr>
            <w:tcW w:w="4139" w:type="dxa"/>
            <w:shd w:val="clear" w:color="auto" w:fill="FFFFFF"/>
            <w:tcMar>
              <w:top w:w="68" w:type="dxa"/>
              <w:left w:w="28" w:type="dxa"/>
              <w:bottom w:w="0" w:type="dxa"/>
              <w:right w:w="28" w:type="dxa"/>
            </w:tcMar>
            <w:hideMark/>
          </w:tcPr>
          <w:p w:rsidRPr="00FC2616" w:rsidR="00FC14DC" w:rsidP="00FC14DC" w:rsidRDefault="00FC14DC" w14:paraId="021FD9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FC2616" w:rsidR="00FC14DC" w:rsidP="00FC14DC" w:rsidRDefault="00FC14DC" w14:paraId="1ADC1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93 952 930</w:t>
            </w:r>
          </w:p>
        </w:tc>
        <w:tc>
          <w:tcPr>
            <w:tcW w:w="1418" w:type="dxa"/>
            <w:shd w:val="clear" w:color="auto" w:fill="FFFFFF"/>
            <w:tcMar>
              <w:top w:w="68" w:type="dxa"/>
              <w:left w:w="28" w:type="dxa"/>
              <w:bottom w:w="0" w:type="dxa"/>
              <w:right w:w="28" w:type="dxa"/>
            </w:tcMar>
            <w:hideMark/>
          </w:tcPr>
          <w:p w:rsidRPr="00FC2616" w:rsidR="00FC14DC" w:rsidP="00FC14DC" w:rsidRDefault="00FC14DC" w14:paraId="0989A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395CDCDD"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07139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07</w:t>
            </w:r>
          </w:p>
        </w:tc>
        <w:tc>
          <w:tcPr>
            <w:tcW w:w="4139" w:type="dxa"/>
            <w:shd w:val="clear" w:color="auto" w:fill="FFFFFF"/>
            <w:tcMar>
              <w:top w:w="68" w:type="dxa"/>
              <w:left w:w="28" w:type="dxa"/>
              <w:bottom w:w="0" w:type="dxa"/>
              <w:right w:w="28" w:type="dxa"/>
            </w:tcMar>
            <w:hideMark/>
          </w:tcPr>
          <w:p w:rsidRPr="00FC2616" w:rsidR="00FC14DC" w:rsidP="00FC14DC" w:rsidRDefault="00FC14DC" w14:paraId="155E3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FC2616" w:rsidR="00FC14DC" w:rsidP="00FC14DC" w:rsidRDefault="00FC14DC" w14:paraId="5AF1E0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47 206 227</w:t>
            </w:r>
          </w:p>
        </w:tc>
        <w:tc>
          <w:tcPr>
            <w:tcW w:w="1418" w:type="dxa"/>
            <w:shd w:val="clear" w:color="auto" w:fill="FFFFFF"/>
            <w:tcMar>
              <w:top w:w="68" w:type="dxa"/>
              <w:left w:w="28" w:type="dxa"/>
              <w:bottom w:w="0" w:type="dxa"/>
              <w:right w:w="28" w:type="dxa"/>
            </w:tcMar>
            <w:hideMark/>
          </w:tcPr>
          <w:p w:rsidRPr="00FC2616" w:rsidR="00FC14DC" w:rsidP="00FC14DC" w:rsidRDefault="00FC14DC" w14:paraId="0C4B2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7 719 001</w:t>
            </w:r>
          </w:p>
        </w:tc>
      </w:tr>
      <w:tr w:rsidRPr="00FC2616" w:rsidR="00FC14DC" w:rsidTr="00FC14DC" w14:paraId="5F1BE262"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3A91D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08</w:t>
            </w:r>
          </w:p>
        </w:tc>
        <w:tc>
          <w:tcPr>
            <w:tcW w:w="4139" w:type="dxa"/>
            <w:shd w:val="clear" w:color="auto" w:fill="FFFFFF"/>
            <w:tcMar>
              <w:top w:w="68" w:type="dxa"/>
              <w:left w:w="28" w:type="dxa"/>
              <w:bottom w:w="0" w:type="dxa"/>
              <w:right w:w="28" w:type="dxa"/>
            </w:tcMar>
            <w:hideMark/>
          </w:tcPr>
          <w:p w:rsidRPr="00FC2616" w:rsidR="00FC14DC" w:rsidP="00FC14DC" w:rsidRDefault="00FC14DC" w14:paraId="08AD3F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FC2616" w:rsidR="00FC14DC" w:rsidP="00FC14DC" w:rsidRDefault="00FC14DC" w14:paraId="796ACA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16 019 745</w:t>
            </w:r>
          </w:p>
        </w:tc>
        <w:tc>
          <w:tcPr>
            <w:tcW w:w="1418" w:type="dxa"/>
            <w:shd w:val="clear" w:color="auto" w:fill="FFFFFF"/>
            <w:tcMar>
              <w:top w:w="68" w:type="dxa"/>
              <w:left w:w="28" w:type="dxa"/>
              <w:bottom w:w="0" w:type="dxa"/>
              <w:right w:w="28" w:type="dxa"/>
            </w:tcMar>
            <w:hideMark/>
          </w:tcPr>
          <w:p w:rsidRPr="00FC2616" w:rsidR="00FC14DC" w:rsidP="00FC14DC" w:rsidRDefault="00FC14DC" w14:paraId="10D53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140 000</w:t>
            </w:r>
          </w:p>
        </w:tc>
      </w:tr>
      <w:tr w:rsidRPr="00FC2616" w:rsidR="00FC14DC" w:rsidTr="00FC14DC" w14:paraId="148861D2"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4BC8A6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09</w:t>
            </w:r>
          </w:p>
        </w:tc>
        <w:tc>
          <w:tcPr>
            <w:tcW w:w="4139" w:type="dxa"/>
            <w:shd w:val="clear" w:color="auto" w:fill="FFFFFF"/>
            <w:tcMar>
              <w:top w:w="68" w:type="dxa"/>
              <w:left w:w="28" w:type="dxa"/>
              <w:bottom w:w="0" w:type="dxa"/>
              <w:right w:w="28" w:type="dxa"/>
            </w:tcMar>
            <w:hideMark/>
          </w:tcPr>
          <w:p w:rsidRPr="00FC2616" w:rsidR="00FC14DC" w:rsidP="00FC14DC" w:rsidRDefault="00FC14DC" w14:paraId="6BAE9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FC2616" w:rsidR="00FC14DC" w:rsidP="00FC14DC" w:rsidRDefault="00FC14DC" w14:paraId="232A16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110 429 732</w:t>
            </w:r>
          </w:p>
        </w:tc>
        <w:tc>
          <w:tcPr>
            <w:tcW w:w="1418" w:type="dxa"/>
            <w:shd w:val="clear" w:color="auto" w:fill="FFFFFF"/>
            <w:tcMar>
              <w:top w:w="68" w:type="dxa"/>
              <w:left w:w="28" w:type="dxa"/>
              <w:bottom w:w="0" w:type="dxa"/>
              <w:right w:w="28" w:type="dxa"/>
            </w:tcMar>
            <w:hideMark/>
          </w:tcPr>
          <w:p w:rsidRPr="00FC2616" w:rsidR="00FC14DC" w:rsidP="00FC14DC" w:rsidRDefault="00FC14DC" w14:paraId="20BD2D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−552 700</w:t>
            </w:r>
          </w:p>
        </w:tc>
      </w:tr>
      <w:tr w:rsidRPr="00FC2616" w:rsidR="00FC14DC" w:rsidTr="00CD4080" w14:paraId="19A7934C"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4F1D7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FC2616" w:rsidR="00FC14DC" w:rsidP="00FC14DC" w:rsidRDefault="00FC14DC" w14:paraId="396814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FC2616" w:rsidR="00FC14DC" w:rsidP="00CD4080" w:rsidRDefault="00FC14DC" w14:paraId="68F78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106 427 304</w:t>
            </w:r>
          </w:p>
        </w:tc>
        <w:tc>
          <w:tcPr>
            <w:tcW w:w="1418" w:type="dxa"/>
            <w:shd w:val="clear" w:color="auto" w:fill="FFFFFF"/>
            <w:tcMar>
              <w:top w:w="68" w:type="dxa"/>
              <w:left w:w="28" w:type="dxa"/>
              <w:bottom w:w="0" w:type="dxa"/>
              <w:right w:w="28" w:type="dxa"/>
            </w:tcMar>
            <w:vAlign w:val="bottom"/>
            <w:hideMark/>
          </w:tcPr>
          <w:p w:rsidRPr="00FC2616" w:rsidR="00FC14DC" w:rsidP="00CD4080" w:rsidRDefault="00FC14DC" w14:paraId="7A047F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8 025 000</w:t>
            </w:r>
          </w:p>
        </w:tc>
      </w:tr>
      <w:tr w:rsidRPr="00FC2616" w:rsidR="00FC14DC" w:rsidTr="00FC14DC" w14:paraId="746BBFE9"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4CCA8A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11310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FC2616" w:rsidR="00FC14DC" w:rsidP="00FC14DC" w:rsidRDefault="00FC14DC" w14:paraId="21FA74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55 394 136</w:t>
            </w:r>
          </w:p>
        </w:tc>
        <w:tc>
          <w:tcPr>
            <w:tcW w:w="1418" w:type="dxa"/>
            <w:shd w:val="clear" w:color="auto" w:fill="FFFFFF"/>
            <w:tcMar>
              <w:top w:w="68" w:type="dxa"/>
              <w:left w:w="28" w:type="dxa"/>
              <w:bottom w:w="0" w:type="dxa"/>
              <w:right w:w="28" w:type="dxa"/>
            </w:tcMar>
            <w:hideMark/>
          </w:tcPr>
          <w:p w:rsidRPr="00FC2616" w:rsidR="00FC14DC" w:rsidP="00FC14DC" w:rsidRDefault="00FC14DC" w14:paraId="2040E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09D38C57"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64AE39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0AEDD2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FC2616" w:rsidR="00FC14DC" w:rsidP="00FC14DC" w:rsidRDefault="00FC14DC" w14:paraId="609F7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105 159 584</w:t>
            </w:r>
          </w:p>
        </w:tc>
        <w:tc>
          <w:tcPr>
            <w:tcW w:w="1418" w:type="dxa"/>
            <w:shd w:val="clear" w:color="auto" w:fill="FFFFFF"/>
            <w:tcMar>
              <w:top w:w="68" w:type="dxa"/>
              <w:left w:w="28" w:type="dxa"/>
              <w:bottom w:w="0" w:type="dxa"/>
              <w:right w:w="28" w:type="dxa"/>
            </w:tcMar>
            <w:hideMark/>
          </w:tcPr>
          <w:p w:rsidRPr="00FC2616" w:rsidR="00FC14DC" w:rsidP="00FC14DC" w:rsidRDefault="00FC14DC" w14:paraId="5FA9A2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4 325 000</w:t>
            </w:r>
          </w:p>
        </w:tc>
      </w:tr>
      <w:tr w:rsidRPr="00FC2616" w:rsidR="00FC14DC" w:rsidTr="00FC14DC" w14:paraId="7B47ECB2"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13BB9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C2616" w:rsidR="00FC14DC" w:rsidP="00FC14DC" w:rsidRDefault="00FC14DC" w14:paraId="1F3189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hideMark/>
          </w:tcPr>
          <w:p w:rsidRPr="00FC2616" w:rsidR="00FC14DC" w:rsidP="00FC14DC" w:rsidRDefault="00FC14DC" w14:paraId="4A692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5 565 206</w:t>
            </w:r>
          </w:p>
        </w:tc>
        <w:tc>
          <w:tcPr>
            <w:tcW w:w="1418" w:type="dxa"/>
            <w:shd w:val="clear" w:color="auto" w:fill="FFFFFF"/>
            <w:tcMar>
              <w:top w:w="68" w:type="dxa"/>
              <w:left w:w="28" w:type="dxa"/>
              <w:bottom w:w="0" w:type="dxa"/>
              <w:right w:w="28" w:type="dxa"/>
            </w:tcMar>
            <w:hideMark/>
          </w:tcPr>
          <w:p w:rsidRPr="00FC2616" w:rsidR="00FC14DC" w:rsidP="00FC14DC" w:rsidRDefault="00FC14DC" w14:paraId="3FE62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1 007 000</w:t>
            </w:r>
          </w:p>
        </w:tc>
      </w:tr>
      <w:tr w:rsidRPr="00FC2616" w:rsidR="00FC14DC" w:rsidTr="00FC14DC" w14:paraId="277757BF"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11505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C2616" w:rsidR="00FC14DC" w:rsidP="00FC14DC" w:rsidRDefault="00FC14DC" w14:paraId="53610F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FC2616" w:rsidR="00FC14DC" w:rsidP="00FC14DC" w:rsidRDefault="00FC14DC" w14:paraId="4D8F2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90 103 686</w:t>
            </w:r>
          </w:p>
        </w:tc>
        <w:tc>
          <w:tcPr>
            <w:tcW w:w="1418" w:type="dxa"/>
            <w:shd w:val="clear" w:color="auto" w:fill="FFFFFF"/>
            <w:tcMar>
              <w:top w:w="68" w:type="dxa"/>
              <w:left w:w="28" w:type="dxa"/>
              <w:bottom w:w="0" w:type="dxa"/>
              <w:right w:w="28" w:type="dxa"/>
            </w:tcMar>
            <w:hideMark/>
          </w:tcPr>
          <w:p w:rsidRPr="00FC2616" w:rsidR="00FC14DC" w:rsidP="00FC14DC" w:rsidRDefault="00FC14DC" w14:paraId="08BF2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13 040 000</w:t>
            </w:r>
          </w:p>
        </w:tc>
      </w:tr>
      <w:tr w:rsidRPr="00FC2616" w:rsidR="00FC14DC" w:rsidTr="00FC14DC" w14:paraId="15A71B58"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286E0A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C2616" w:rsidR="00FC14DC" w:rsidP="00FC14DC" w:rsidRDefault="00FC14DC" w14:paraId="208F57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FC2616" w:rsidR="00FC14DC" w:rsidP="00FC14DC" w:rsidRDefault="00FC14DC" w14:paraId="3628A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27 912 395</w:t>
            </w:r>
          </w:p>
        </w:tc>
        <w:tc>
          <w:tcPr>
            <w:tcW w:w="1418" w:type="dxa"/>
            <w:shd w:val="clear" w:color="auto" w:fill="FFFFFF"/>
            <w:tcMar>
              <w:top w:w="68" w:type="dxa"/>
              <w:left w:w="28" w:type="dxa"/>
              <w:bottom w:w="0" w:type="dxa"/>
              <w:right w:w="28" w:type="dxa"/>
            </w:tcMar>
            <w:hideMark/>
          </w:tcPr>
          <w:p w:rsidRPr="00FC2616" w:rsidR="00FC14DC" w:rsidP="00FC14DC" w:rsidRDefault="00FC14DC" w14:paraId="509595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1 797 000</w:t>
            </w:r>
          </w:p>
        </w:tc>
      </w:tr>
      <w:tr w:rsidRPr="00FC2616" w:rsidR="00FC14DC" w:rsidTr="00FC14DC" w14:paraId="3E89363E"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46D0C7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C2616" w:rsidR="00FC14DC" w:rsidP="00FC14DC" w:rsidRDefault="00FC14DC" w14:paraId="52710D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FC2616" w:rsidR="00FC14DC" w:rsidP="00FC14DC" w:rsidRDefault="00FC14DC" w14:paraId="562092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94 991 971</w:t>
            </w:r>
          </w:p>
        </w:tc>
        <w:tc>
          <w:tcPr>
            <w:tcW w:w="1418" w:type="dxa"/>
            <w:shd w:val="clear" w:color="auto" w:fill="FFFFFF"/>
            <w:tcMar>
              <w:top w:w="68" w:type="dxa"/>
              <w:left w:w="28" w:type="dxa"/>
              <w:bottom w:w="0" w:type="dxa"/>
              <w:right w:w="28" w:type="dxa"/>
            </w:tcMar>
            <w:hideMark/>
          </w:tcPr>
          <w:p w:rsidRPr="00FC2616" w:rsidR="00FC14DC" w:rsidP="00FC14DC" w:rsidRDefault="00FC14DC" w14:paraId="3A99E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2 783 500</w:t>
            </w:r>
          </w:p>
        </w:tc>
      </w:tr>
      <w:tr w:rsidRPr="00FC2616" w:rsidR="00FC14DC" w:rsidTr="00FC14DC" w14:paraId="137EACF4"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30F2BF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C2616" w:rsidR="00FC14DC" w:rsidP="00FC14DC" w:rsidRDefault="00FC14DC" w14:paraId="6BB57F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FC2616" w:rsidR="00FC14DC" w:rsidP="00FC14DC" w:rsidRDefault="00FC14DC" w14:paraId="2CF6C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16 667 948</w:t>
            </w:r>
          </w:p>
        </w:tc>
        <w:tc>
          <w:tcPr>
            <w:tcW w:w="1418" w:type="dxa"/>
            <w:shd w:val="clear" w:color="auto" w:fill="FFFFFF"/>
            <w:tcMar>
              <w:top w:w="68" w:type="dxa"/>
              <w:left w:w="28" w:type="dxa"/>
              <w:bottom w:w="0" w:type="dxa"/>
              <w:right w:w="28" w:type="dxa"/>
            </w:tcMar>
            <w:hideMark/>
          </w:tcPr>
          <w:p w:rsidRPr="00FC2616" w:rsidR="00FC14DC" w:rsidP="00FC14DC" w:rsidRDefault="00FC14DC" w14:paraId="11480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1 702 400</w:t>
            </w:r>
          </w:p>
        </w:tc>
      </w:tr>
      <w:tr w:rsidRPr="00FC2616" w:rsidR="00FC14DC" w:rsidTr="00CD4080" w14:paraId="44B3EBF2"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7DBDB8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C2616" w:rsidR="00FC14DC" w:rsidP="00FC14DC" w:rsidRDefault="00FC14DC" w14:paraId="724F5E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FC2616" w:rsidR="00FC14DC" w:rsidP="00CD4080" w:rsidRDefault="00FC14DC" w14:paraId="69E0B2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6 099 158</w:t>
            </w:r>
          </w:p>
        </w:tc>
        <w:tc>
          <w:tcPr>
            <w:tcW w:w="1418" w:type="dxa"/>
            <w:shd w:val="clear" w:color="auto" w:fill="FFFFFF"/>
            <w:tcMar>
              <w:top w:w="68" w:type="dxa"/>
              <w:left w:w="28" w:type="dxa"/>
              <w:bottom w:w="0" w:type="dxa"/>
              <w:right w:w="28" w:type="dxa"/>
            </w:tcMar>
            <w:vAlign w:val="bottom"/>
            <w:hideMark/>
          </w:tcPr>
          <w:p w:rsidRPr="00FC2616" w:rsidR="00FC14DC" w:rsidP="00CD4080" w:rsidRDefault="00FC14DC" w14:paraId="6C1A3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3 378 000</w:t>
            </w:r>
          </w:p>
        </w:tc>
      </w:tr>
      <w:tr w:rsidRPr="00FC2616" w:rsidR="00FC14DC" w:rsidTr="00FC14DC" w14:paraId="72F4B7D2"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456F8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FC2616" w:rsidR="00FC14DC" w:rsidP="00FC14DC" w:rsidRDefault="00FC14DC" w14:paraId="63C3AA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FC2616" w:rsidR="00FC14DC" w:rsidP="00FC14DC" w:rsidRDefault="00FC14DC" w14:paraId="647A43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4 534 201</w:t>
            </w:r>
          </w:p>
        </w:tc>
        <w:tc>
          <w:tcPr>
            <w:tcW w:w="1418" w:type="dxa"/>
            <w:shd w:val="clear" w:color="auto" w:fill="FFFFFF"/>
            <w:tcMar>
              <w:top w:w="68" w:type="dxa"/>
              <w:left w:w="28" w:type="dxa"/>
              <w:bottom w:w="0" w:type="dxa"/>
              <w:right w:w="28" w:type="dxa"/>
            </w:tcMar>
            <w:hideMark/>
          </w:tcPr>
          <w:p w:rsidRPr="00FC2616" w:rsidR="00FC14DC" w:rsidP="00FC14DC" w:rsidRDefault="00FC14DC" w14:paraId="416FA4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70 000</w:t>
            </w:r>
          </w:p>
        </w:tc>
      </w:tr>
      <w:tr w:rsidRPr="00FC2616" w:rsidR="00FC14DC" w:rsidTr="00FC14DC" w14:paraId="5254296B"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313CE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FC2616" w:rsidR="00FC14DC" w:rsidP="00FC14DC" w:rsidRDefault="00FC14DC" w14:paraId="08CC2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hideMark/>
          </w:tcPr>
          <w:p w:rsidRPr="00FC2616" w:rsidR="00FC14DC" w:rsidP="00FC14DC" w:rsidRDefault="00FC14DC" w14:paraId="1BCCD5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19 542 691</w:t>
            </w:r>
          </w:p>
        </w:tc>
        <w:tc>
          <w:tcPr>
            <w:tcW w:w="1418" w:type="dxa"/>
            <w:shd w:val="clear" w:color="auto" w:fill="FFFFFF"/>
            <w:tcMar>
              <w:top w:w="68" w:type="dxa"/>
              <w:left w:w="28" w:type="dxa"/>
              <w:bottom w:w="0" w:type="dxa"/>
              <w:right w:w="28" w:type="dxa"/>
            </w:tcMar>
            <w:hideMark/>
          </w:tcPr>
          <w:p w:rsidRPr="00FC2616" w:rsidR="00FC14DC" w:rsidP="00FC14DC" w:rsidRDefault="00FC14DC" w14:paraId="1C285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5 573 000</w:t>
            </w:r>
          </w:p>
        </w:tc>
      </w:tr>
      <w:tr w:rsidRPr="00FC2616" w:rsidR="00FC14DC" w:rsidTr="00FC14DC" w14:paraId="0FE9E00A"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01C5C9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FC2616" w:rsidR="00FC14DC" w:rsidP="00FC14DC" w:rsidRDefault="00FC14DC" w14:paraId="1BC4E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FC2616" w:rsidR="00FC14DC" w:rsidP="00FC14DC" w:rsidRDefault="00FC14DC" w14:paraId="6AD9FE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4 944 849</w:t>
            </w:r>
          </w:p>
        </w:tc>
        <w:tc>
          <w:tcPr>
            <w:tcW w:w="1418" w:type="dxa"/>
            <w:shd w:val="clear" w:color="auto" w:fill="FFFFFF"/>
            <w:tcMar>
              <w:top w:w="68" w:type="dxa"/>
              <w:left w:w="28" w:type="dxa"/>
              <w:bottom w:w="0" w:type="dxa"/>
              <w:right w:w="28" w:type="dxa"/>
            </w:tcMar>
            <w:hideMark/>
          </w:tcPr>
          <w:p w:rsidRPr="00FC2616" w:rsidR="00FC14DC" w:rsidP="00FC14DC" w:rsidRDefault="00FC14DC" w14:paraId="4808A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225 000</w:t>
            </w:r>
          </w:p>
        </w:tc>
      </w:tr>
      <w:tr w:rsidRPr="00FC2616" w:rsidR="00FC14DC" w:rsidTr="00FC14DC" w14:paraId="0D0B9461"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1A4496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FC2616" w:rsidR="00FC14DC" w:rsidP="00FC14DC" w:rsidRDefault="00FC14DC" w14:paraId="545F0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FC2616" w:rsidR="00FC14DC" w:rsidP="00FC14DC" w:rsidRDefault="00FC14DC" w14:paraId="5C32D2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78 952 417</w:t>
            </w:r>
          </w:p>
        </w:tc>
        <w:tc>
          <w:tcPr>
            <w:tcW w:w="1418" w:type="dxa"/>
            <w:shd w:val="clear" w:color="auto" w:fill="FFFFFF"/>
            <w:tcMar>
              <w:top w:w="68" w:type="dxa"/>
              <w:left w:w="28" w:type="dxa"/>
              <w:bottom w:w="0" w:type="dxa"/>
              <w:right w:w="28" w:type="dxa"/>
            </w:tcMar>
            <w:hideMark/>
          </w:tcPr>
          <w:p w:rsidRPr="00FC2616" w:rsidR="00FC14DC" w:rsidP="00FC14DC" w:rsidRDefault="00FC14DC" w14:paraId="24B9F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19 530 000</w:t>
            </w:r>
          </w:p>
        </w:tc>
      </w:tr>
      <w:tr w:rsidRPr="00FC2616" w:rsidR="00FC14DC" w:rsidTr="00FC14DC" w14:paraId="40F08598"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10480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FC2616" w:rsidR="00FC14DC" w:rsidP="00FC14DC" w:rsidRDefault="00FC14DC" w14:paraId="36BA6D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FC2616" w:rsidR="00FC14DC" w:rsidP="00FC14DC" w:rsidRDefault="00FC14DC" w14:paraId="291555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19 373 352</w:t>
            </w:r>
          </w:p>
        </w:tc>
        <w:tc>
          <w:tcPr>
            <w:tcW w:w="1418" w:type="dxa"/>
            <w:shd w:val="clear" w:color="auto" w:fill="FFFFFF"/>
            <w:tcMar>
              <w:top w:w="68" w:type="dxa"/>
              <w:left w:w="28" w:type="dxa"/>
              <w:bottom w:w="0" w:type="dxa"/>
              <w:right w:w="28" w:type="dxa"/>
            </w:tcMar>
            <w:hideMark/>
          </w:tcPr>
          <w:p w:rsidRPr="00FC2616" w:rsidR="00FC14DC" w:rsidP="00FC14DC" w:rsidRDefault="00FC14DC" w14:paraId="3288B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3 364 000</w:t>
            </w:r>
          </w:p>
        </w:tc>
      </w:tr>
      <w:tr w:rsidRPr="00FC2616" w:rsidR="00FC14DC" w:rsidTr="00FC14DC" w14:paraId="57FEF9EF"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6641F0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FC2616" w:rsidR="00FC14DC" w:rsidP="00FC14DC" w:rsidRDefault="00FC14DC" w14:paraId="0AB95D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FC2616" w:rsidR="00FC14DC" w:rsidP="00FC14DC" w:rsidRDefault="00FC14DC" w14:paraId="0447D1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11 407 773</w:t>
            </w:r>
          </w:p>
        </w:tc>
        <w:tc>
          <w:tcPr>
            <w:tcW w:w="1418" w:type="dxa"/>
            <w:shd w:val="clear" w:color="auto" w:fill="FFFFFF"/>
            <w:tcMar>
              <w:top w:w="68" w:type="dxa"/>
              <w:left w:w="28" w:type="dxa"/>
              <w:bottom w:w="0" w:type="dxa"/>
              <w:right w:w="28" w:type="dxa"/>
            </w:tcMar>
            <w:hideMark/>
          </w:tcPr>
          <w:p w:rsidRPr="00FC2616" w:rsidR="00FC14DC" w:rsidP="00FC14DC" w:rsidRDefault="00FC14DC" w14:paraId="5245BA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−2 022 000</w:t>
            </w:r>
          </w:p>
        </w:tc>
      </w:tr>
      <w:tr w:rsidRPr="00FC2616" w:rsidR="00FC14DC" w:rsidTr="00FC14DC" w14:paraId="402C14E6"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6BC719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FC2616" w:rsidR="00FC14DC" w:rsidP="00FC14DC" w:rsidRDefault="00FC14DC" w14:paraId="503098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FC2616" w:rsidR="00FC14DC" w:rsidP="00FC14DC" w:rsidRDefault="00FC14DC" w14:paraId="7361D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157 545 359</w:t>
            </w:r>
          </w:p>
        </w:tc>
        <w:tc>
          <w:tcPr>
            <w:tcW w:w="1418" w:type="dxa"/>
            <w:shd w:val="clear" w:color="auto" w:fill="FFFFFF"/>
            <w:tcMar>
              <w:top w:w="68" w:type="dxa"/>
              <w:left w:w="28" w:type="dxa"/>
              <w:bottom w:w="0" w:type="dxa"/>
              <w:right w:w="28" w:type="dxa"/>
            </w:tcMar>
            <w:hideMark/>
          </w:tcPr>
          <w:p w:rsidRPr="00FC2616" w:rsidR="00FC14DC" w:rsidP="00FC14DC" w:rsidRDefault="00FC14DC" w14:paraId="0B1859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18 241 000</w:t>
            </w:r>
          </w:p>
        </w:tc>
      </w:tr>
      <w:tr w:rsidRPr="00FC2616" w:rsidR="00FC14DC" w:rsidTr="00FC14DC" w14:paraId="5F761E33"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762A9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FC2616" w:rsidR="00FC14DC" w:rsidP="00FC14DC" w:rsidRDefault="00FC14DC" w14:paraId="5AA3B6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FC2616" w:rsidR="00FC14DC" w:rsidP="00FC14DC" w:rsidRDefault="00FC14DC" w14:paraId="558A5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13 155 200</w:t>
            </w:r>
          </w:p>
        </w:tc>
        <w:tc>
          <w:tcPr>
            <w:tcW w:w="1418" w:type="dxa"/>
            <w:shd w:val="clear" w:color="auto" w:fill="FFFFFF"/>
            <w:tcMar>
              <w:top w:w="68" w:type="dxa"/>
              <w:left w:w="28" w:type="dxa"/>
              <w:bottom w:w="0" w:type="dxa"/>
              <w:right w:w="28" w:type="dxa"/>
            </w:tcMar>
            <w:hideMark/>
          </w:tcPr>
          <w:p w:rsidRPr="00FC2616" w:rsidR="00FC14DC" w:rsidP="00FC14DC" w:rsidRDefault="00FC14DC" w14:paraId="377D5D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10 000</w:t>
            </w:r>
          </w:p>
        </w:tc>
      </w:tr>
      <w:tr w:rsidRPr="00FC2616" w:rsidR="00FC14DC" w:rsidTr="00FC14DC" w14:paraId="3578ED8A" w14:textId="77777777">
        <w:trPr>
          <w:trHeight w:val="170"/>
        </w:trPr>
        <w:tc>
          <w:tcPr>
            <w:tcW w:w="340" w:type="dxa"/>
            <w:shd w:val="clear" w:color="auto" w:fill="FFFFFF"/>
            <w:tcMar>
              <w:top w:w="68" w:type="dxa"/>
              <w:left w:w="28" w:type="dxa"/>
              <w:bottom w:w="0" w:type="dxa"/>
              <w:right w:w="150" w:type="dxa"/>
            </w:tcMar>
            <w:hideMark/>
          </w:tcPr>
          <w:p w:rsidRPr="00FC2616" w:rsidR="00FC14DC" w:rsidP="00FC14DC" w:rsidRDefault="00FC14DC" w14:paraId="517171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lastRenderedPageBreak/>
              <w:t>27</w:t>
            </w:r>
          </w:p>
        </w:tc>
        <w:tc>
          <w:tcPr>
            <w:tcW w:w="4139" w:type="dxa"/>
            <w:shd w:val="clear" w:color="auto" w:fill="FFFFFF"/>
            <w:tcMar>
              <w:top w:w="68" w:type="dxa"/>
              <w:left w:w="28" w:type="dxa"/>
              <w:bottom w:w="0" w:type="dxa"/>
              <w:right w:w="28" w:type="dxa"/>
            </w:tcMar>
            <w:hideMark/>
          </w:tcPr>
          <w:p w:rsidRPr="00FC2616" w:rsidR="00FC14DC" w:rsidP="00FC14DC" w:rsidRDefault="00FC14DC" w14:paraId="080FC5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FC2616" w:rsidR="00FC14DC" w:rsidP="00FC14DC" w:rsidRDefault="00FC14DC" w14:paraId="60207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45 869 852</w:t>
            </w:r>
          </w:p>
        </w:tc>
        <w:tc>
          <w:tcPr>
            <w:tcW w:w="1418" w:type="dxa"/>
            <w:shd w:val="clear" w:color="auto" w:fill="FFFFFF"/>
            <w:tcMar>
              <w:top w:w="68" w:type="dxa"/>
              <w:left w:w="28" w:type="dxa"/>
              <w:bottom w:w="0" w:type="dxa"/>
              <w:right w:w="28" w:type="dxa"/>
            </w:tcMar>
            <w:hideMark/>
          </w:tcPr>
          <w:p w:rsidRPr="00FC2616" w:rsidR="00FC14DC" w:rsidP="00FC14DC" w:rsidRDefault="00FC14DC" w14:paraId="594134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5FC5B2F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7B3D99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5248F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1 251 870 933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6AEE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88 423 301</w:t>
            </w:r>
          </w:p>
        </w:tc>
      </w:tr>
      <w:tr w:rsidRPr="00FC2616" w:rsidR="00FC14DC" w:rsidTr="00FC14DC" w14:paraId="43AD9EFC" w14:textId="77777777">
        <w:trPr>
          <w:trHeight w:val="170"/>
        </w:trPr>
        <w:tc>
          <w:tcPr>
            <w:tcW w:w="4139" w:type="dxa"/>
            <w:gridSpan w:val="2"/>
            <w:shd w:val="clear" w:color="auto" w:fill="FFFFFF"/>
            <w:tcMar>
              <w:top w:w="68" w:type="dxa"/>
              <w:left w:w="28" w:type="dxa"/>
              <w:bottom w:w="0" w:type="dxa"/>
              <w:right w:w="28" w:type="dxa"/>
            </w:tcMar>
            <w:hideMark/>
          </w:tcPr>
          <w:p w:rsidRPr="00FC2616" w:rsidR="00FC14DC" w:rsidP="00FC14DC" w:rsidRDefault="00FC14DC" w14:paraId="3E6FBB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FC2616" w:rsidR="00FC14DC" w:rsidP="00FC14DC" w:rsidRDefault="00FC14DC" w14:paraId="5F8723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−4 392 792</w:t>
            </w:r>
          </w:p>
        </w:tc>
        <w:tc>
          <w:tcPr>
            <w:tcW w:w="1418" w:type="dxa"/>
            <w:shd w:val="clear" w:color="auto" w:fill="FFFFFF"/>
            <w:tcMar>
              <w:top w:w="68" w:type="dxa"/>
              <w:left w:w="28" w:type="dxa"/>
              <w:bottom w:w="0" w:type="dxa"/>
              <w:right w:w="28" w:type="dxa"/>
            </w:tcMar>
            <w:hideMark/>
          </w:tcPr>
          <w:p w:rsidRPr="00FC2616" w:rsidR="00FC14DC" w:rsidP="00FC14DC" w:rsidRDefault="00FC14DC" w14:paraId="5E6780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37A9D6B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76B8F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03A1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1 247 478 141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04BD1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88 423 301</w:t>
            </w:r>
          </w:p>
        </w:tc>
      </w:tr>
      <w:tr w:rsidRPr="00FC2616" w:rsidR="00FC14DC" w:rsidTr="00FC14DC" w14:paraId="77D258E7" w14:textId="77777777">
        <w:trPr>
          <w:trHeight w:val="170"/>
        </w:trPr>
        <w:tc>
          <w:tcPr>
            <w:tcW w:w="4139" w:type="dxa"/>
            <w:gridSpan w:val="2"/>
            <w:shd w:val="clear" w:color="auto" w:fill="FFFFFF"/>
            <w:tcMar>
              <w:top w:w="68" w:type="dxa"/>
              <w:left w:w="28" w:type="dxa"/>
              <w:bottom w:w="0" w:type="dxa"/>
              <w:right w:w="28" w:type="dxa"/>
            </w:tcMar>
            <w:hideMark/>
          </w:tcPr>
          <w:p w:rsidRPr="00FC2616" w:rsidR="00FC14DC" w:rsidP="00FC14DC" w:rsidRDefault="00FC14DC" w14:paraId="099EC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FC2616" w:rsidR="00FC14DC" w:rsidP="00FC14DC" w:rsidRDefault="00FC14DC" w14:paraId="2B23BA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−52 379 301</w:t>
            </w:r>
          </w:p>
        </w:tc>
        <w:tc>
          <w:tcPr>
            <w:tcW w:w="1418" w:type="dxa"/>
            <w:shd w:val="clear" w:color="auto" w:fill="FFFFFF"/>
            <w:tcMar>
              <w:top w:w="68" w:type="dxa"/>
              <w:left w:w="28" w:type="dxa"/>
              <w:bottom w:w="0" w:type="dxa"/>
              <w:right w:w="28" w:type="dxa"/>
            </w:tcMar>
            <w:hideMark/>
          </w:tcPr>
          <w:p w:rsidRPr="00FC2616" w:rsidR="00FC14DC" w:rsidP="00FC14DC" w:rsidRDefault="00FC14DC" w14:paraId="14C22A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12C499DA" w14:textId="77777777">
        <w:trPr>
          <w:trHeight w:val="170"/>
        </w:trPr>
        <w:tc>
          <w:tcPr>
            <w:tcW w:w="4139" w:type="dxa"/>
            <w:gridSpan w:val="2"/>
            <w:shd w:val="clear" w:color="auto" w:fill="FFFFFF"/>
            <w:tcMar>
              <w:top w:w="68" w:type="dxa"/>
              <w:left w:w="28" w:type="dxa"/>
              <w:bottom w:w="0" w:type="dxa"/>
              <w:right w:w="28" w:type="dxa"/>
            </w:tcMar>
            <w:hideMark/>
          </w:tcPr>
          <w:p w:rsidRPr="00FC2616" w:rsidR="00FC14DC" w:rsidP="00FC14DC" w:rsidRDefault="00FC14DC" w14:paraId="5BA98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FC2616" w:rsidR="00FC14DC" w:rsidP="00FC14DC" w:rsidRDefault="00FC14DC" w14:paraId="12EE40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370 837</w:t>
            </w:r>
          </w:p>
        </w:tc>
        <w:tc>
          <w:tcPr>
            <w:tcW w:w="1418" w:type="dxa"/>
            <w:shd w:val="clear" w:color="auto" w:fill="FFFFFF"/>
            <w:tcMar>
              <w:top w:w="68" w:type="dxa"/>
              <w:left w:w="28" w:type="dxa"/>
              <w:bottom w:w="0" w:type="dxa"/>
              <w:right w:w="28" w:type="dxa"/>
            </w:tcMar>
            <w:hideMark/>
          </w:tcPr>
          <w:p w:rsidRPr="00FC2616" w:rsidR="00FC14DC" w:rsidP="00FC14DC" w:rsidRDefault="00FC14DC" w14:paraId="5932F3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523F040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1B4EF0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E5A0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1 195 469 677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E919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88 423 301</w:t>
            </w:r>
          </w:p>
        </w:tc>
      </w:tr>
    </w:tbl>
    <w:p w:rsidRPr="0006665B" w:rsidR="002F22F3" w:rsidP="0006665B" w:rsidRDefault="002F22F3" w14:paraId="17F94B8E" w14:textId="395B726D">
      <w:pPr>
        <w:pStyle w:val="Tabellrubrik"/>
        <w:spacing w:before="300"/>
      </w:pPr>
      <w:r w:rsidRPr="0006665B">
        <w:t xml:space="preserve">Tabell </w:t>
      </w:r>
      <w:r w:rsidRPr="0006665B" w:rsidR="0008121C">
        <w:t>10</w:t>
      </w:r>
      <w:r w:rsidRPr="0006665B">
        <w:t xml:space="preserve"> Vänsterpartiets förslag till utgiftsramar för 2024</w:t>
      </w:r>
      <w:r w:rsidRPr="0006665B" w:rsidR="005F6895">
        <w:t>–</w:t>
      </w:r>
      <w:r w:rsidRPr="0006665B">
        <w:t>2025</w:t>
      </w:r>
    </w:p>
    <w:p w:rsidRPr="0006665B" w:rsidR="002F22F3" w:rsidP="0006665B" w:rsidRDefault="002F22F3" w14:paraId="51D4533D" w14:textId="77777777">
      <w:pPr>
        <w:pStyle w:val="Tabellunderrubrik"/>
      </w:pPr>
      <w:r w:rsidRPr="0006665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FC2616" w:rsidR="002F22F3" w:rsidTr="004D6FFE" w14:paraId="2C08220B" w14:textId="77777777">
        <w:trPr>
          <w:trHeight w:val="170"/>
          <w:tblHeader/>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FC2616" w:rsidR="002F22F3" w:rsidP="002F22F3" w:rsidRDefault="002F22F3" w14:paraId="598A1E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FC2616" w:rsidR="002F22F3" w:rsidP="004D6FFE" w:rsidRDefault="002F22F3" w14:paraId="22AEE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2F22F3" w:rsidTr="004D6FFE" w14:paraId="2AD6D6E2" w14:textId="77777777">
        <w:trPr>
          <w:trHeight w:val="170"/>
          <w:tblHeader/>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2F22F3" w:rsidP="002F22F3" w:rsidRDefault="002F22F3" w14:paraId="4F0ED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2F22F3" w:rsidP="002F22F3" w:rsidRDefault="002F22F3" w14:paraId="069146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2F22F3" w:rsidP="002F22F3" w:rsidRDefault="002F22F3" w14:paraId="0E45E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2F22F3" w:rsidTr="002F22F3" w14:paraId="0C6361D9"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0EFE64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01</w:t>
            </w:r>
          </w:p>
        </w:tc>
        <w:tc>
          <w:tcPr>
            <w:tcW w:w="4139" w:type="dxa"/>
            <w:shd w:val="clear" w:color="auto" w:fill="FFFFFF"/>
            <w:tcMar>
              <w:top w:w="68" w:type="dxa"/>
              <w:left w:w="28" w:type="dxa"/>
              <w:bottom w:w="0" w:type="dxa"/>
              <w:right w:w="28" w:type="dxa"/>
            </w:tcMar>
            <w:hideMark/>
          </w:tcPr>
          <w:p w:rsidRPr="00FC2616" w:rsidR="002F22F3" w:rsidP="002F22F3" w:rsidRDefault="002F22F3" w14:paraId="50648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FC2616" w:rsidR="002F22F3" w:rsidP="002F22F3" w:rsidRDefault="002F22F3" w14:paraId="3CB11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−852</w:t>
            </w:r>
          </w:p>
        </w:tc>
        <w:tc>
          <w:tcPr>
            <w:tcW w:w="1418" w:type="dxa"/>
            <w:shd w:val="clear" w:color="auto" w:fill="FFFFFF"/>
            <w:tcMar>
              <w:top w:w="68" w:type="dxa"/>
              <w:left w:w="28" w:type="dxa"/>
              <w:bottom w:w="0" w:type="dxa"/>
              <w:right w:w="28" w:type="dxa"/>
            </w:tcMar>
            <w:hideMark/>
          </w:tcPr>
          <w:p w:rsidRPr="00FC2616" w:rsidR="002F22F3" w:rsidP="002F22F3" w:rsidRDefault="002F22F3" w14:paraId="71C42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−719</w:t>
            </w:r>
          </w:p>
        </w:tc>
      </w:tr>
      <w:tr w:rsidRPr="00FC2616" w:rsidR="002F22F3" w:rsidTr="002F22F3" w14:paraId="4CEF8C6D"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5BAD7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02</w:t>
            </w:r>
          </w:p>
        </w:tc>
        <w:tc>
          <w:tcPr>
            <w:tcW w:w="4139" w:type="dxa"/>
            <w:shd w:val="clear" w:color="auto" w:fill="FFFFFF"/>
            <w:tcMar>
              <w:top w:w="68" w:type="dxa"/>
              <w:left w:w="28" w:type="dxa"/>
              <w:bottom w:w="0" w:type="dxa"/>
              <w:right w:w="28" w:type="dxa"/>
            </w:tcMar>
            <w:hideMark/>
          </w:tcPr>
          <w:p w:rsidRPr="00FC2616" w:rsidR="002F22F3" w:rsidP="002F22F3" w:rsidRDefault="002F22F3" w14:paraId="29EA18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FC2616" w:rsidR="002F22F3" w:rsidP="002F22F3" w:rsidRDefault="002F22F3" w14:paraId="14C6E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2 924</w:t>
            </w:r>
          </w:p>
        </w:tc>
        <w:tc>
          <w:tcPr>
            <w:tcW w:w="1418" w:type="dxa"/>
            <w:shd w:val="clear" w:color="auto" w:fill="FFFFFF"/>
            <w:tcMar>
              <w:top w:w="68" w:type="dxa"/>
              <w:left w:w="28" w:type="dxa"/>
              <w:bottom w:w="0" w:type="dxa"/>
              <w:right w:w="28" w:type="dxa"/>
            </w:tcMar>
            <w:hideMark/>
          </w:tcPr>
          <w:p w:rsidRPr="00FC2616" w:rsidR="002F22F3" w:rsidP="002F22F3" w:rsidRDefault="002F22F3" w14:paraId="2E7B58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5 099</w:t>
            </w:r>
          </w:p>
        </w:tc>
      </w:tr>
      <w:tr w:rsidRPr="00FC2616" w:rsidR="002F22F3" w:rsidTr="002F22F3" w14:paraId="7A02C119"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1CEB07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03</w:t>
            </w:r>
          </w:p>
        </w:tc>
        <w:tc>
          <w:tcPr>
            <w:tcW w:w="4139" w:type="dxa"/>
            <w:shd w:val="clear" w:color="auto" w:fill="FFFFFF"/>
            <w:tcMar>
              <w:top w:w="68" w:type="dxa"/>
              <w:left w:w="28" w:type="dxa"/>
              <w:bottom w:w="0" w:type="dxa"/>
              <w:right w:w="28" w:type="dxa"/>
            </w:tcMar>
            <w:hideMark/>
          </w:tcPr>
          <w:p w:rsidRPr="00FC2616" w:rsidR="002F22F3" w:rsidP="002F22F3" w:rsidRDefault="002F22F3" w14:paraId="7F7EC0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FC2616" w:rsidR="002F22F3" w:rsidP="002F22F3" w:rsidRDefault="002F22F3" w14:paraId="3CB4A4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−193</w:t>
            </w:r>
          </w:p>
        </w:tc>
        <w:tc>
          <w:tcPr>
            <w:tcW w:w="1418" w:type="dxa"/>
            <w:shd w:val="clear" w:color="auto" w:fill="FFFFFF"/>
            <w:tcMar>
              <w:top w:w="68" w:type="dxa"/>
              <w:left w:w="28" w:type="dxa"/>
              <w:bottom w:w="0" w:type="dxa"/>
              <w:right w:w="28" w:type="dxa"/>
            </w:tcMar>
            <w:hideMark/>
          </w:tcPr>
          <w:p w:rsidRPr="00FC2616" w:rsidR="002F22F3" w:rsidP="002F22F3" w:rsidRDefault="002F22F3" w14:paraId="790619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−173</w:t>
            </w:r>
          </w:p>
        </w:tc>
      </w:tr>
      <w:tr w:rsidRPr="00FC2616" w:rsidR="002F22F3" w:rsidTr="002F22F3" w14:paraId="721AE234"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56B6E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04</w:t>
            </w:r>
          </w:p>
        </w:tc>
        <w:tc>
          <w:tcPr>
            <w:tcW w:w="4139" w:type="dxa"/>
            <w:shd w:val="clear" w:color="auto" w:fill="FFFFFF"/>
            <w:tcMar>
              <w:top w:w="68" w:type="dxa"/>
              <w:left w:w="28" w:type="dxa"/>
              <w:bottom w:w="0" w:type="dxa"/>
              <w:right w:w="28" w:type="dxa"/>
            </w:tcMar>
            <w:hideMark/>
          </w:tcPr>
          <w:p w:rsidRPr="00FC2616" w:rsidR="002F22F3" w:rsidP="002F22F3" w:rsidRDefault="002F22F3" w14:paraId="41A91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FC2616" w:rsidR="002F22F3" w:rsidP="002F22F3" w:rsidRDefault="002F22F3" w14:paraId="0FD1E0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−454</w:t>
            </w:r>
          </w:p>
        </w:tc>
        <w:tc>
          <w:tcPr>
            <w:tcW w:w="1418" w:type="dxa"/>
            <w:shd w:val="clear" w:color="auto" w:fill="FFFFFF"/>
            <w:tcMar>
              <w:top w:w="68" w:type="dxa"/>
              <w:left w:w="28" w:type="dxa"/>
              <w:bottom w:w="0" w:type="dxa"/>
              <w:right w:w="28" w:type="dxa"/>
            </w:tcMar>
            <w:hideMark/>
          </w:tcPr>
          <w:p w:rsidRPr="00FC2616" w:rsidR="002F22F3" w:rsidP="002F22F3" w:rsidRDefault="002F22F3" w14:paraId="01A355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−1 845</w:t>
            </w:r>
          </w:p>
        </w:tc>
      </w:tr>
      <w:tr w:rsidRPr="00FC2616" w:rsidR="002F22F3" w:rsidTr="002F22F3" w14:paraId="1BFD2061"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0C64D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05</w:t>
            </w:r>
          </w:p>
        </w:tc>
        <w:tc>
          <w:tcPr>
            <w:tcW w:w="4139" w:type="dxa"/>
            <w:shd w:val="clear" w:color="auto" w:fill="FFFFFF"/>
            <w:tcMar>
              <w:top w:w="68" w:type="dxa"/>
              <w:left w:w="28" w:type="dxa"/>
              <w:bottom w:w="0" w:type="dxa"/>
              <w:right w:w="28" w:type="dxa"/>
            </w:tcMar>
            <w:hideMark/>
          </w:tcPr>
          <w:p w:rsidRPr="00FC2616" w:rsidR="002F22F3" w:rsidP="002F22F3" w:rsidRDefault="002F22F3" w14:paraId="13B03E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FC2616" w:rsidR="002F22F3" w:rsidP="002F22F3" w:rsidRDefault="002F22F3" w14:paraId="6B523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2F22F3" w:rsidP="002F22F3" w:rsidRDefault="002F22F3" w14:paraId="4CE22D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r>
      <w:tr w:rsidRPr="00FC2616" w:rsidR="002F22F3" w:rsidTr="002F22F3" w14:paraId="778A1163"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58CFE7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06</w:t>
            </w:r>
          </w:p>
        </w:tc>
        <w:tc>
          <w:tcPr>
            <w:tcW w:w="4139" w:type="dxa"/>
            <w:shd w:val="clear" w:color="auto" w:fill="FFFFFF"/>
            <w:tcMar>
              <w:top w:w="68" w:type="dxa"/>
              <w:left w:w="28" w:type="dxa"/>
              <w:bottom w:w="0" w:type="dxa"/>
              <w:right w:w="28" w:type="dxa"/>
            </w:tcMar>
            <w:hideMark/>
          </w:tcPr>
          <w:p w:rsidRPr="00FC2616" w:rsidR="002F22F3" w:rsidP="002F22F3" w:rsidRDefault="002F22F3" w14:paraId="3AE2B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FC2616" w:rsidR="002F22F3" w:rsidP="002F22F3" w:rsidRDefault="002F22F3" w14:paraId="26C072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2F22F3" w:rsidP="002F22F3" w:rsidRDefault="002F22F3" w14:paraId="3FF00F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2F22F3" w:rsidTr="002F22F3" w14:paraId="366B1851"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06CA0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07</w:t>
            </w:r>
          </w:p>
        </w:tc>
        <w:tc>
          <w:tcPr>
            <w:tcW w:w="4139" w:type="dxa"/>
            <w:shd w:val="clear" w:color="auto" w:fill="FFFFFF"/>
            <w:tcMar>
              <w:top w:w="68" w:type="dxa"/>
              <w:left w:w="28" w:type="dxa"/>
              <w:bottom w:w="0" w:type="dxa"/>
              <w:right w:w="28" w:type="dxa"/>
            </w:tcMar>
            <w:hideMark/>
          </w:tcPr>
          <w:p w:rsidRPr="00FC2616" w:rsidR="002F22F3" w:rsidP="002F22F3" w:rsidRDefault="002F22F3" w14:paraId="0ECB9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FC2616" w:rsidR="002F22F3" w:rsidP="002F22F3" w:rsidRDefault="002F22F3" w14:paraId="341F85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10 120</w:t>
            </w:r>
          </w:p>
        </w:tc>
        <w:tc>
          <w:tcPr>
            <w:tcW w:w="1418" w:type="dxa"/>
            <w:shd w:val="clear" w:color="auto" w:fill="FFFFFF"/>
            <w:tcMar>
              <w:top w:w="68" w:type="dxa"/>
              <w:left w:w="28" w:type="dxa"/>
              <w:bottom w:w="0" w:type="dxa"/>
              <w:right w:w="28" w:type="dxa"/>
            </w:tcMar>
            <w:hideMark/>
          </w:tcPr>
          <w:p w:rsidRPr="00FC2616" w:rsidR="002F22F3" w:rsidP="002F22F3" w:rsidRDefault="002F22F3" w14:paraId="38552B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13 580</w:t>
            </w:r>
          </w:p>
        </w:tc>
      </w:tr>
      <w:tr w:rsidRPr="00FC2616" w:rsidR="002F22F3" w:rsidTr="002F22F3" w14:paraId="388351B7"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4590B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08</w:t>
            </w:r>
          </w:p>
        </w:tc>
        <w:tc>
          <w:tcPr>
            <w:tcW w:w="4139" w:type="dxa"/>
            <w:shd w:val="clear" w:color="auto" w:fill="FFFFFF"/>
            <w:tcMar>
              <w:top w:w="68" w:type="dxa"/>
              <w:left w:w="28" w:type="dxa"/>
              <w:bottom w:w="0" w:type="dxa"/>
              <w:right w:w="28" w:type="dxa"/>
            </w:tcMar>
            <w:hideMark/>
          </w:tcPr>
          <w:p w:rsidRPr="00FC2616" w:rsidR="002F22F3" w:rsidP="002F22F3" w:rsidRDefault="002F22F3" w14:paraId="5B0E0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FC2616" w:rsidR="002F22F3" w:rsidP="002F22F3" w:rsidRDefault="002F22F3" w14:paraId="4474B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60</w:t>
            </w:r>
          </w:p>
        </w:tc>
        <w:tc>
          <w:tcPr>
            <w:tcW w:w="1418" w:type="dxa"/>
            <w:shd w:val="clear" w:color="auto" w:fill="FFFFFF"/>
            <w:tcMar>
              <w:top w:w="68" w:type="dxa"/>
              <w:left w:w="28" w:type="dxa"/>
              <w:bottom w:w="0" w:type="dxa"/>
              <w:right w:w="28" w:type="dxa"/>
            </w:tcMar>
            <w:hideMark/>
          </w:tcPr>
          <w:p w:rsidRPr="00FC2616" w:rsidR="002F22F3" w:rsidP="002F22F3" w:rsidRDefault="002F22F3" w14:paraId="4C24B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60</w:t>
            </w:r>
          </w:p>
        </w:tc>
      </w:tr>
      <w:tr w:rsidRPr="00FC2616" w:rsidR="002F22F3" w:rsidTr="002F22F3" w14:paraId="1043AAFD"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20E2B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09</w:t>
            </w:r>
          </w:p>
        </w:tc>
        <w:tc>
          <w:tcPr>
            <w:tcW w:w="4139" w:type="dxa"/>
            <w:shd w:val="clear" w:color="auto" w:fill="FFFFFF"/>
            <w:tcMar>
              <w:top w:w="68" w:type="dxa"/>
              <w:left w:w="28" w:type="dxa"/>
              <w:bottom w:w="0" w:type="dxa"/>
              <w:right w:w="28" w:type="dxa"/>
            </w:tcMar>
            <w:hideMark/>
          </w:tcPr>
          <w:p w:rsidRPr="00FC2616" w:rsidR="002F22F3" w:rsidP="002F22F3" w:rsidRDefault="002F22F3" w14:paraId="35287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FC2616" w:rsidR="002F22F3" w:rsidP="002F22F3" w:rsidRDefault="002F22F3" w14:paraId="6C2CA9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6 091</w:t>
            </w:r>
          </w:p>
        </w:tc>
        <w:tc>
          <w:tcPr>
            <w:tcW w:w="1418" w:type="dxa"/>
            <w:shd w:val="clear" w:color="auto" w:fill="FFFFFF"/>
            <w:tcMar>
              <w:top w:w="68" w:type="dxa"/>
              <w:left w:w="28" w:type="dxa"/>
              <w:bottom w:w="0" w:type="dxa"/>
              <w:right w:w="28" w:type="dxa"/>
            </w:tcMar>
            <w:hideMark/>
          </w:tcPr>
          <w:p w:rsidRPr="00FC2616" w:rsidR="002F22F3" w:rsidP="002F22F3" w:rsidRDefault="002F22F3" w14:paraId="086470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5 591</w:t>
            </w:r>
          </w:p>
        </w:tc>
      </w:tr>
      <w:tr w:rsidRPr="00FC2616" w:rsidR="002F22F3" w:rsidTr="0006665B" w14:paraId="396C82B7"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0F037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FC2616" w:rsidR="002F22F3" w:rsidP="002F22F3" w:rsidRDefault="002F22F3" w14:paraId="12B964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FC2616" w:rsidR="002F22F3" w:rsidP="0006665B" w:rsidRDefault="002F22F3" w14:paraId="6D5ABA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9 665</w:t>
            </w:r>
          </w:p>
        </w:tc>
        <w:tc>
          <w:tcPr>
            <w:tcW w:w="1418" w:type="dxa"/>
            <w:shd w:val="clear" w:color="auto" w:fill="FFFFFF"/>
            <w:tcMar>
              <w:top w:w="68" w:type="dxa"/>
              <w:left w:w="28" w:type="dxa"/>
              <w:bottom w:w="0" w:type="dxa"/>
              <w:right w:w="28" w:type="dxa"/>
            </w:tcMar>
            <w:vAlign w:val="bottom"/>
            <w:hideMark/>
          </w:tcPr>
          <w:p w:rsidRPr="00FC2616" w:rsidR="002F22F3" w:rsidP="0006665B" w:rsidRDefault="002F22F3" w14:paraId="4CB43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11 013</w:t>
            </w:r>
          </w:p>
        </w:tc>
      </w:tr>
      <w:tr w:rsidRPr="00FC2616" w:rsidR="002F22F3" w:rsidTr="002F22F3" w14:paraId="04DEFA39"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12DF6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2F22F3" w:rsidP="002F22F3" w:rsidRDefault="002F22F3" w14:paraId="201D20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FC2616" w:rsidR="002F22F3" w:rsidP="002F22F3" w:rsidRDefault="002F22F3" w14:paraId="1863C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225</w:t>
            </w:r>
          </w:p>
        </w:tc>
        <w:tc>
          <w:tcPr>
            <w:tcW w:w="1418" w:type="dxa"/>
            <w:shd w:val="clear" w:color="auto" w:fill="FFFFFF"/>
            <w:tcMar>
              <w:top w:w="68" w:type="dxa"/>
              <w:left w:w="28" w:type="dxa"/>
              <w:bottom w:w="0" w:type="dxa"/>
              <w:right w:w="28" w:type="dxa"/>
            </w:tcMar>
            <w:hideMark/>
          </w:tcPr>
          <w:p w:rsidRPr="00FC2616" w:rsidR="002F22F3" w:rsidP="002F22F3" w:rsidRDefault="002F22F3" w14:paraId="47042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10 450</w:t>
            </w:r>
          </w:p>
        </w:tc>
      </w:tr>
      <w:tr w:rsidRPr="00FC2616" w:rsidR="002F22F3" w:rsidTr="002F22F3" w14:paraId="550875F4"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793202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2F22F3" w:rsidP="002F22F3" w:rsidRDefault="002F22F3" w14:paraId="0E92C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FC2616" w:rsidR="002F22F3" w:rsidP="002F22F3" w:rsidRDefault="002F22F3" w14:paraId="2F8AD9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3 455</w:t>
            </w:r>
          </w:p>
        </w:tc>
        <w:tc>
          <w:tcPr>
            <w:tcW w:w="1418" w:type="dxa"/>
            <w:shd w:val="clear" w:color="auto" w:fill="FFFFFF"/>
            <w:tcMar>
              <w:top w:w="68" w:type="dxa"/>
              <w:left w:w="28" w:type="dxa"/>
              <w:bottom w:w="0" w:type="dxa"/>
              <w:right w:w="28" w:type="dxa"/>
            </w:tcMar>
            <w:hideMark/>
          </w:tcPr>
          <w:p w:rsidRPr="00FC2616" w:rsidR="002F22F3" w:rsidP="002F22F3" w:rsidRDefault="002F22F3" w14:paraId="7CB55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4 793</w:t>
            </w:r>
          </w:p>
        </w:tc>
      </w:tr>
      <w:tr w:rsidRPr="00FC2616" w:rsidR="002F22F3" w:rsidTr="002F22F3" w14:paraId="38365D5E"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40A1FE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C2616" w:rsidR="002F22F3" w:rsidP="002F22F3" w:rsidRDefault="002F22F3" w14:paraId="21A23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hideMark/>
          </w:tcPr>
          <w:p w:rsidRPr="00FC2616" w:rsidR="002F22F3" w:rsidP="002F22F3" w:rsidRDefault="002F22F3" w14:paraId="6858A8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1 390</w:t>
            </w:r>
          </w:p>
        </w:tc>
        <w:tc>
          <w:tcPr>
            <w:tcW w:w="1418" w:type="dxa"/>
            <w:shd w:val="clear" w:color="auto" w:fill="FFFFFF"/>
            <w:tcMar>
              <w:top w:w="68" w:type="dxa"/>
              <w:left w:w="28" w:type="dxa"/>
              <w:bottom w:w="0" w:type="dxa"/>
              <w:right w:w="28" w:type="dxa"/>
            </w:tcMar>
            <w:hideMark/>
          </w:tcPr>
          <w:p w:rsidRPr="00FC2616" w:rsidR="002F22F3" w:rsidP="002F22F3" w:rsidRDefault="002F22F3" w14:paraId="2C363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1 619</w:t>
            </w:r>
          </w:p>
        </w:tc>
      </w:tr>
      <w:tr w:rsidRPr="00FC2616" w:rsidR="002F22F3" w:rsidTr="002F22F3" w14:paraId="032E0697"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18A8A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C2616" w:rsidR="002F22F3" w:rsidP="002F22F3" w:rsidRDefault="002F22F3" w14:paraId="18219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FC2616" w:rsidR="002F22F3" w:rsidP="002F22F3" w:rsidRDefault="002F22F3" w14:paraId="5CB25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17 823</w:t>
            </w:r>
          </w:p>
        </w:tc>
        <w:tc>
          <w:tcPr>
            <w:tcW w:w="1418" w:type="dxa"/>
            <w:shd w:val="clear" w:color="auto" w:fill="FFFFFF"/>
            <w:tcMar>
              <w:top w:w="68" w:type="dxa"/>
              <w:left w:w="28" w:type="dxa"/>
              <w:bottom w:w="0" w:type="dxa"/>
              <w:right w:w="28" w:type="dxa"/>
            </w:tcMar>
            <w:hideMark/>
          </w:tcPr>
          <w:p w:rsidRPr="00FC2616" w:rsidR="002F22F3" w:rsidP="002F22F3" w:rsidRDefault="002F22F3" w14:paraId="400B0E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22 766</w:t>
            </w:r>
          </w:p>
        </w:tc>
      </w:tr>
      <w:tr w:rsidRPr="00FC2616" w:rsidR="002F22F3" w:rsidTr="002F22F3" w14:paraId="5CA4AD2F"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17BF8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C2616" w:rsidR="002F22F3" w:rsidP="002F22F3" w:rsidRDefault="002F22F3" w14:paraId="2A8A36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FC2616" w:rsidR="002F22F3" w:rsidP="002F22F3" w:rsidRDefault="002F22F3" w14:paraId="1357A2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1 847</w:t>
            </w:r>
          </w:p>
        </w:tc>
        <w:tc>
          <w:tcPr>
            <w:tcW w:w="1418" w:type="dxa"/>
            <w:shd w:val="clear" w:color="auto" w:fill="FFFFFF"/>
            <w:tcMar>
              <w:top w:w="68" w:type="dxa"/>
              <w:left w:w="28" w:type="dxa"/>
              <w:bottom w:w="0" w:type="dxa"/>
              <w:right w:w="28" w:type="dxa"/>
            </w:tcMar>
            <w:hideMark/>
          </w:tcPr>
          <w:p w:rsidRPr="00FC2616" w:rsidR="002F22F3" w:rsidP="002F22F3" w:rsidRDefault="002F22F3" w14:paraId="23FA83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1 857</w:t>
            </w:r>
          </w:p>
        </w:tc>
      </w:tr>
      <w:tr w:rsidRPr="00FC2616" w:rsidR="002F22F3" w:rsidTr="002F22F3" w14:paraId="626AA221"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3494C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C2616" w:rsidR="002F22F3" w:rsidP="002F22F3" w:rsidRDefault="002F22F3" w14:paraId="4BD02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FC2616" w:rsidR="002F22F3" w:rsidP="002F22F3" w:rsidRDefault="002F22F3" w14:paraId="0C92E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3 913</w:t>
            </w:r>
          </w:p>
        </w:tc>
        <w:tc>
          <w:tcPr>
            <w:tcW w:w="1418" w:type="dxa"/>
            <w:shd w:val="clear" w:color="auto" w:fill="FFFFFF"/>
            <w:tcMar>
              <w:top w:w="68" w:type="dxa"/>
              <w:left w:w="28" w:type="dxa"/>
              <w:bottom w:w="0" w:type="dxa"/>
              <w:right w:w="28" w:type="dxa"/>
            </w:tcMar>
            <w:hideMark/>
          </w:tcPr>
          <w:p w:rsidRPr="00FC2616" w:rsidR="002F22F3" w:rsidP="002F22F3" w:rsidRDefault="002F22F3" w14:paraId="7AB08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9 621</w:t>
            </w:r>
          </w:p>
        </w:tc>
      </w:tr>
      <w:tr w:rsidRPr="00FC2616" w:rsidR="002F22F3" w:rsidTr="002F22F3" w14:paraId="0CBE3A9F"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2FDAA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C2616" w:rsidR="002F22F3" w:rsidP="002F22F3" w:rsidRDefault="002F22F3" w14:paraId="738E36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FC2616" w:rsidR="002F22F3" w:rsidP="002F22F3" w:rsidRDefault="002F22F3" w14:paraId="31DC0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1 820</w:t>
            </w:r>
          </w:p>
        </w:tc>
        <w:tc>
          <w:tcPr>
            <w:tcW w:w="1418" w:type="dxa"/>
            <w:shd w:val="clear" w:color="auto" w:fill="FFFFFF"/>
            <w:tcMar>
              <w:top w:w="68" w:type="dxa"/>
              <w:left w:w="28" w:type="dxa"/>
              <w:bottom w:w="0" w:type="dxa"/>
              <w:right w:w="28" w:type="dxa"/>
            </w:tcMar>
            <w:hideMark/>
          </w:tcPr>
          <w:p w:rsidRPr="00FC2616" w:rsidR="002F22F3" w:rsidP="002F22F3" w:rsidRDefault="002F22F3" w14:paraId="617CD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1 737</w:t>
            </w:r>
          </w:p>
        </w:tc>
      </w:tr>
      <w:tr w:rsidRPr="00FC2616" w:rsidR="002F22F3" w:rsidTr="0006665B" w14:paraId="4225C326"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78DB8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C2616" w:rsidR="002F22F3" w:rsidP="002F22F3" w:rsidRDefault="002F22F3" w14:paraId="19E35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FC2616" w:rsidR="002F22F3" w:rsidP="0006665B" w:rsidRDefault="002F22F3" w14:paraId="42A2DB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9 210</w:t>
            </w:r>
          </w:p>
        </w:tc>
        <w:tc>
          <w:tcPr>
            <w:tcW w:w="1418" w:type="dxa"/>
            <w:shd w:val="clear" w:color="auto" w:fill="FFFFFF"/>
            <w:tcMar>
              <w:top w:w="68" w:type="dxa"/>
              <w:left w:w="28" w:type="dxa"/>
              <w:bottom w:w="0" w:type="dxa"/>
              <w:right w:w="28" w:type="dxa"/>
            </w:tcMar>
            <w:vAlign w:val="bottom"/>
            <w:hideMark/>
          </w:tcPr>
          <w:p w:rsidRPr="00FC2616" w:rsidR="002F22F3" w:rsidP="0006665B" w:rsidRDefault="002F22F3" w14:paraId="7CBEE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14 150</w:t>
            </w:r>
          </w:p>
        </w:tc>
      </w:tr>
      <w:tr w:rsidRPr="00FC2616" w:rsidR="002F22F3" w:rsidTr="002F22F3" w14:paraId="308A75E8"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3DBC6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FC2616" w:rsidR="002F22F3" w:rsidP="002F22F3" w:rsidRDefault="002F22F3" w14:paraId="0051D7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FC2616" w:rsidR="002F22F3" w:rsidP="002F22F3" w:rsidRDefault="002F22F3" w14:paraId="5ED4A9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70</w:t>
            </w:r>
          </w:p>
        </w:tc>
        <w:tc>
          <w:tcPr>
            <w:tcW w:w="1418" w:type="dxa"/>
            <w:shd w:val="clear" w:color="auto" w:fill="FFFFFF"/>
            <w:tcMar>
              <w:top w:w="68" w:type="dxa"/>
              <w:left w:w="28" w:type="dxa"/>
              <w:bottom w:w="0" w:type="dxa"/>
              <w:right w:w="28" w:type="dxa"/>
            </w:tcMar>
            <w:hideMark/>
          </w:tcPr>
          <w:p w:rsidRPr="00FC2616" w:rsidR="002F22F3" w:rsidP="002F22F3" w:rsidRDefault="002F22F3" w14:paraId="1F8446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r>
      <w:tr w:rsidRPr="00FC2616" w:rsidR="002F22F3" w:rsidTr="002F22F3" w14:paraId="49384FAC"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4ADA0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FC2616" w:rsidR="002F22F3" w:rsidP="002F22F3" w:rsidRDefault="002F22F3" w14:paraId="2A7EB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hideMark/>
          </w:tcPr>
          <w:p w:rsidRPr="00FC2616" w:rsidR="002F22F3" w:rsidP="002F22F3" w:rsidRDefault="002F22F3" w14:paraId="5A0EF0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12 079</w:t>
            </w:r>
          </w:p>
        </w:tc>
        <w:tc>
          <w:tcPr>
            <w:tcW w:w="1418" w:type="dxa"/>
            <w:shd w:val="clear" w:color="auto" w:fill="FFFFFF"/>
            <w:tcMar>
              <w:top w:w="68" w:type="dxa"/>
              <w:left w:w="28" w:type="dxa"/>
              <w:bottom w:w="0" w:type="dxa"/>
              <w:right w:w="28" w:type="dxa"/>
            </w:tcMar>
            <w:hideMark/>
          </w:tcPr>
          <w:p w:rsidRPr="00FC2616" w:rsidR="002F22F3" w:rsidP="002F22F3" w:rsidRDefault="002F22F3" w14:paraId="0A35B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15 374</w:t>
            </w:r>
          </w:p>
        </w:tc>
      </w:tr>
      <w:tr w:rsidRPr="00FC2616" w:rsidR="002F22F3" w:rsidTr="002F22F3" w14:paraId="3416349A"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10555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FC2616" w:rsidR="002F22F3" w:rsidP="002F22F3" w:rsidRDefault="002F22F3" w14:paraId="3516E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FC2616" w:rsidR="002F22F3" w:rsidP="002F22F3" w:rsidRDefault="002F22F3" w14:paraId="49C51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4 675</w:t>
            </w:r>
          </w:p>
        </w:tc>
        <w:tc>
          <w:tcPr>
            <w:tcW w:w="1418" w:type="dxa"/>
            <w:shd w:val="clear" w:color="auto" w:fill="FFFFFF"/>
            <w:tcMar>
              <w:top w:w="68" w:type="dxa"/>
              <w:left w:w="28" w:type="dxa"/>
              <w:bottom w:w="0" w:type="dxa"/>
              <w:right w:w="28" w:type="dxa"/>
            </w:tcMar>
            <w:hideMark/>
          </w:tcPr>
          <w:p w:rsidRPr="00FC2616" w:rsidR="002F22F3" w:rsidP="002F22F3" w:rsidRDefault="002F22F3" w14:paraId="283C8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6 900</w:t>
            </w:r>
          </w:p>
        </w:tc>
      </w:tr>
      <w:tr w:rsidRPr="00FC2616" w:rsidR="002F22F3" w:rsidTr="002F22F3" w14:paraId="469638BA"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52ECBB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FC2616" w:rsidR="002F22F3" w:rsidP="002F22F3" w:rsidRDefault="002F22F3" w14:paraId="5ED7A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FC2616" w:rsidR="002F22F3" w:rsidP="002F22F3" w:rsidRDefault="002F22F3" w14:paraId="11D32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34 156</w:t>
            </w:r>
          </w:p>
        </w:tc>
        <w:tc>
          <w:tcPr>
            <w:tcW w:w="1418" w:type="dxa"/>
            <w:shd w:val="clear" w:color="auto" w:fill="FFFFFF"/>
            <w:tcMar>
              <w:top w:w="68" w:type="dxa"/>
              <w:left w:w="28" w:type="dxa"/>
              <w:bottom w:w="0" w:type="dxa"/>
              <w:right w:w="28" w:type="dxa"/>
            </w:tcMar>
            <w:hideMark/>
          </w:tcPr>
          <w:p w:rsidRPr="00FC2616" w:rsidR="002F22F3" w:rsidP="002F22F3" w:rsidRDefault="002F22F3" w14:paraId="6CA30F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22 416</w:t>
            </w:r>
          </w:p>
        </w:tc>
      </w:tr>
      <w:tr w:rsidRPr="00FC2616" w:rsidR="002F22F3" w:rsidTr="002F22F3" w14:paraId="47855F76"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0C0B1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FC2616" w:rsidR="002F22F3" w:rsidP="002F22F3" w:rsidRDefault="002F22F3" w14:paraId="2173A6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FC2616" w:rsidR="002F22F3" w:rsidP="002F22F3" w:rsidRDefault="002F22F3" w14:paraId="6CB8E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3 499</w:t>
            </w:r>
          </w:p>
        </w:tc>
        <w:tc>
          <w:tcPr>
            <w:tcW w:w="1418" w:type="dxa"/>
            <w:shd w:val="clear" w:color="auto" w:fill="FFFFFF"/>
            <w:tcMar>
              <w:top w:w="68" w:type="dxa"/>
              <w:left w:w="28" w:type="dxa"/>
              <w:bottom w:w="0" w:type="dxa"/>
              <w:right w:w="28" w:type="dxa"/>
            </w:tcMar>
            <w:hideMark/>
          </w:tcPr>
          <w:p w:rsidRPr="00FC2616" w:rsidR="002F22F3" w:rsidP="002F22F3" w:rsidRDefault="002F22F3" w14:paraId="0D3BBB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3 061</w:t>
            </w:r>
          </w:p>
        </w:tc>
      </w:tr>
      <w:tr w:rsidRPr="00FC2616" w:rsidR="002F22F3" w:rsidTr="002F22F3" w14:paraId="3A7EF903"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62AC00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FC2616" w:rsidR="002F22F3" w:rsidP="002F22F3" w:rsidRDefault="002F22F3" w14:paraId="7B9224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FC2616" w:rsidR="002F22F3" w:rsidP="002F22F3" w:rsidRDefault="002F22F3" w14:paraId="308415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530</w:t>
            </w:r>
          </w:p>
        </w:tc>
        <w:tc>
          <w:tcPr>
            <w:tcW w:w="1418" w:type="dxa"/>
            <w:shd w:val="clear" w:color="auto" w:fill="FFFFFF"/>
            <w:tcMar>
              <w:top w:w="68" w:type="dxa"/>
              <w:left w:w="28" w:type="dxa"/>
              <w:bottom w:w="0" w:type="dxa"/>
              <w:right w:w="28" w:type="dxa"/>
            </w:tcMar>
            <w:hideMark/>
          </w:tcPr>
          <w:p w:rsidRPr="00FC2616" w:rsidR="002F22F3" w:rsidP="002F22F3" w:rsidRDefault="002F22F3" w14:paraId="5641EF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530</w:t>
            </w:r>
          </w:p>
        </w:tc>
      </w:tr>
      <w:tr w:rsidRPr="00FC2616" w:rsidR="002F22F3" w:rsidTr="002F22F3" w14:paraId="2A3D4F52"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3423BA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FC2616" w:rsidR="002F22F3" w:rsidP="002F22F3" w:rsidRDefault="002F22F3" w14:paraId="59C565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FC2616" w:rsidR="002F22F3" w:rsidP="002F22F3" w:rsidRDefault="002F22F3" w14:paraId="04CBA5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24 051</w:t>
            </w:r>
          </w:p>
        </w:tc>
        <w:tc>
          <w:tcPr>
            <w:tcW w:w="1418" w:type="dxa"/>
            <w:shd w:val="clear" w:color="auto" w:fill="FFFFFF"/>
            <w:tcMar>
              <w:top w:w="68" w:type="dxa"/>
              <w:left w:w="28" w:type="dxa"/>
              <w:bottom w:w="0" w:type="dxa"/>
              <w:right w:w="28" w:type="dxa"/>
            </w:tcMar>
            <w:hideMark/>
          </w:tcPr>
          <w:p w:rsidRPr="00FC2616" w:rsidR="002F22F3" w:rsidP="002F22F3" w:rsidRDefault="002F22F3" w14:paraId="138682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42 361</w:t>
            </w:r>
          </w:p>
        </w:tc>
      </w:tr>
      <w:tr w:rsidRPr="00FC2616" w:rsidR="002F22F3" w:rsidTr="002F22F3" w14:paraId="79BE4132"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0D18B5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FC2616" w:rsidR="002F22F3" w:rsidP="002F22F3" w:rsidRDefault="002F22F3" w14:paraId="07E9C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FC2616" w:rsidR="002F22F3" w:rsidP="002F22F3" w:rsidRDefault="002F22F3" w14:paraId="2EF60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2F22F3" w:rsidP="002F22F3" w:rsidRDefault="002F22F3" w14:paraId="2FCA2A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r>
      <w:tr w:rsidRPr="00FC2616" w:rsidR="002F22F3" w:rsidTr="002F22F3" w14:paraId="43DC00FC" w14:textId="77777777">
        <w:trPr>
          <w:trHeight w:val="170"/>
        </w:trPr>
        <w:tc>
          <w:tcPr>
            <w:tcW w:w="340" w:type="dxa"/>
            <w:shd w:val="clear" w:color="auto" w:fill="FFFFFF"/>
            <w:tcMar>
              <w:top w:w="68" w:type="dxa"/>
              <w:left w:w="28" w:type="dxa"/>
              <w:bottom w:w="0" w:type="dxa"/>
              <w:right w:w="150" w:type="dxa"/>
            </w:tcMar>
            <w:hideMark/>
          </w:tcPr>
          <w:p w:rsidRPr="00FC2616" w:rsidR="002F22F3" w:rsidP="002F22F3" w:rsidRDefault="002F22F3" w14:paraId="12D810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FC2616" w:rsidR="002F22F3" w:rsidP="002F22F3" w:rsidRDefault="002F22F3" w14:paraId="060C4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FC2616" w:rsidR="002F22F3" w:rsidP="002F22F3" w:rsidRDefault="002F22F3" w14:paraId="205966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2F22F3" w:rsidP="002F22F3" w:rsidRDefault="002F22F3" w14:paraId="20CBC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2F22F3" w:rsidTr="002F22F3" w14:paraId="7CFB4BC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2F22F3" w:rsidP="002F22F3" w:rsidRDefault="002F22F3" w14:paraId="6A1E93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2F22F3" w:rsidP="002F22F3" w:rsidRDefault="002F22F3" w14:paraId="320D4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146 123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2F22F3" w:rsidP="002F22F3" w:rsidRDefault="002F22F3" w14:paraId="419E9D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190 299</w:t>
            </w:r>
          </w:p>
        </w:tc>
      </w:tr>
      <w:tr w:rsidRPr="00FC2616" w:rsidR="002F22F3" w:rsidTr="002F22F3" w14:paraId="47B5E391" w14:textId="77777777">
        <w:trPr>
          <w:trHeight w:val="170"/>
        </w:trPr>
        <w:tc>
          <w:tcPr>
            <w:tcW w:w="4139" w:type="dxa"/>
            <w:gridSpan w:val="2"/>
            <w:shd w:val="clear" w:color="auto" w:fill="FFFFFF"/>
            <w:tcMar>
              <w:top w:w="68" w:type="dxa"/>
              <w:left w:w="28" w:type="dxa"/>
              <w:bottom w:w="0" w:type="dxa"/>
              <w:right w:w="28" w:type="dxa"/>
            </w:tcMar>
            <w:hideMark/>
          </w:tcPr>
          <w:p w:rsidRPr="00FC2616" w:rsidR="002F22F3" w:rsidP="002F22F3" w:rsidRDefault="002F22F3" w14:paraId="4F969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FC2616" w:rsidR="002F22F3" w:rsidP="002F22F3" w:rsidRDefault="002F22F3" w14:paraId="5ED7DE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2F22F3" w:rsidP="002F22F3" w:rsidRDefault="002F22F3" w14:paraId="1A6FA2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2F22F3" w:rsidTr="002F22F3" w14:paraId="2B6B8DF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2F22F3" w:rsidP="002F22F3" w:rsidRDefault="002F22F3" w14:paraId="27E81A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2F22F3" w:rsidP="002F22F3" w:rsidRDefault="002F22F3" w14:paraId="0E505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146 123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2F22F3" w:rsidP="002F22F3" w:rsidRDefault="002F22F3" w14:paraId="3C4B2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190 299</w:t>
            </w:r>
          </w:p>
        </w:tc>
      </w:tr>
      <w:tr w:rsidRPr="00FC2616" w:rsidR="002F22F3" w:rsidTr="002F22F3" w14:paraId="10D5A0C8" w14:textId="77777777">
        <w:trPr>
          <w:trHeight w:val="170"/>
        </w:trPr>
        <w:tc>
          <w:tcPr>
            <w:tcW w:w="4139" w:type="dxa"/>
            <w:gridSpan w:val="2"/>
            <w:shd w:val="clear" w:color="auto" w:fill="FFFFFF"/>
            <w:tcMar>
              <w:top w:w="68" w:type="dxa"/>
              <w:left w:w="28" w:type="dxa"/>
              <w:bottom w:w="0" w:type="dxa"/>
              <w:right w:w="28" w:type="dxa"/>
            </w:tcMar>
            <w:hideMark/>
          </w:tcPr>
          <w:p w:rsidRPr="00FC2616" w:rsidR="002F22F3" w:rsidP="002F22F3" w:rsidRDefault="002F22F3" w14:paraId="5830EA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FC2616" w:rsidR="002F22F3" w:rsidP="002F22F3" w:rsidRDefault="002F22F3" w14:paraId="67A61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2F22F3" w:rsidP="002F22F3" w:rsidRDefault="002F22F3" w14:paraId="69B647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2F22F3" w:rsidTr="002F22F3" w14:paraId="7FE90211" w14:textId="77777777">
        <w:trPr>
          <w:trHeight w:val="170"/>
        </w:trPr>
        <w:tc>
          <w:tcPr>
            <w:tcW w:w="4139" w:type="dxa"/>
            <w:gridSpan w:val="2"/>
            <w:shd w:val="clear" w:color="auto" w:fill="FFFFFF"/>
            <w:tcMar>
              <w:top w:w="68" w:type="dxa"/>
              <w:left w:w="28" w:type="dxa"/>
              <w:bottom w:w="0" w:type="dxa"/>
              <w:right w:w="28" w:type="dxa"/>
            </w:tcMar>
            <w:hideMark/>
          </w:tcPr>
          <w:p w:rsidRPr="00FC2616" w:rsidR="002F22F3" w:rsidP="002F22F3" w:rsidRDefault="002F22F3" w14:paraId="6E85CF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FC2616" w:rsidR="002F22F3" w:rsidP="002F22F3" w:rsidRDefault="002F22F3" w14:paraId="1E81DF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2F22F3" w:rsidP="002F22F3" w:rsidRDefault="002F22F3" w14:paraId="776F32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2F22F3" w:rsidTr="002F22F3" w14:paraId="532DD0A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2F22F3" w:rsidP="002F22F3" w:rsidRDefault="002F22F3" w14:paraId="29014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lastRenderedPageBreak/>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2F22F3" w:rsidP="002F22F3" w:rsidRDefault="002F22F3" w14:paraId="3123C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146 123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2F22F3" w:rsidP="002F22F3" w:rsidRDefault="002F22F3" w14:paraId="4492EA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190 299</w:t>
            </w:r>
          </w:p>
        </w:tc>
      </w:tr>
    </w:tbl>
    <w:p w:rsidRPr="004D6FFE" w:rsidR="002F22F3" w:rsidP="004D6FFE" w:rsidRDefault="002F22F3" w14:paraId="18E851AB" w14:textId="4017F6C5">
      <w:pPr>
        <w:pStyle w:val="Tabellrubrik"/>
        <w:spacing w:before="300"/>
      </w:pPr>
      <w:r w:rsidRPr="004D6FFE">
        <w:t xml:space="preserve">Tabell </w:t>
      </w:r>
      <w:r w:rsidRPr="004D6FFE" w:rsidR="0008121C">
        <w:t>11</w:t>
      </w:r>
      <w:r w:rsidRPr="004D6FFE">
        <w:t xml:space="preserve"> Fördelning av utgifter i statsbudgeten 2023</w:t>
      </w:r>
      <w:r w:rsidRPr="004D6FFE" w:rsidR="002A5D67">
        <w:t>–</w:t>
      </w:r>
      <w:r w:rsidRPr="004D6FFE">
        <w:t>2025</w:t>
      </w:r>
    </w:p>
    <w:p w:rsidRPr="004D6FFE" w:rsidR="00FC14DC" w:rsidP="004D6FFE" w:rsidRDefault="00FC14DC" w14:paraId="630AA269" w14:textId="69277F5C">
      <w:pPr>
        <w:pStyle w:val="Tabellrubrik"/>
        <w:spacing w:before="0"/>
      </w:pPr>
      <w:r w:rsidRPr="004D6FFE">
        <w:t>Avvikelser gentemot regeringen för utgiftsområde 01 Rikets styrelse</w:t>
      </w:r>
    </w:p>
    <w:p w:rsidRPr="004D6FFE" w:rsidR="00FC14DC" w:rsidP="004D6FFE" w:rsidRDefault="00FC14DC" w14:paraId="2A057DFF" w14:textId="77777777">
      <w:pPr>
        <w:pStyle w:val="Tabellunderrubrik"/>
      </w:pPr>
      <w:r w:rsidRPr="004D6FFE">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0"/>
        <w:gridCol w:w="1379"/>
        <w:gridCol w:w="1379"/>
        <w:gridCol w:w="1379"/>
      </w:tblGrid>
      <w:tr w:rsidRPr="00FC2616" w:rsidR="00FC14DC" w:rsidTr="00FC14DC" w14:paraId="13D07170"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2FBF700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E39DF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6D37E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1718F729"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3E9C90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1771D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4F14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7034E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4E7A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1879A3DB"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33CE9D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01 Rikets styrelse</w:t>
            </w:r>
          </w:p>
        </w:tc>
      </w:tr>
      <w:tr w:rsidRPr="00FC2616" w:rsidR="00FC14DC" w:rsidTr="00FC14DC" w14:paraId="0A1118E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D8FD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61974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FC2616" w:rsidR="00FC14DC" w:rsidP="00FC14DC" w:rsidRDefault="00FC14DC" w14:paraId="04D69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−24</w:t>
            </w:r>
          </w:p>
        </w:tc>
        <w:tc>
          <w:tcPr>
            <w:tcW w:w="1418" w:type="dxa"/>
            <w:shd w:val="clear" w:color="auto" w:fill="FFFFFF"/>
            <w:tcMar>
              <w:top w:w="68" w:type="dxa"/>
              <w:left w:w="28" w:type="dxa"/>
              <w:bottom w:w="0" w:type="dxa"/>
              <w:right w:w="28" w:type="dxa"/>
            </w:tcMar>
            <w:hideMark/>
          </w:tcPr>
          <w:p w:rsidRPr="00FC2616" w:rsidR="00FC14DC" w:rsidP="00FC14DC" w:rsidRDefault="00FC14DC" w14:paraId="36ED2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w:t>
            </w:r>
          </w:p>
        </w:tc>
        <w:tc>
          <w:tcPr>
            <w:tcW w:w="1418" w:type="dxa"/>
            <w:shd w:val="clear" w:color="auto" w:fill="FFFFFF"/>
            <w:tcMar>
              <w:top w:w="68" w:type="dxa"/>
              <w:left w:w="28" w:type="dxa"/>
              <w:bottom w:w="0" w:type="dxa"/>
              <w:right w:w="28" w:type="dxa"/>
            </w:tcMar>
            <w:hideMark/>
          </w:tcPr>
          <w:p w:rsidRPr="00FC2616" w:rsidR="00FC14DC" w:rsidP="00FC14DC" w:rsidRDefault="00FC14DC" w14:paraId="43F43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w:t>
            </w:r>
          </w:p>
        </w:tc>
      </w:tr>
      <w:tr w:rsidRPr="00FC2616" w:rsidR="00FC14DC" w:rsidTr="00FC14DC" w14:paraId="3FD3AC1A"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CF4E4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FC2616" w:rsidR="00FC14DC" w:rsidP="00FC14DC" w:rsidRDefault="00FC14DC" w14:paraId="69DEB9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FC2616" w:rsidR="00FC14DC" w:rsidP="00FC14DC" w:rsidRDefault="00FC14DC" w14:paraId="20898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−135</w:t>
            </w:r>
          </w:p>
        </w:tc>
        <w:tc>
          <w:tcPr>
            <w:tcW w:w="1418" w:type="dxa"/>
            <w:shd w:val="clear" w:color="auto" w:fill="FFFFFF"/>
            <w:tcMar>
              <w:top w:w="68" w:type="dxa"/>
              <w:left w:w="28" w:type="dxa"/>
              <w:bottom w:w="0" w:type="dxa"/>
              <w:right w:w="28" w:type="dxa"/>
            </w:tcMar>
            <w:hideMark/>
          </w:tcPr>
          <w:p w:rsidRPr="00FC2616" w:rsidR="00FC14DC" w:rsidP="00FC14DC" w:rsidRDefault="00FC14DC" w14:paraId="56184D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−135</w:t>
            </w:r>
          </w:p>
        </w:tc>
        <w:tc>
          <w:tcPr>
            <w:tcW w:w="1418" w:type="dxa"/>
            <w:shd w:val="clear" w:color="auto" w:fill="FFFFFF"/>
            <w:tcMar>
              <w:top w:w="68" w:type="dxa"/>
              <w:left w:w="28" w:type="dxa"/>
              <w:bottom w:w="0" w:type="dxa"/>
              <w:right w:w="28" w:type="dxa"/>
            </w:tcMar>
            <w:hideMark/>
          </w:tcPr>
          <w:p w:rsidRPr="00FC2616" w:rsidR="00FC14DC" w:rsidP="00FC14DC" w:rsidRDefault="00FC14DC" w14:paraId="7D65A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−135</w:t>
            </w:r>
          </w:p>
        </w:tc>
      </w:tr>
      <w:tr w:rsidRPr="00FC2616" w:rsidR="00FC14DC" w:rsidTr="00FC14DC" w14:paraId="1D36AE0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67E3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3:1</w:t>
            </w:r>
          </w:p>
        </w:tc>
        <w:tc>
          <w:tcPr>
            <w:tcW w:w="4139" w:type="dxa"/>
            <w:shd w:val="clear" w:color="auto" w:fill="FFFFFF"/>
            <w:tcMar>
              <w:top w:w="68" w:type="dxa"/>
              <w:left w:w="28" w:type="dxa"/>
              <w:bottom w:w="0" w:type="dxa"/>
              <w:right w:w="28" w:type="dxa"/>
            </w:tcMar>
            <w:hideMark/>
          </w:tcPr>
          <w:p w:rsidRPr="00FC2616" w:rsidR="00FC14DC" w:rsidP="00FC14DC" w:rsidRDefault="00FC14DC" w14:paraId="22F1B9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FC2616" w:rsidR="00FC14DC" w:rsidP="00FC14DC" w:rsidRDefault="00FC14DC" w14:paraId="2E78DD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49</w:t>
            </w:r>
          </w:p>
        </w:tc>
        <w:tc>
          <w:tcPr>
            <w:tcW w:w="1418" w:type="dxa"/>
            <w:shd w:val="clear" w:color="auto" w:fill="FFFFFF"/>
            <w:tcMar>
              <w:top w:w="68" w:type="dxa"/>
              <w:left w:w="28" w:type="dxa"/>
              <w:bottom w:w="0" w:type="dxa"/>
              <w:right w:w="28" w:type="dxa"/>
            </w:tcMar>
            <w:hideMark/>
          </w:tcPr>
          <w:p w:rsidRPr="00FC2616" w:rsidR="00FC14DC" w:rsidP="00FC14DC" w:rsidRDefault="00FC14DC" w14:paraId="6DDB1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49</w:t>
            </w:r>
          </w:p>
        </w:tc>
        <w:tc>
          <w:tcPr>
            <w:tcW w:w="1418" w:type="dxa"/>
            <w:shd w:val="clear" w:color="auto" w:fill="FFFFFF"/>
            <w:tcMar>
              <w:top w:w="68" w:type="dxa"/>
              <w:left w:w="28" w:type="dxa"/>
              <w:bottom w:w="0" w:type="dxa"/>
              <w:right w:w="28" w:type="dxa"/>
            </w:tcMar>
            <w:hideMark/>
          </w:tcPr>
          <w:p w:rsidRPr="00FC2616" w:rsidR="00FC14DC" w:rsidP="00FC14DC" w:rsidRDefault="00FC14DC" w14:paraId="0A23DF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47</w:t>
            </w:r>
          </w:p>
        </w:tc>
      </w:tr>
      <w:tr w:rsidRPr="00FC2616" w:rsidR="00FC14DC" w:rsidTr="00FC14DC" w14:paraId="7967667B"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5BEF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4:1</w:t>
            </w:r>
          </w:p>
        </w:tc>
        <w:tc>
          <w:tcPr>
            <w:tcW w:w="4139" w:type="dxa"/>
            <w:shd w:val="clear" w:color="auto" w:fill="FFFFFF"/>
            <w:tcMar>
              <w:top w:w="68" w:type="dxa"/>
              <w:left w:w="28" w:type="dxa"/>
              <w:bottom w:w="0" w:type="dxa"/>
              <w:right w:w="28" w:type="dxa"/>
            </w:tcMar>
            <w:hideMark/>
          </w:tcPr>
          <w:p w:rsidRPr="00FC2616" w:rsidR="00FC14DC" w:rsidP="00FC14DC" w:rsidRDefault="00FC14DC" w14:paraId="1A330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FC2616" w:rsidR="00FC14DC" w:rsidP="00FC14DC" w:rsidRDefault="00FC14DC" w14:paraId="3373E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FC2616" w:rsidR="00FC14DC" w:rsidP="00FC14DC" w:rsidRDefault="00FC14DC" w14:paraId="011626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−900</w:t>
            </w:r>
          </w:p>
        </w:tc>
        <w:tc>
          <w:tcPr>
            <w:tcW w:w="1418" w:type="dxa"/>
            <w:shd w:val="clear" w:color="auto" w:fill="FFFFFF"/>
            <w:tcMar>
              <w:top w:w="68" w:type="dxa"/>
              <w:left w:w="28" w:type="dxa"/>
              <w:bottom w:w="0" w:type="dxa"/>
              <w:right w:w="28" w:type="dxa"/>
            </w:tcMar>
            <w:hideMark/>
          </w:tcPr>
          <w:p w:rsidRPr="00FC2616" w:rsidR="00FC14DC" w:rsidP="00FC14DC" w:rsidRDefault="00FC14DC" w14:paraId="49CA85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−900</w:t>
            </w:r>
          </w:p>
        </w:tc>
      </w:tr>
      <w:tr w:rsidRPr="00FC2616" w:rsidR="00FC14DC" w:rsidTr="00FC14DC" w14:paraId="5217536D"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ED36D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5:1</w:t>
            </w:r>
          </w:p>
        </w:tc>
        <w:tc>
          <w:tcPr>
            <w:tcW w:w="4139" w:type="dxa"/>
            <w:shd w:val="clear" w:color="auto" w:fill="FFFFFF"/>
            <w:tcMar>
              <w:top w:w="68" w:type="dxa"/>
              <w:left w:w="28" w:type="dxa"/>
              <w:bottom w:w="0" w:type="dxa"/>
              <w:right w:w="28" w:type="dxa"/>
            </w:tcMar>
            <w:hideMark/>
          </w:tcPr>
          <w:p w:rsidRPr="00FC2616" w:rsidR="00FC14DC" w:rsidP="00FC14DC" w:rsidRDefault="00FC14DC" w14:paraId="60263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FC2616" w:rsidR="00FC14DC" w:rsidP="00FC14DC" w:rsidRDefault="00FC14DC" w14:paraId="35E584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FC2616" w:rsidR="00FC14DC" w:rsidP="00FC14DC" w:rsidRDefault="00FC14DC" w14:paraId="41082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FC2616" w:rsidR="00FC14DC" w:rsidP="00FC14DC" w:rsidRDefault="00FC14DC" w14:paraId="707EF8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r>
      <w:tr w:rsidRPr="00FC2616" w:rsidR="00FC14DC" w:rsidTr="00FC14DC" w14:paraId="0F1D7AFD"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3E84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7:1</w:t>
            </w:r>
          </w:p>
        </w:tc>
        <w:tc>
          <w:tcPr>
            <w:tcW w:w="4139" w:type="dxa"/>
            <w:shd w:val="clear" w:color="auto" w:fill="FFFFFF"/>
            <w:tcMar>
              <w:top w:w="68" w:type="dxa"/>
              <w:left w:w="28" w:type="dxa"/>
              <w:bottom w:w="0" w:type="dxa"/>
              <w:right w:w="28" w:type="dxa"/>
            </w:tcMar>
            <w:hideMark/>
          </w:tcPr>
          <w:p w:rsidRPr="00FC2616" w:rsidR="00FC14DC" w:rsidP="00FC14DC" w:rsidRDefault="00FC14DC" w14:paraId="620CA6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FC2616" w:rsidR="00FC14DC" w:rsidP="00FC14DC" w:rsidRDefault="00FC14DC" w14:paraId="1A5F9A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60C3F5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58AD6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140</w:t>
            </w:r>
          </w:p>
        </w:tc>
      </w:tr>
      <w:tr w:rsidRPr="00FC2616" w:rsidR="00FC14DC" w:rsidTr="00FC14DC" w14:paraId="025C90DD"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903E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7:2</w:t>
            </w:r>
          </w:p>
        </w:tc>
        <w:tc>
          <w:tcPr>
            <w:tcW w:w="4139" w:type="dxa"/>
            <w:shd w:val="clear" w:color="auto" w:fill="FFFFFF"/>
            <w:tcMar>
              <w:top w:w="68" w:type="dxa"/>
              <w:left w:w="28" w:type="dxa"/>
              <w:bottom w:w="0" w:type="dxa"/>
              <w:right w:w="28" w:type="dxa"/>
            </w:tcMar>
            <w:hideMark/>
          </w:tcPr>
          <w:p w:rsidRPr="00FC2616" w:rsidR="00FC14DC" w:rsidP="00FC14DC" w:rsidRDefault="00FC14DC" w14:paraId="25EF8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418" w:type="dxa"/>
            <w:shd w:val="clear" w:color="auto" w:fill="FFFFFF"/>
            <w:tcMar>
              <w:top w:w="68" w:type="dxa"/>
              <w:left w:w="28" w:type="dxa"/>
              <w:bottom w:w="0" w:type="dxa"/>
              <w:right w:w="28" w:type="dxa"/>
            </w:tcMar>
            <w:hideMark/>
          </w:tcPr>
          <w:p w:rsidRPr="00FC2616" w:rsidR="00FC14DC" w:rsidP="00FC14DC" w:rsidRDefault="00FC14DC" w14:paraId="711CE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7C46EC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FC2616" w:rsidR="00FC14DC" w:rsidP="00FC14DC" w:rsidRDefault="00FC14DC" w14:paraId="47F7A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46</w:t>
            </w:r>
          </w:p>
        </w:tc>
      </w:tr>
      <w:tr w:rsidRPr="00FC2616" w:rsidR="00FC14DC" w:rsidTr="00FC14DC" w14:paraId="1DBC9E4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342E2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A6D15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−480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5CC4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84081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−719</w:t>
            </w:r>
          </w:p>
        </w:tc>
      </w:tr>
    </w:tbl>
    <w:p w:rsidRPr="00903588" w:rsidR="00FC14DC" w:rsidP="00903588" w:rsidRDefault="00FC14DC" w14:paraId="59A4D6A3" w14:textId="6C1AC8D8">
      <w:pPr>
        <w:pStyle w:val="Tabellrubrik"/>
        <w:spacing w:before="300"/>
      </w:pPr>
      <w:r w:rsidRPr="00903588">
        <w:t>Avvikelser gentemot regeringen för utgiftsområde 02 Samhällsekonomi och finansförvaltning</w:t>
      </w:r>
    </w:p>
    <w:p w:rsidRPr="00903588" w:rsidR="00FC14DC" w:rsidP="00903588" w:rsidRDefault="00FC14DC" w14:paraId="23CB159D" w14:textId="77777777">
      <w:pPr>
        <w:pStyle w:val="Tabellunderrubrik"/>
      </w:pPr>
      <w:r w:rsidRPr="00903588">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25"/>
        <w:gridCol w:w="1354"/>
        <w:gridCol w:w="1357"/>
        <w:gridCol w:w="1357"/>
      </w:tblGrid>
      <w:tr w:rsidRPr="00FC2616" w:rsidR="00FC14DC" w:rsidTr="00FC14DC" w14:paraId="39B5FDAD"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4108FF2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13244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0828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1A5894F1"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15D1AD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27F1C8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1AF3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90D23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819A1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3DD645BD"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5356A3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02 Samhällsekonomi och finansförvaltning</w:t>
            </w:r>
          </w:p>
        </w:tc>
      </w:tr>
      <w:tr w:rsidRPr="00FC2616" w:rsidR="00FC14DC" w:rsidTr="00FC14DC" w14:paraId="4D97A1D5"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03E3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C2616" w:rsidR="00FC14DC" w:rsidP="00FC14DC" w:rsidRDefault="00FC14DC" w14:paraId="4DCA5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hideMark/>
          </w:tcPr>
          <w:p w:rsidRPr="00FC2616" w:rsidR="00FC14DC" w:rsidP="00FC14DC" w:rsidRDefault="00FC14DC" w14:paraId="661F86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hideMark/>
          </w:tcPr>
          <w:p w:rsidRPr="00FC2616" w:rsidR="00FC14DC" w:rsidP="00FC14DC" w:rsidRDefault="00FC14DC" w14:paraId="62688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1418" w:type="dxa"/>
            <w:shd w:val="clear" w:color="auto" w:fill="FFFFFF"/>
            <w:tcMar>
              <w:top w:w="68" w:type="dxa"/>
              <w:left w:w="28" w:type="dxa"/>
              <w:bottom w:w="0" w:type="dxa"/>
              <w:right w:w="28" w:type="dxa"/>
            </w:tcMar>
            <w:hideMark/>
          </w:tcPr>
          <w:p w:rsidRPr="00FC2616" w:rsidR="00FC14DC" w:rsidP="00FC14DC" w:rsidRDefault="00FC14DC" w14:paraId="5FF824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r>
      <w:tr w:rsidRPr="00FC2616" w:rsidR="00FC14DC" w:rsidTr="00FC14DC" w14:paraId="1D2AB19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D283C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FC2616" w:rsidR="00FC14DC" w:rsidP="00FC14DC" w:rsidRDefault="00FC14DC" w14:paraId="1B929A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FC2616" w:rsidR="00FC14DC" w:rsidP="00FC14DC" w:rsidRDefault="00FC14DC" w14:paraId="62478D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6E1C4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4DB112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r>
      <w:tr w:rsidRPr="00FC2616" w:rsidR="00FC14DC" w:rsidTr="00FC14DC" w14:paraId="5E2CF01C"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9ECB2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C2616" w:rsidR="00FC14DC" w:rsidP="00FC14DC" w:rsidRDefault="00FC14DC" w14:paraId="5897D361" w14:textId="41C17A8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Klimatinvesteringsmyndighet (</w:t>
            </w:r>
            <w:r w:rsidR="00C95BDD">
              <w:rPr>
                <w:rFonts w:ascii="Times New Roman" w:hAnsi="Times New Roman" w:eastAsia="Times New Roman" w:cs="Times New Roman"/>
                <w:color w:val="000000"/>
                <w:kern w:val="0"/>
                <w:sz w:val="20"/>
                <w:szCs w:val="20"/>
                <w:lang w:eastAsia="sv-SE"/>
                <w14:numSpacing w14:val="default"/>
              </w:rPr>
              <w:t>K</w:t>
            </w:r>
            <w:r w:rsidRPr="00FC2616" w:rsidR="00C95BDD">
              <w:rPr>
                <w:rFonts w:ascii="Times New Roman" w:hAnsi="Times New Roman" w:eastAsia="Times New Roman" w:cs="Times New Roman"/>
                <w:color w:val="000000"/>
                <w:kern w:val="0"/>
                <w:sz w:val="20"/>
                <w:szCs w:val="20"/>
                <w:lang w:eastAsia="sv-SE"/>
                <w14:numSpacing w14:val="default"/>
              </w:rPr>
              <w:t>lima</w:t>
            </w:r>
            <w:r w:rsidRPr="00FC2616">
              <w:rPr>
                <w:rFonts w:ascii="Times New Roman" w:hAnsi="Times New Roman" w:eastAsia="Times New Roman" w:cs="Times New Roman"/>
                <w:color w:val="000000"/>
                <w:kern w:val="0"/>
                <w:sz w:val="20"/>
                <w:szCs w:val="20"/>
                <w:lang w:eastAsia="sv-SE"/>
                <w14:numSpacing w14:val="default"/>
              </w:rPr>
              <w:t>)</w:t>
            </w:r>
          </w:p>
        </w:tc>
        <w:tc>
          <w:tcPr>
            <w:tcW w:w="1418" w:type="dxa"/>
            <w:shd w:val="clear" w:color="auto" w:fill="FFFFFF"/>
            <w:tcMar>
              <w:top w:w="68" w:type="dxa"/>
              <w:left w:w="28" w:type="dxa"/>
              <w:bottom w:w="0" w:type="dxa"/>
              <w:right w:w="28" w:type="dxa"/>
            </w:tcMar>
            <w:hideMark/>
          </w:tcPr>
          <w:p w:rsidRPr="00FC2616" w:rsidR="00FC14DC" w:rsidP="00FC14DC" w:rsidRDefault="00FC14DC" w14:paraId="539528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70</w:t>
            </w:r>
          </w:p>
        </w:tc>
        <w:tc>
          <w:tcPr>
            <w:tcW w:w="1418" w:type="dxa"/>
            <w:shd w:val="clear" w:color="auto" w:fill="FFFFFF"/>
            <w:tcMar>
              <w:top w:w="68" w:type="dxa"/>
              <w:left w:w="28" w:type="dxa"/>
              <w:bottom w:w="0" w:type="dxa"/>
              <w:right w:w="28" w:type="dxa"/>
            </w:tcMar>
            <w:hideMark/>
          </w:tcPr>
          <w:p w:rsidRPr="00FC2616" w:rsidR="00FC14DC" w:rsidP="00FC14DC" w:rsidRDefault="00FC14DC" w14:paraId="1C3C9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75</w:t>
            </w:r>
          </w:p>
        </w:tc>
        <w:tc>
          <w:tcPr>
            <w:tcW w:w="1418" w:type="dxa"/>
            <w:shd w:val="clear" w:color="auto" w:fill="FFFFFF"/>
            <w:tcMar>
              <w:top w:w="68" w:type="dxa"/>
              <w:left w:w="28" w:type="dxa"/>
              <w:bottom w:w="0" w:type="dxa"/>
              <w:right w:w="28" w:type="dxa"/>
            </w:tcMar>
            <w:hideMark/>
          </w:tcPr>
          <w:p w:rsidRPr="00FC2616" w:rsidR="00FC14DC" w:rsidP="00FC14DC" w:rsidRDefault="00FC14DC" w14:paraId="5C9BC0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80</w:t>
            </w:r>
          </w:p>
        </w:tc>
      </w:tr>
      <w:tr w:rsidRPr="00FC2616" w:rsidR="00FC14DC" w:rsidTr="00FC14DC" w14:paraId="2BC2ED30"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D044D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FC2616" w:rsidR="00FC14DC" w:rsidP="00FC14DC" w:rsidRDefault="00FC14DC" w14:paraId="291CD2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Stockholmsinstitutet</w:t>
            </w:r>
          </w:p>
        </w:tc>
        <w:tc>
          <w:tcPr>
            <w:tcW w:w="1418" w:type="dxa"/>
            <w:shd w:val="clear" w:color="auto" w:fill="FFFFFF"/>
            <w:tcMar>
              <w:top w:w="68" w:type="dxa"/>
              <w:left w:w="28" w:type="dxa"/>
              <w:bottom w:w="0" w:type="dxa"/>
              <w:right w:w="28" w:type="dxa"/>
            </w:tcMar>
            <w:hideMark/>
          </w:tcPr>
          <w:p w:rsidRPr="00FC2616" w:rsidR="00FC14DC" w:rsidP="00FC14DC" w:rsidRDefault="00FC14DC" w14:paraId="51C942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31159E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FC2616" w:rsidR="00FC14DC" w:rsidP="00FC14DC" w:rsidRDefault="00FC14DC" w14:paraId="2578F1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60</w:t>
            </w:r>
          </w:p>
        </w:tc>
      </w:tr>
      <w:tr w:rsidRPr="00FC2616" w:rsidR="00FC14DC" w:rsidTr="00FC14DC" w14:paraId="2845B98F"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0120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99:3</w:t>
            </w:r>
          </w:p>
        </w:tc>
        <w:tc>
          <w:tcPr>
            <w:tcW w:w="4139" w:type="dxa"/>
            <w:shd w:val="clear" w:color="auto" w:fill="FFFFFF"/>
            <w:tcMar>
              <w:top w:w="68" w:type="dxa"/>
              <w:left w:w="28" w:type="dxa"/>
              <w:bottom w:w="0" w:type="dxa"/>
              <w:right w:w="28" w:type="dxa"/>
            </w:tcMar>
            <w:hideMark/>
          </w:tcPr>
          <w:p w:rsidRPr="00FC2616" w:rsidR="00FC14DC" w:rsidP="00FC14DC" w:rsidRDefault="00FC14DC" w14:paraId="7FF8ACA3" w14:textId="2DD7B24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Avgifter</w:t>
            </w:r>
            <w:r w:rsidR="00C95BDD">
              <w:rPr>
                <w:rFonts w:ascii="Times New Roman" w:hAnsi="Times New Roman" w:eastAsia="Times New Roman" w:cs="Times New Roman"/>
                <w:color w:val="000000"/>
                <w:kern w:val="0"/>
                <w:sz w:val="20"/>
                <w:szCs w:val="20"/>
                <w:lang w:eastAsia="sv-SE"/>
                <w14:numSpacing w14:val="default"/>
              </w:rPr>
              <w:t xml:space="preserve"> för</w:t>
            </w:r>
            <w:r w:rsidRPr="00FC2616">
              <w:rPr>
                <w:rFonts w:ascii="Times New Roman" w:hAnsi="Times New Roman" w:eastAsia="Times New Roman" w:cs="Times New Roman"/>
                <w:color w:val="000000"/>
                <w:kern w:val="0"/>
                <w:sz w:val="20"/>
                <w:szCs w:val="20"/>
                <w:lang w:eastAsia="sv-SE"/>
                <w14:numSpacing w14:val="default"/>
              </w:rPr>
              <w:t xml:space="preserve"> staten som arbetsgivare</w:t>
            </w:r>
          </w:p>
        </w:tc>
        <w:tc>
          <w:tcPr>
            <w:tcW w:w="1418" w:type="dxa"/>
            <w:shd w:val="clear" w:color="auto" w:fill="FFFFFF"/>
            <w:tcMar>
              <w:top w:w="68" w:type="dxa"/>
              <w:left w:w="28" w:type="dxa"/>
              <w:bottom w:w="0" w:type="dxa"/>
              <w:right w:w="28" w:type="dxa"/>
            </w:tcMar>
            <w:hideMark/>
          </w:tcPr>
          <w:p w:rsidRPr="00FC2616" w:rsidR="00FC14DC" w:rsidP="00FC14DC" w:rsidRDefault="00FC14DC" w14:paraId="0203F1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6C54F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FC2616" w:rsidR="00FC14DC" w:rsidP="00FC14DC" w:rsidRDefault="00FC14DC" w14:paraId="11C75C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150</w:t>
            </w:r>
          </w:p>
        </w:tc>
      </w:tr>
      <w:tr w:rsidRPr="00FC2616" w:rsidR="00FC14DC" w:rsidTr="00FC14DC" w14:paraId="35862EA3"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5EC7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99:4</w:t>
            </w:r>
          </w:p>
        </w:tc>
        <w:tc>
          <w:tcPr>
            <w:tcW w:w="4139" w:type="dxa"/>
            <w:shd w:val="clear" w:color="auto" w:fill="FFFFFF"/>
            <w:tcMar>
              <w:top w:w="68" w:type="dxa"/>
              <w:left w:w="28" w:type="dxa"/>
              <w:bottom w:w="0" w:type="dxa"/>
              <w:right w:w="28" w:type="dxa"/>
            </w:tcMar>
            <w:hideMark/>
          </w:tcPr>
          <w:p w:rsidRPr="00FC2616" w:rsidR="00FC14DC" w:rsidP="00FC14DC" w:rsidRDefault="00FC14DC" w14:paraId="2A9C1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Ökade lönekostnader, inkl. arbetsgivaravgifter</w:t>
            </w:r>
          </w:p>
        </w:tc>
        <w:tc>
          <w:tcPr>
            <w:tcW w:w="1418" w:type="dxa"/>
            <w:shd w:val="clear" w:color="auto" w:fill="FFFFFF"/>
            <w:tcMar>
              <w:top w:w="68" w:type="dxa"/>
              <w:left w:w="28" w:type="dxa"/>
              <w:bottom w:w="0" w:type="dxa"/>
              <w:right w:w="28" w:type="dxa"/>
            </w:tcMar>
            <w:hideMark/>
          </w:tcPr>
          <w:p w:rsidRPr="00FC2616" w:rsidR="00FC14DC" w:rsidP="00FC14DC" w:rsidRDefault="00FC14DC" w14:paraId="416A95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600</w:t>
            </w:r>
          </w:p>
        </w:tc>
        <w:tc>
          <w:tcPr>
            <w:tcW w:w="1418" w:type="dxa"/>
            <w:shd w:val="clear" w:color="auto" w:fill="FFFFFF"/>
            <w:tcMar>
              <w:top w:w="68" w:type="dxa"/>
              <w:left w:w="28" w:type="dxa"/>
              <w:bottom w:w="0" w:type="dxa"/>
              <w:right w:w="28" w:type="dxa"/>
            </w:tcMar>
            <w:hideMark/>
          </w:tcPr>
          <w:p w:rsidRPr="00FC2616" w:rsidR="00FC14DC" w:rsidP="00FC14DC" w:rsidRDefault="00FC14DC" w14:paraId="30FF29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600</w:t>
            </w:r>
          </w:p>
        </w:tc>
        <w:tc>
          <w:tcPr>
            <w:tcW w:w="1418" w:type="dxa"/>
            <w:shd w:val="clear" w:color="auto" w:fill="FFFFFF"/>
            <w:tcMar>
              <w:top w:w="68" w:type="dxa"/>
              <w:left w:w="28" w:type="dxa"/>
              <w:bottom w:w="0" w:type="dxa"/>
              <w:right w:w="28" w:type="dxa"/>
            </w:tcMar>
            <w:hideMark/>
          </w:tcPr>
          <w:p w:rsidRPr="00FC2616" w:rsidR="00FC14DC" w:rsidP="00FC14DC" w:rsidRDefault="00FC14DC" w14:paraId="47EEF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600</w:t>
            </w:r>
          </w:p>
        </w:tc>
      </w:tr>
      <w:tr w:rsidRPr="00FC2616" w:rsidR="00FC14DC" w:rsidTr="00903588" w14:paraId="1F55BEC4"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7B7F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99:5</w:t>
            </w:r>
          </w:p>
        </w:tc>
        <w:tc>
          <w:tcPr>
            <w:tcW w:w="4139" w:type="dxa"/>
            <w:shd w:val="clear" w:color="auto" w:fill="FFFFFF"/>
            <w:tcMar>
              <w:top w:w="68" w:type="dxa"/>
              <w:left w:w="28" w:type="dxa"/>
              <w:bottom w:w="0" w:type="dxa"/>
              <w:right w:w="28" w:type="dxa"/>
            </w:tcMar>
            <w:hideMark/>
          </w:tcPr>
          <w:p w:rsidRPr="00FC2616" w:rsidR="00FC14DC" w:rsidP="00FC14DC" w:rsidRDefault="00C95BDD" w14:paraId="689EF1D1" w14:textId="10EDFB7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A</w:t>
            </w:r>
            <w:r w:rsidRPr="00FC2616" w:rsidR="00FC14DC">
              <w:rPr>
                <w:rFonts w:ascii="Times New Roman" w:hAnsi="Times New Roman" w:eastAsia="Times New Roman" w:cs="Times New Roman"/>
                <w:color w:val="000000"/>
                <w:kern w:val="0"/>
                <w:sz w:val="20"/>
                <w:szCs w:val="20"/>
                <w:lang w:eastAsia="sv-SE"/>
                <w14:numSpacing w14:val="default"/>
              </w:rPr>
              <w:t>vskaffa produktivitetsavdraget i pris- och löneomräkningsmodellen</w:t>
            </w:r>
          </w:p>
        </w:tc>
        <w:tc>
          <w:tcPr>
            <w:tcW w:w="1418" w:type="dxa"/>
            <w:shd w:val="clear" w:color="auto" w:fill="FFFFFF"/>
            <w:tcMar>
              <w:top w:w="68" w:type="dxa"/>
              <w:left w:w="28" w:type="dxa"/>
              <w:bottom w:w="0" w:type="dxa"/>
              <w:right w:w="28" w:type="dxa"/>
            </w:tcMar>
            <w:vAlign w:val="bottom"/>
            <w:hideMark/>
          </w:tcPr>
          <w:p w:rsidRPr="00FC2616" w:rsidR="00FC14DC" w:rsidP="00903588" w:rsidRDefault="00FC14DC" w14:paraId="34AFC7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C2616" w:rsidR="00FC14DC" w:rsidP="00903588" w:rsidRDefault="00FC14DC" w14:paraId="567DAF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2 100</w:t>
            </w:r>
          </w:p>
        </w:tc>
        <w:tc>
          <w:tcPr>
            <w:tcW w:w="1418" w:type="dxa"/>
            <w:shd w:val="clear" w:color="auto" w:fill="FFFFFF"/>
            <w:tcMar>
              <w:top w:w="68" w:type="dxa"/>
              <w:left w:w="28" w:type="dxa"/>
              <w:bottom w:w="0" w:type="dxa"/>
              <w:right w:w="28" w:type="dxa"/>
            </w:tcMar>
            <w:vAlign w:val="bottom"/>
            <w:hideMark/>
          </w:tcPr>
          <w:p w:rsidRPr="00FC2616" w:rsidR="00FC14DC" w:rsidP="00903588" w:rsidRDefault="00FC14DC" w14:paraId="2ECD9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4 200</w:t>
            </w:r>
          </w:p>
        </w:tc>
      </w:tr>
      <w:tr w:rsidRPr="00FC2616" w:rsidR="00FC14DC" w:rsidTr="00FC14DC" w14:paraId="42FD7C7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37843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670A6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744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AA8F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2 924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E3FDC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5 099</w:t>
            </w:r>
          </w:p>
        </w:tc>
      </w:tr>
    </w:tbl>
    <w:p w:rsidRPr="00C95BDD" w:rsidR="00FC14DC" w:rsidP="00C95BDD" w:rsidRDefault="00FC14DC" w14:paraId="6D2CFF82" w14:textId="30903557">
      <w:pPr>
        <w:pStyle w:val="Tabellrubrik"/>
        <w:spacing w:before="300"/>
      </w:pPr>
      <w:r w:rsidRPr="00C95BDD">
        <w:t>Avvikelser gentemot regeringen för utgiftsområde 03 Skatt, tull och exekution</w:t>
      </w:r>
    </w:p>
    <w:p w:rsidRPr="00C95BDD" w:rsidR="00FC14DC" w:rsidP="00C95BDD" w:rsidRDefault="00FC14DC" w14:paraId="72531AD4" w14:textId="77777777">
      <w:pPr>
        <w:pStyle w:val="Tabellunderrubrik"/>
      </w:pPr>
      <w:r w:rsidRPr="00C95BD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1"/>
        <w:gridCol w:w="1381"/>
        <w:gridCol w:w="1382"/>
        <w:gridCol w:w="1382"/>
      </w:tblGrid>
      <w:tr w:rsidRPr="00FC2616" w:rsidR="00FC14DC" w:rsidTr="00FC14DC" w14:paraId="6F9BA0C1"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793939E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236FA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0E370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0E389619"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4072E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143FC4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D53E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7A1B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296C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3DEE1BB5"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2BE2FC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03 Skatt, tull och exekution</w:t>
            </w:r>
          </w:p>
        </w:tc>
      </w:tr>
      <w:tr w:rsidRPr="00FC2616" w:rsidR="00FC14DC" w:rsidTr="00FC14DC" w14:paraId="4697261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2A9B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7350E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FC2616" w:rsidR="00FC14DC" w:rsidP="00FC14DC" w:rsidRDefault="00FC14DC" w14:paraId="0185CB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−75</w:t>
            </w:r>
          </w:p>
        </w:tc>
        <w:tc>
          <w:tcPr>
            <w:tcW w:w="1418" w:type="dxa"/>
            <w:shd w:val="clear" w:color="auto" w:fill="FFFFFF"/>
            <w:tcMar>
              <w:top w:w="68" w:type="dxa"/>
              <w:left w:w="28" w:type="dxa"/>
              <w:bottom w:w="0" w:type="dxa"/>
              <w:right w:w="28" w:type="dxa"/>
            </w:tcMar>
            <w:hideMark/>
          </w:tcPr>
          <w:p w:rsidRPr="00FC2616" w:rsidR="00FC14DC" w:rsidP="00FC14DC" w:rsidRDefault="00FC14DC" w14:paraId="04D9AC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−178</w:t>
            </w:r>
          </w:p>
        </w:tc>
        <w:tc>
          <w:tcPr>
            <w:tcW w:w="1418" w:type="dxa"/>
            <w:shd w:val="clear" w:color="auto" w:fill="FFFFFF"/>
            <w:tcMar>
              <w:top w:w="68" w:type="dxa"/>
              <w:left w:w="28" w:type="dxa"/>
              <w:bottom w:w="0" w:type="dxa"/>
              <w:right w:w="28" w:type="dxa"/>
            </w:tcMar>
            <w:hideMark/>
          </w:tcPr>
          <w:p w:rsidRPr="00FC2616" w:rsidR="00FC14DC" w:rsidP="00FC14DC" w:rsidRDefault="00FC14DC" w14:paraId="2DC70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−178</w:t>
            </w:r>
          </w:p>
        </w:tc>
      </w:tr>
      <w:tr w:rsidRPr="00FC2616" w:rsidR="00FC14DC" w:rsidTr="00FC14DC" w14:paraId="17B23570"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F9D0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35219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FC2616" w:rsidR="00FC14DC" w:rsidP="00FC14DC" w:rsidRDefault="00FC14DC" w14:paraId="65C9AE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054A5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FC2616" w:rsidR="00FC14DC" w:rsidP="00FC14DC" w:rsidRDefault="00FC14DC" w14:paraId="10A7F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r>
      <w:tr w:rsidRPr="00FC2616" w:rsidR="00FC14DC" w:rsidTr="00FC14DC" w14:paraId="15E5F97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2AB8C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CB68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−45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06C74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−193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BB4E5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−173</w:t>
            </w:r>
          </w:p>
        </w:tc>
      </w:tr>
    </w:tbl>
    <w:p w:rsidRPr="00A45BC9" w:rsidR="00FC14DC" w:rsidP="00A45BC9" w:rsidRDefault="00FC14DC" w14:paraId="00529630" w14:textId="30EF0295">
      <w:pPr>
        <w:pStyle w:val="Tabellrubrik"/>
        <w:spacing w:before="300"/>
      </w:pPr>
      <w:r w:rsidRPr="00A45BC9">
        <w:t>Avvikelser gentemot regeringen för utgiftsområde 04 Rättsväsendet</w:t>
      </w:r>
    </w:p>
    <w:p w:rsidRPr="00A45BC9" w:rsidR="00FC14DC" w:rsidP="00A45BC9" w:rsidRDefault="00FC14DC" w14:paraId="7B585C9E" w14:textId="77777777">
      <w:pPr>
        <w:pStyle w:val="Tabellunderrubrik"/>
      </w:pPr>
      <w:r w:rsidRPr="00A45BC9">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4011"/>
        <w:gridCol w:w="1357"/>
        <w:gridCol w:w="1357"/>
        <w:gridCol w:w="1367"/>
      </w:tblGrid>
      <w:tr w:rsidRPr="00FC2616" w:rsidR="00FC14DC" w:rsidTr="00FC14DC" w14:paraId="2D91F5C0"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07E6078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EBC48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382990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438B1F7B"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538D9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79374A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943F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E852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4322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790D2832"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4B438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04 Rättsväsendet</w:t>
            </w:r>
          </w:p>
        </w:tc>
      </w:tr>
      <w:tr w:rsidRPr="00FC2616" w:rsidR="00FC14DC" w:rsidTr="00FC14DC" w14:paraId="2AD3D455"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8CBE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1262C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FC2616" w:rsidR="00FC14DC" w:rsidP="00FC14DC" w:rsidRDefault="00FC14DC" w14:paraId="718C7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35EB3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−160</w:t>
            </w:r>
          </w:p>
        </w:tc>
        <w:tc>
          <w:tcPr>
            <w:tcW w:w="1418" w:type="dxa"/>
            <w:shd w:val="clear" w:color="auto" w:fill="FFFFFF"/>
            <w:tcMar>
              <w:top w:w="68" w:type="dxa"/>
              <w:left w:w="28" w:type="dxa"/>
              <w:bottom w:w="0" w:type="dxa"/>
              <w:right w:w="28" w:type="dxa"/>
            </w:tcMar>
            <w:hideMark/>
          </w:tcPr>
          <w:p w:rsidRPr="00FC2616" w:rsidR="00FC14DC" w:rsidP="00FC14DC" w:rsidRDefault="00FC14DC" w14:paraId="1AEA5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−160</w:t>
            </w:r>
          </w:p>
        </w:tc>
      </w:tr>
      <w:tr w:rsidRPr="00FC2616" w:rsidR="00FC14DC" w:rsidTr="00FC14DC" w14:paraId="7B9AB35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B858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6BB083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FC2616" w:rsidR="00FC14DC" w:rsidP="00FC14DC" w:rsidRDefault="00FC14DC" w14:paraId="6D9E94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−97</w:t>
            </w:r>
          </w:p>
        </w:tc>
        <w:tc>
          <w:tcPr>
            <w:tcW w:w="1418" w:type="dxa"/>
            <w:shd w:val="clear" w:color="auto" w:fill="FFFFFF"/>
            <w:tcMar>
              <w:top w:w="68" w:type="dxa"/>
              <w:left w:w="28" w:type="dxa"/>
              <w:bottom w:w="0" w:type="dxa"/>
              <w:right w:w="28" w:type="dxa"/>
            </w:tcMar>
            <w:hideMark/>
          </w:tcPr>
          <w:p w:rsidRPr="00FC2616" w:rsidR="00FC14DC" w:rsidP="00FC14DC" w:rsidRDefault="00FC14DC" w14:paraId="77C53B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−232</w:t>
            </w:r>
          </w:p>
        </w:tc>
        <w:tc>
          <w:tcPr>
            <w:tcW w:w="1418" w:type="dxa"/>
            <w:shd w:val="clear" w:color="auto" w:fill="FFFFFF"/>
            <w:tcMar>
              <w:top w:w="68" w:type="dxa"/>
              <w:left w:w="28" w:type="dxa"/>
              <w:bottom w:w="0" w:type="dxa"/>
              <w:right w:w="28" w:type="dxa"/>
            </w:tcMar>
            <w:hideMark/>
          </w:tcPr>
          <w:p w:rsidRPr="00FC2616" w:rsidR="00FC14DC" w:rsidP="00FC14DC" w:rsidRDefault="00FC14DC" w14:paraId="64891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−292</w:t>
            </w:r>
          </w:p>
        </w:tc>
      </w:tr>
      <w:tr w:rsidRPr="00FC2616" w:rsidR="00FC14DC" w:rsidTr="00FC14DC" w14:paraId="069CB5E3"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8E009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C2616" w:rsidR="00FC14DC" w:rsidP="00FC14DC" w:rsidRDefault="00FC14DC" w14:paraId="45C7D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FC2616" w:rsidR="00FC14DC" w:rsidP="00FC14DC" w:rsidRDefault="00FC14DC" w14:paraId="1F12F2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34E417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−38</w:t>
            </w:r>
          </w:p>
        </w:tc>
        <w:tc>
          <w:tcPr>
            <w:tcW w:w="1418" w:type="dxa"/>
            <w:shd w:val="clear" w:color="auto" w:fill="FFFFFF"/>
            <w:tcMar>
              <w:top w:w="68" w:type="dxa"/>
              <w:left w:w="28" w:type="dxa"/>
              <w:bottom w:w="0" w:type="dxa"/>
              <w:right w:w="28" w:type="dxa"/>
            </w:tcMar>
            <w:hideMark/>
          </w:tcPr>
          <w:p w:rsidRPr="00FC2616" w:rsidR="00FC14DC" w:rsidP="00FC14DC" w:rsidRDefault="00FC14DC" w14:paraId="2D5DE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−111</w:t>
            </w:r>
          </w:p>
        </w:tc>
      </w:tr>
      <w:tr w:rsidRPr="00FC2616" w:rsidR="00FC14DC" w:rsidTr="00FC14DC" w14:paraId="321A16DB"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4FA7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C2616" w:rsidR="00FC14DC" w:rsidP="00FC14DC" w:rsidRDefault="00FC14DC" w14:paraId="572F9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FC2616" w:rsidR="00FC14DC" w:rsidP="00FC14DC" w:rsidRDefault="00FC14DC" w14:paraId="56C8A6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6ABA5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08DD6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r>
      <w:tr w:rsidRPr="00FC2616" w:rsidR="00FC14DC" w:rsidTr="00FC14DC" w14:paraId="665A425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DEB9C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C2616" w:rsidR="00FC14DC" w:rsidP="00FC14DC" w:rsidRDefault="00FC14DC" w14:paraId="42E5D5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FC2616" w:rsidR="00FC14DC" w:rsidP="00FC14DC" w:rsidRDefault="00FC14DC" w14:paraId="06448A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hideMark/>
          </w:tcPr>
          <w:p w:rsidRPr="00FC2616" w:rsidR="00FC14DC" w:rsidP="00FC14DC" w:rsidRDefault="00FC14DC" w14:paraId="0E83F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77D2A0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27500129"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FAFD8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C2616" w:rsidR="00FC14DC" w:rsidP="00FC14DC" w:rsidRDefault="00FC14DC" w14:paraId="0822B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FC2616" w:rsidR="00FC14DC" w:rsidP="00FC14DC" w:rsidRDefault="00FC14DC" w14:paraId="36F3C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40B0D2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5A8E7C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−1 257</w:t>
            </w:r>
          </w:p>
        </w:tc>
      </w:tr>
      <w:tr w:rsidRPr="00FC2616" w:rsidR="00FC14DC" w:rsidTr="00FC14DC" w14:paraId="031A85D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3493F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FC2616" w:rsidR="00FC14DC" w:rsidP="00FC14DC" w:rsidRDefault="00FC14DC" w14:paraId="6C06FE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hideMark/>
          </w:tcPr>
          <w:p w:rsidRPr="00FC2616" w:rsidR="00FC14DC" w:rsidP="00FC14DC" w:rsidRDefault="00FC14DC" w14:paraId="63595D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765B38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24A258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364C06AF"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B8D1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1:15</w:t>
            </w:r>
          </w:p>
        </w:tc>
        <w:tc>
          <w:tcPr>
            <w:tcW w:w="4139" w:type="dxa"/>
            <w:shd w:val="clear" w:color="auto" w:fill="FFFFFF"/>
            <w:tcMar>
              <w:top w:w="68" w:type="dxa"/>
              <w:left w:w="28" w:type="dxa"/>
              <w:bottom w:w="0" w:type="dxa"/>
              <w:right w:w="28" w:type="dxa"/>
            </w:tcMar>
            <w:hideMark/>
          </w:tcPr>
          <w:p w:rsidRPr="00FC2616" w:rsidR="00FC14DC" w:rsidP="00FC14DC" w:rsidRDefault="00FC14DC" w14:paraId="5E0D5A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hideMark/>
          </w:tcPr>
          <w:p w:rsidRPr="00FC2616" w:rsidR="00FC14DC" w:rsidP="00FC14DC" w:rsidRDefault="00FC14DC" w14:paraId="415029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3B4989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hideMark/>
          </w:tcPr>
          <w:p w:rsidRPr="00FC2616" w:rsidR="00FC14DC" w:rsidP="00FC14DC" w:rsidRDefault="00FC14DC" w14:paraId="0F1BB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w:t>
            </w:r>
          </w:p>
        </w:tc>
      </w:tr>
      <w:tr w:rsidRPr="00FC2616" w:rsidR="00FC14DC" w:rsidTr="00FC14DC" w14:paraId="156EFA5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1DA932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F006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−151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E1770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−454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455A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−1 845</w:t>
            </w:r>
          </w:p>
        </w:tc>
      </w:tr>
    </w:tbl>
    <w:p w:rsidRPr="00A45BC9" w:rsidR="00FC14DC" w:rsidP="00A45BC9" w:rsidRDefault="00FC14DC" w14:paraId="37D0D498" w14:textId="5E64F5AC">
      <w:pPr>
        <w:pStyle w:val="Tabellrubrik"/>
        <w:spacing w:before="300"/>
      </w:pPr>
      <w:r w:rsidRPr="00A45BC9">
        <w:t>Avvikelser gentemot regeringen för utgiftsområde 05 Internationell samverkan</w:t>
      </w:r>
    </w:p>
    <w:p w:rsidRPr="00A45BC9" w:rsidR="00FC14DC" w:rsidP="00A45BC9" w:rsidRDefault="00FC14DC" w14:paraId="6178A9DA" w14:textId="77777777">
      <w:pPr>
        <w:pStyle w:val="Tabellunderrubrik"/>
      </w:pPr>
      <w:r w:rsidRPr="00A45BC9">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8"/>
        <w:gridCol w:w="1365"/>
        <w:gridCol w:w="1365"/>
        <w:gridCol w:w="1365"/>
      </w:tblGrid>
      <w:tr w:rsidRPr="00FC2616" w:rsidR="00FC14DC" w:rsidTr="00FC14DC" w14:paraId="77D4D081"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6D18F9D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7235B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0ED3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28AEE87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3A4FC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22451A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01DB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FA6C8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C5AF6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25EC39DF"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5918C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05 Internationell samverkan</w:t>
            </w:r>
          </w:p>
        </w:tc>
      </w:tr>
      <w:tr w:rsidRPr="00FC2616" w:rsidR="00FC14DC" w:rsidTr="00FC14DC" w14:paraId="419ACD11"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274D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088E8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FC2616" w:rsidR="00FC14DC" w:rsidP="00FC14DC" w:rsidRDefault="00FC14DC" w14:paraId="5DF084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6F2393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42D00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r>
      <w:tr w:rsidRPr="00FC2616" w:rsidR="00FC14DC" w:rsidTr="00FC14DC" w14:paraId="4C34D01A"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AB9C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FC2616" w:rsidR="00FC14DC" w:rsidP="00FC14DC" w:rsidRDefault="00FC14DC" w14:paraId="75156B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Samarbete inom Östersjöregionen</w:t>
            </w:r>
          </w:p>
        </w:tc>
        <w:tc>
          <w:tcPr>
            <w:tcW w:w="1418" w:type="dxa"/>
            <w:shd w:val="clear" w:color="auto" w:fill="FFFFFF"/>
            <w:tcMar>
              <w:top w:w="68" w:type="dxa"/>
              <w:left w:w="28" w:type="dxa"/>
              <w:bottom w:w="0" w:type="dxa"/>
              <w:right w:w="28" w:type="dxa"/>
            </w:tcMar>
            <w:hideMark/>
          </w:tcPr>
          <w:p w:rsidRPr="00FC2616" w:rsidR="00FC14DC" w:rsidP="00FC14DC" w:rsidRDefault="00FC14DC" w14:paraId="51DD0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28795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523166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r>
      <w:tr w:rsidRPr="00FC2616" w:rsidR="00FC14DC" w:rsidTr="00FC14DC" w14:paraId="0EC058B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21204C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F1E5A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A789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E4A98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w:t>
            </w:r>
          </w:p>
        </w:tc>
      </w:tr>
    </w:tbl>
    <w:p w:rsidRPr="00A45BC9" w:rsidR="00FC14DC" w:rsidP="00A45BC9" w:rsidRDefault="00FC14DC" w14:paraId="169D1753" w14:textId="7EAF2AE6">
      <w:pPr>
        <w:pStyle w:val="Tabellrubrik"/>
        <w:spacing w:before="300"/>
      </w:pPr>
      <w:r w:rsidRPr="00A45BC9">
        <w:t>Avvikelser gentemot regeringen för utgiftsområde 06 Försvar och samhällets krisberedskap</w:t>
      </w:r>
    </w:p>
    <w:p w:rsidRPr="00A45BC9" w:rsidR="00FC14DC" w:rsidP="00A45BC9" w:rsidRDefault="00FC14DC" w14:paraId="2394823A" w14:textId="77777777">
      <w:pPr>
        <w:pStyle w:val="Tabellunderrubrik"/>
      </w:pPr>
      <w:r w:rsidRPr="00A45BC9">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FC2616" w:rsidR="00FC14DC" w:rsidTr="00FC14DC" w14:paraId="664AD8D9"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354B1F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333BB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4038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08F6BE2C"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606DF7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75BF3D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4A2A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FAA5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4B118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421366C2"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7CEA4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06 Försvar och samhällets krisberedskap</w:t>
            </w:r>
          </w:p>
        </w:tc>
      </w:tr>
      <w:tr w:rsidRPr="00FC2616" w:rsidR="00FC14DC" w:rsidTr="00FC14DC" w14:paraId="3D9509A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7D59F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F88CB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DE9A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7BD20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bl>
    <w:p w:rsidRPr="00A45BC9" w:rsidR="00FC14DC" w:rsidP="00A45BC9" w:rsidRDefault="00FC14DC" w14:paraId="66E14D0E" w14:textId="27663AC8">
      <w:pPr>
        <w:pStyle w:val="Tabellrubrik"/>
        <w:spacing w:before="300"/>
      </w:pPr>
      <w:r w:rsidRPr="00A45BC9">
        <w:t>Avvikelser gentemot regeringen för utgiftsområde 07 Internationellt bistånd</w:t>
      </w:r>
    </w:p>
    <w:p w:rsidRPr="00A45BC9" w:rsidR="00FC14DC" w:rsidP="00A45BC9" w:rsidRDefault="00FC14DC" w14:paraId="6C5601BA" w14:textId="77777777">
      <w:pPr>
        <w:pStyle w:val="Tabellunderrubrik"/>
      </w:pPr>
      <w:r w:rsidRPr="00A45BC9">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5"/>
        <w:gridCol w:w="1362"/>
        <w:gridCol w:w="1368"/>
        <w:gridCol w:w="1368"/>
      </w:tblGrid>
      <w:tr w:rsidRPr="00FC2616" w:rsidR="00FC14DC" w:rsidTr="00FC14DC" w14:paraId="47A18074"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3A8D2F2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5562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64450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024618C8"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19C9C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6D3FE6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7827E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4371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FFF5A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4184AAE3"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56316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07 Internationellt bistånd</w:t>
            </w:r>
          </w:p>
        </w:tc>
      </w:tr>
      <w:tr w:rsidRPr="00FC2616" w:rsidR="00FC14DC" w:rsidTr="00FC14DC" w14:paraId="6496171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99C9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26F596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FC2616" w:rsidR="00FC14DC" w:rsidP="00FC14DC" w:rsidRDefault="00FC14DC" w14:paraId="369E3B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7 043</w:t>
            </w:r>
          </w:p>
        </w:tc>
        <w:tc>
          <w:tcPr>
            <w:tcW w:w="1418" w:type="dxa"/>
            <w:shd w:val="clear" w:color="auto" w:fill="FFFFFF"/>
            <w:tcMar>
              <w:top w:w="68" w:type="dxa"/>
              <w:left w:w="28" w:type="dxa"/>
              <w:bottom w:w="0" w:type="dxa"/>
              <w:right w:w="28" w:type="dxa"/>
            </w:tcMar>
            <w:hideMark/>
          </w:tcPr>
          <w:p w:rsidRPr="00FC2616" w:rsidR="00FC14DC" w:rsidP="00FC14DC" w:rsidRDefault="00FC14DC" w14:paraId="6F5D7C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9 183</w:t>
            </w:r>
          </w:p>
        </w:tc>
        <w:tc>
          <w:tcPr>
            <w:tcW w:w="1418" w:type="dxa"/>
            <w:shd w:val="clear" w:color="auto" w:fill="FFFFFF"/>
            <w:tcMar>
              <w:top w:w="68" w:type="dxa"/>
              <w:left w:w="28" w:type="dxa"/>
              <w:bottom w:w="0" w:type="dxa"/>
              <w:right w:w="28" w:type="dxa"/>
            </w:tcMar>
            <w:hideMark/>
          </w:tcPr>
          <w:p w:rsidRPr="00FC2616" w:rsidR="00FC14DC" w:rsidP="00FC14DC" w:rsidRDefault="00FC14DC" w14:paraId="708CC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12 390</w:t>
            </w:r>
          </w:p>
        </w:tc>
      </w:tr>
      <w:tr w:rsidRPr="00FC2616" w:rsidR="00FC14DC" w:rsidTr="00A45BC9" w14:paraId="349C8A7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D00B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4F87DE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vAlign w:val="bottom"/>
            <w:hideMark/>
          </w:tcPr>
          <w:p w:rsidRPr="00FC2616" w:rsidR="00FC14DC" w:rsidP="00A45BC9" w:rsidRDefault="00FC14DC" w14:paraId="2A7F1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157</w:t>
            </w:r>
          </w:p>
        </w:tc>
        <w:tc>
          <w:tcPr>
            <w:tcW w:w="1418" w:type="dxa"/>
            <w:shd w:val="clear" w:color="auto" w:fill="FFFFFF"/>
            <w:tcMar>
              <w:top w:w="68" w:type="dxa"/>
              <w:left w:w="28" w:type="dxa"/>
              <w:bottom w:w="0" w:type="dxa"/>
              <w:right w:w="28" w:type="dxa"/>
            </w:tcMar>
            <w:vAlign w:val="bottom"/>
            <w:hideMark/>
          </w:tcPr>
          <w:p w:rsidRPr="00FC2616" w:rsidR="00FC14DC" w:rsidP="00A45BC9" w:rsidRDefault="00FC14DC" w14:paraId="686EF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163</w:t>
            </w:r>
          </w:p>
        </w:tc>
        <w:tc>
          <w:tcPr>
            <w:tcW w:w="1418" w:type="dxa"/>
            <w:shd w:val="clear" w:color="auto" w:fill="FFFFFF"/>
            <w:tcMar>
              <w:top w:w="68" w:type="dxa"/>
              <w:left w:w="28" w:type="dxa"/>
              <w:bottom w:w="0" w:type="dxa"/>
              <w:right w:w="28" w:type="dxa"/>
            </w:tcMar>
            <w:vAlign w:val="bottom"/>
            <w:hideMark/>
          </w:tcPr>
          <w:p w:rsidRPr="00FC2616" w:rsidR="00FC14DC" w:rsidP="00A45BC9" w:rsidRDefault="00FC14DC" w14:paraId="04A47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166</w:t>
            </w:r>
          </w:p>
        </w:tc>
      </w:tr>
      <w:tr w:rsidRPr="00FC2616" w:rsidR="00FC14DC" w:rsidTr="00FC14DC" w14:paraId="06D5D35C"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479C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C2616" w:rsidR="00FC14DC" w:rsidP="00FC14DC" w:rsidRDefault="00FC14DC" w14:paraId="7F9CBF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FC2616" w:rsidR="00FC14DC" w:rsidP="00FC14DC" w:rsidRDefault="00FC14DC" w14:paraId="3B737F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hideMark/>
          </w:tcPr>
          <w:p w:rsidRPr="00FC2616" w:rsidR="00FC14DC" w:rsidP="00FC14DC" w:rsidRDefault="00FC14DC" w14:paraId="58F54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hideMark/>
          </w:tcPr>
          <w:p w:rsidRPr="00FC2616" w:rsidR="00FC14DC" w:rsidP="00FC14DC" w:rsidRDefault="00FC14DC" w14:paraId="54E8EC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w:t>
            </w:r>
          </w:p>
        </w:tc>
      </w:tr>
      <w:tr w:rsidRPr="00FC2616" w:rsidR="00FC14DC" w:rsidTr="00FC14DC" w14:paraId="1F237F30"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41A1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C2616" w:rsidR="00FC14DC" w:rsidP="00FC14DC" w:rsidRDefault="00FC14DC" w14:paraId="080B75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FC2616" w:rsidR="00FC14DC" w:rsidP="00FC14DC" w:rsidRDefault="00FC14DC" w14:paraId="3AA01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w:t>
            </w:r>
          </w:p>
        </w:tc>
        <w:tc>
          <w:tcPr>
            <w:tcW w:w="1418" w:type="dxa"/>
            <w:shd w:val="clear" w:color="auto" w:fill="FFFFFF"/>
            <w:tcMar>
              <w:top w:w="68" w:type="dxa"/>
              <w:left w:w="28" w:type="dxa"/>
              <w:bottom w:w="0" w:type="dxa"/>
              <w:right w:w="28" w:type="dxa"/>
            </w:tcMar>
            <w:hideMark/>
          </w:tcPr>
          <w:p w:rsidRPr="00FC2616" w:rsidR="00FC14DC" w:rsidP="00FC14DC" w:rsidRDefault="00FC14DC" w14:paraId="2BB68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23</w:t>
            </w:r>
          </w:p>
        </w:tc>
        <w:tc>
          <w:tcPr>
            <w:tcW w:w="1418" w:type="dxa"/>
            <w:shd w:val="clear" w:color="auto" w:fill="FFFFFF"/>
            <w:tcMar>
              <w:top w:w="68" w:type="dxa"/>
              <w:left w:w="28" w:type="dxa"/>
              <w:bottom w:w="0" w:type="dxa"/>
              <w:right w:w="28" w:type="dxa"/>
            </w:tcMar>
            <w:hideMark/>
          </w:tcPr>
          <w:p w:rsidRPr="00FC2616" w:rsidR="00FC14DC" w:rsidP="00FC14DC" w:rsidRDefault="00FC14DC" w14:paraId="157406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23</w:t>
            </w:r>
          </w:p>
        </w:tc>
      </w:tr>
      <w:tr w:rsidRPr="00FC2616" w:rsidR="00FC14DC" w:rsidTr="00FC14DC" w14:paraId="6E862EE0"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FD31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C2616" w:rsidR="00FC14DC" w:rsidP="00FC14DC" w:rsidRDefault="00FC14DC" w14:paraId="4F2DFE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FC2616" w:rsidR="00FC14DC" w:rsidP="00FC14DC" w:rsidRDefault="00FC14DC" w14:paraId="329517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hideMark/>
          </w:tcPr>
          <w:p w:rsidRPr="00FC2616" w:rsidR="00FC14DC" w:rsidP="00FC14DC" w:rsidRDefault="00FC14DC" w14:paraId="1CA13A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hideMark/>
          </w:tcPr>
          <w:p w:rsidRPr="00FC2616" w:rsidR="00FC14DC" w:rsidP="00FC14DC" w:rsidRDefault="00FC14DC" w14:paraId="704DA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w:t>
            </w:r>
          </w:p>
        </w:tc>
      </w:tr>
      <w:tr w:rsidRPr="00FC2616" w:rsidR="00FC14DC" w:rsidTr="00FC14DC" w14:paraId="255617EF"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CC13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C2616" w:rsidR="00FC14DC" w:rsidP="00FC14DC" w:rsidRDefault="00FC14DC" w14:paraId="0CBE97B5" w14:textId="2000998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Additionellt kl</w:t>
            </w:r>
            <w:r w:rsidR="007F5FD5">
              <w:rPr>
                <w:rFonts w:ascii="Times New Roman" w:hAnsi="Times New Roman" w:eastAsia="Times New Roman" w:cs="Times New Roman"/>
                <w:color w:val="000000"/>
                <w:kern w:val="0"/>
                <w:sz w:val="20"/>
                <w:szCs w:val="20"/>
                <w:lang w:eastAsia="sv-SE"/>
                <w14:numSpacing w14:val="default"/>
              </w:rPr>
              <w:t>i</w:t>
            </w:r>
            <w:r w:rsidRPr="00FC2616">
              <w:rPr>
                <w:rFonts w:ascii="Times New Roman" w:hAnsi="Times New Roman" w:eastAsia="Times New Roman" w:cs="Times New Roman"/>
                <w:color w:val="000000"/>
                <w:kern w:val="0"/>
                <w:sz w:val="20"/>
                <w:szCs w:val="20"/>
                <w:lang w:eastAsia="sv-SE"/>
                <w14:numSpacing w14:val="default"/>
              </w:rPr>
              <w:t>matbistånd</w:t>
            </w:r>
          </w:p>
        </w:tc>
        <w:tc>
          <w:tcPr>
            <w:tcW w:w="1418" w:type="dxa"/>
            <w:shd w:val="clear" w:color="auto" w:fill="FFFFFF"/>
            <w:tcMar>
              <w:top w:w="68" w:type="dxa"/>
              <w:left w:w="28" w:type="dxa"/>
              <w:bottom w:w="0" w:type="dxa"/>
              <w:right w:w="28" w:type="dxa"/>
            </w:tcMar>
            <w:hideMark/>
          </w:tcPr>
          <w:p w:rsidRPr="00FC2616" w:rsidR="00FC14DC" w:rsidP="00FC14DC" w:rsidRDefault="00FC14DC" w14:paraId="06CEB3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FC2616" w:rsidR="00FC14DC" w:rsidP="00FC14DC" w:rsidRDefault="00FC14DC" w14:paraId="42B9B6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750</w:t>
            </w:r>
          </w:p>
        </w:tc>
        <w:tc>
          <w:tcPr>
            <w:tcW w:w="1418" w:type="dxa"/>
            <w:shd w:val="clear" w:color="auto" w:fill="FFFFFF"/>
            <w:tcMar>
              <w:top w:w="68" w:type="dxa"/>
              <w:left w:w="28" w:type="dxa"/>
              <w:bottom w:w="0" w:type="dxa"/>
              <w:right w:w="28" w:type="dxa"/>
            </w:tcMar>
            <w:hideMark/>
          </w:tcPr>
          <w:p w:rsidRPr="00FC2616" w:rsidR="00FC14DC" w:rsidP="00FC14DC" w:rsidRDefault="00FC14DC" w14:paraId="69A2C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1 000</w:t>
            </w:r>
          </w:p>
        </w:tc>
      </w:tr>
      <w:tr w:rsidRPr="00FC2616" w:rsidR="00FC14DC" w:rsidTr="00FC14DC" w14:paraId="6E67E24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72E0F8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BB792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7 719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C7DC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10 120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02675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13 580</w:t>
            </w:r>
          </w:p>
        </w:tc>
      </w:tr>
    </w:tbl>
    <w:p w:rsidR="00970F38" w:rsidP="00970F38" w:rsidRDefault="00970F38" w14:paraId="1B04898A" w14:textId="77777777">
      <w:pPr>
        <w:pStyle w:val="Normalutanindragellerluft"/>
      </w:pPr>
    </w:p>
    <w:p w:rsidR="00970F38" w:rsidP="00970F38" w:rsidRDefault="00970F38" w14:paraId="342DA003" w14:textId="77777777">
      <w:pPr>
        <w:pStyle w:val="Normalutanindragellerluft"/>
        <w:rPr>
          <w:b/>
          <w:sz w:val="23"/>
        </w:rPr>
      </w:pPr>
      <w:r>
        <w:br w:type="page"/>
      </w:r>
    </w:p>
    <w:p w:rsidRPr="00832102" w:rsidR="00FC14DC" w:rsidP="00832102" w:rsidRDefault="00FC14DC" w14:paraId="073357C0" w14:textId="181D3958">
      <w:pPr>
        <w:pStyle w:val="Tabellrubrik"/>
        <w:spacing w:before="300"/>
      </w:pPr>
      <w:r w:rsidRPr="00832102">
        <w:lastRenderedPageBreak/>
        <w:t>Avvikelser gentemot regeringen för utgiftsområde 08 Migration</w:t>
      </w:r>
    </w:p>
    <w:p w:rsidRPr="00832102" w:rsidR="00FC14DC" w:rsidP="00832102" w:rsidRDefault="00FC14DC" w14:paraId="57BA2469" w14:textId="77777777">
      <w:pPr>
        <w:pStyle w:val="Tabellunderrubrik"/>
      </w:pPr>
      <w:r w:rsidRPr="00832102">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3"/>
        <w:gridCol w:w="1378"/>
        <w:gridCol w:w="1378"/>
        <w:gridCol w:w="1378"/>
      </w:tblGrid>
      <w:tr w:rsidRPr="00FC2616" w:rsidR="00FC14DC" w:rsidTr="00FC14DC" w14:paraId="4957DFC1"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B13AAC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C8C9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8CE9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06A4FA11"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4B2FBA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011243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4ABA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7AE5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56F37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3E2C7971"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021A18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08 Migration</w:t>
            </w:r>
          </w:p>
        </w:tc>
      </w:tr>
      <w:tr w:rsidRPr="00FC2616" w:rsidR="00FC14DC" w:rsidTr="00FC14DC" w14:paraId="108A9451"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B3BC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4E8BF5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hideMark/>
          </w:tcPr>
          <w:p w:rsidRPr="00FC2616" w:rsidR="00FC14DC" w:rsidP="00FC14DC" w:rsidRDefault="00FC14DC" w14:paraId="6A56C7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FC2616" w:rsidR="00FC14DC" w:rsidP="00FC14DC" w:rsidRDefault="00FC14DC" w14:paraId="1E27F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FC2616" w:rsidR="00FC14DC" w:rsidP="00FC14DC" w:rsidRDefault="00FC14DC" w14:paraId="7E72AE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r>
      <w:tr w:rsidRPr="00FC2616" w:rsidR="00FC14DC" w:rsidTr="00FC14DC" w14:paraId="5495983A"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F6898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5AA3E6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hideMark/>
          </w:tcPr>
          <w:p w:rsidRPr="00FC2616" w:rsidR="00FC14DC" w:rsidP="00FC14DC" w:rsidRDefault="00FC14DC" w14:paraId="5CC4D3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hideMark/>
          </w:tcPr>
          <w:p w:rsidRPr="00FC2616" w:rsidR="00FC14DC" w:rsidP="00FC14DC" w:rsidRDefault="00FC14DC" w14:paraId="05E67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70</w:t>
            </w:r>
          </w:p>
        </w:tc>
        <w:tc>
          <w:tcPr>
            <w:tcW w:w="1418" w:type="dxa"/>
            <w:shd w:val="clear" w:color="auto" w:fill="FFFFFF"/>
            <w:tcMar>
              <w:top w:w="68" w:type="dxa"/>
              <w:left w:w="28" w:type="dxa"/>
              <w:bottom w:w="0" w:type="dxa"/>
              <w:right w:w="28" w:type="dxa"/>
            </w:tcMar>
            <w:hideMark/>
          </w:tcPr>
          <w:p w:rsidRPr="00FC2616" w:rsidR="00FC14DC" w:rsidP="00FC14DC" w:rsidRDefault="00FC14DC" w14:paraId="74CF6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70</w:t>
            </w:r>
          </w:p>
        </w:tc>
      </w:tr>
      <w:tr w:rsidRPr="00FC2616" w:rsidR="00FC14DC" w:rsidTr="00FC14DC" w14:paraId="53AC0221"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9FDD3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C2616" w:rsidR="00FC14DC" w:rsidP="00FC14DC" w:rsidRDefault="00FC14DC" w14:paraId="69A399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hideMark/>
          </w:tcPr>
          <w:p w:rsidRPr="00FC2616" w:rsidR="00FC14DC" w:rsidP="00FC14DC" w:rsidRDefault="00FC14DC" w14:paraId="44529A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3007FE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3DC54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r>
      <w:tr w:rsidRPr="00FC2616" w:rsidR="00FC14DC" w:rsidTr="00FC14DC" w14:paraId="14DB9BE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8DA82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C2616" w:rsidR="00FC14DC" w:rsidP="00FC14DC" w:rsidRDefault="00FC14DC" w14:paraId="41DFAC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hideMark/>
          </w:tcPr>
          <w:p w:rsidRPr="00FC2616" w:rsidR="00FC14DC" w:rsidP="00FC14DC" w:rsidRDefault="00FC14DC" w14:paraId="3CED6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7B679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4F33E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r>
      <w:tr w:rsidRPr="00FC2616" w:rsidR="00FC14DC" w:rsidTr="00FC14DC" w14:paraId="63F3778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47F8B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B1C52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140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89A02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7640A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60</w:t>
            </w:r>
          </w:p>
        </w:tc>
      </w:tr>
    </w:tbl>
    <w:p w:rsidRPr="00832102" w:rsidR="00FC14DC" w:rsidP="00832102" w:rsidRDefault="00FC14DC" w14:paraId="64289ADE" w14:textId="69CB43A8">
      <w:pPr>
        <w:pStyle w:val="Tabellrubrik"/>
        <w:spacing w:before="300"/>
      </w:pPr>
      <w:r w:rsidRPr="00832102">
        <w:t>Avvikelser gentemot regeringen för utgiftsområde 09 Hälsovård, sjukvård och social omsorg</w:t>
      </w:r>
    </w:p>
    <w:p w:rsidRPr="00832102" w:rsidR="00FC14DC" w:rsidP="00832102" w:rsidRDefault="00FC14DC" w14:paraId="04CA1B48" w14:textId="77777777">
      <w:pPr>
        <w:pStyle w:val="Tabellunderrubrik"/>
      </w:pPr>
      <w:r w:rsidRPr="00832102">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2"/>
        <w:gridCol w:w="1367"/>
        <w:gridCol w:w="1367"/>
        <w:gridCol w:w="1367"/>
      </w:tblGrid>
      <w:tr w:rsidRPr="00FC2616" w:rsidR="00FC14DC" w:rsidTr="00FC14DC" w14:paraId="168734E3"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8854A7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0C8658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8F55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5344C5FE"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5C04A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39914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5EB5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1BED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2549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2DA1CEDD"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106C8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09 Hälsovård, sjukvård och social omsorg</w:t>
            </w:r>
          </w:p>
        </w:tc>
      </w:tr>
      <w:tr w:rsidRPr="00FC2616" w:rsidR="00FC14DC" w:rsidTr="00FC14DC" w14:paraId="55400360"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389B6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C2616" w:rsidR="00FC14DC" w:rsidP="00FC14DC" w:rsidRDefault="00FC14DC" w14:paraId="453A5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hideMark/>
          </w:tcPr>
          <w:p w:rsidRPr="00FC2616" w:rsidR="00FC14DC" w:rsidP="00FC14DC" w:rsidRDefault="00FC14DC" w14:paraId="6AD0C9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2 350</w:t>
            </w:r>
          </w:p>
        </w:tc>
        <w:tc>
          <w:tcPr>
            <w:tcW w:w="1418" w:type="dxa"/>
            <w:shd w:val="clear" w:color="auto" w:fill="FFFFFF"/>
            <w:tcMar>
              <w:top w:w="68" w:type="dxa"/>
              <w:left w:w="28" w:type="dxa"/>
              <w:bottom w:w="0" w:type="dxa"/>
              <w:right w:w="28" w:type="dxa"/>
            </w:tcMar>
            <w:hideMark/>
          </w:tcPr>
          <w:p w:rsidRPr="00FC2616" w:rsidR="00FC14DC" w:rsidP="00FC14DC" w:rsidRDefault="00FC14DC" w14:paraId="66DE23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5 600</w:t>
            </w:r>
          </w:p>
        </w:tc>
        <w:tc>
          <w:tcPr>
            <w:tcW w:w="1418" w:type="dxa"/>
            <w:shd w:val="clear" w:color="auto" w:fill="FFFFFF"/>
            <w:tcMar>
              <w:top w:w="68" w:type="dxa"/>
              <w:left w:w="28" w:type="dxa"/>
              <w:bottom w:w="0" w:type="dxa"/>
              <w:right w:w="28" w:type="dxa"/>
            </w:tcMar>
            <w:hideMark/>
          </w:tcPr>
          <w:p w:rsidRPr="00FC2616" w:rsidR="00FC14DC" w:rsidP="00FC14DC" w:rsidRDefault="00FC14DC" w14:paraId="72FFAA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6 500</w:t>
            </w:r>
          </w:p>
        </w:tc>
      </w:tr>
      <w:tr w:rsidRPr="00FC2616" w:rsidR="00FC14DC" w:rsidTr="00FC14DC" w14:paraId="42F44F2C"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3CE4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C2616" w:rsidR="00FC14DC" w:rsidP="00FC14DC" w:rsidRDefault="00FC14DC" w14:paraId="6C7CF0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hideMark/>
          </w:tcPr>
          <w:p w:rsidRPr="00FC2616" w:rsidR="00FC14DC" w:rsidP="00FC14DC" w:rsidRDefault="00FC14DC" w14:paraId="1010A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hideMark/>
          </w:tcPr>
          <w:p w:rsidRPr="00FC2616" w:rsidR="00FC14DC" w:rsidP="00FC14DC" w:rsidRDefault="00FC14DC" w14:paraId="69668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FC2616" w:rsidR="00FC14DC" w:rsidP="00FC14DC" w:rsidRDefault="00FC14DC" w14:paraId="1D117C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500</w:t>
            </w:r>
          </w:p>
        </w:tc>
      </w:tr>
      <w:tr w:rsidRPr="00FC2616" w:rsidR="00FC14DC" w:rsidTr="00FC14DC" w14:paraId="062F48F3"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18E28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C2616" w:rsidR="00FC14DC" w:rsidP="00FC14DC" w:rsidRDefault="00FC14DC" w14:paraId="35AE9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FC2616" w:rsidR="00FC14DC" w:rsidP="00FC14DC" w:rsidRDefault="00FC14DC" w14:paraId="06F9A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−2 300</w:t>
            </w:r>
          </w:p>
        </w:tc>
        <w:tc>
          <w:tcPr>
            <w:tcW w:w="1418" w:type="dxa"/>
            <w:shd w:val="clear" w:color="auto" w:fill="FFFFFF"/>
            <w:tcMar>
              <w:top w:w="68" w:type="dxa"/>
              <w:left w:w="28" w:type="dxa"/>
              <w:bottom w:w="0" w:type="dxa"/>
              <w:right w:w="28" w:type="dxa"/>
            </w:tcMar>
            <w:hideMark/>
          </w:tcPr>
          <w:p w:rsidRPr="00FC2616" w:rsidR="00FC14DC" w:rsidP="00FC14DC" w:rsidRDefault="00FC14DC" w14:paraId="33A485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−800</w:t>
            </w:r>
          </w:p>
        </w:tc>
        <w:tc>
          <w:tcPr>
            <w:tcW w:w="1418" w:type="dxa"/>
            <w:shd w:val="clear" w:color="auto" w:fill="FFFFFF"/>
            <w:tcMar>
              <w:top w:w="68" w:type="dxa"/>
              <w:left w:w="28" w:type="dxa"/>
              <w:bottom w:w="0" w:type="dxa"/>
              <w:right w:w="28" w:type="dxa"/>
            </w:tcMar>
            <w:hideMark/>
          </w:tcPr>
          <w:p w:rsidRPr="00FC2616" w:rsidR="00FC14DC" w:rsidP="00FC14DC" w:rsidRDefault="00FC14DC" w14:paraId="4998CE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−2 300</w:t>
            </w:r>
          </w:p>
        </w:tc>
      </w:tr>
      <w:tr w:rsidRPr="00FC2616" w:rsidR="00FC14DC" w:rsidTr="00FC14DC" w14:paraId="0CD84CC3"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F0E5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C2616" w:rsidR="00FC14DC" w:rsidP="00FC14DC" w:rsidRDefault="00FC14DC" w14:paraId="44570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hideMark/>
          </w:tcPr>
          <w:p w:rsidRPr="00FC2616" w:rsidR="00FC14DC" w:rsidP="00FC14DC" w:rsidRDefault="00FC14DC" w14:paraId="5AEB25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1 300</w:t>
            </w:r>
          </w:p>
        </w:tc>
        <w:tc>
          <w:tcPr>
            <w:tcW w:w="1418" w:type="dxa"/>
            <w:shd w:val="clear" w:color="auto" w:fill="FFFFFF"/>
            <w:tcMar>
              <w:top w:w="68" w:type="dxa"/>
              <w:left w:w="28" w:type="dxa"/>
              <w:bottom w:w="0" w:type="dxa"/>
              <w:right w:w="28" w:type="dxa"/>
            </w:tcMar>
            <w:hideMark/>
          </w:tcPr>
          <w:p w:rsidRPr="00FC2616" w:rsidR="00FC14DC" w:rsidP="00FC14DC" w:rsidRDefault="00FC14DC" w14:paraId="0A0F2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1 300</w:t>
            </w:r>
          </w:p>
        </w:tc>
        <w:tc>
          <w:tcPr>
            <w:tcW w:w="1418" w:type="dxa"/>
            <w:shd w:val="clear" w:color="auto" w:fill="FFFFFF"/>
            <w:tcMar>
              <w:top w:w="68" w:type="dxa"/>
              <w:left w:w="28" w:type="dxa"/>
              <w:bottom w:w="0" w:type="dxa"/>
              <w:right w:w="28" w:type="dxa"/>
            </w:tcMar>
            <w:hideMark/>
          </w:tcPr>
          <w:p w:rsidRPr="00FC2616" w:rsidR="00FC14DC" w:rsidP="00FC14DC" w:rsidRDefault="00FC14DC" w14:paraId="019A05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1 300</w:t>
            </w:r>
          </w:p>
        </w:tc>
      </w:tr>
      <w:tr w:rsidRPr="00FC2616" w:rsidR="00FC14DC" w:rsidTr="00832102" w14:paraId="68B1893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1058D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FC2616" w:rsidR="00FC14DC" w:rsidP="00FC14DC" w:rsidRDefault="00FC14DC" w14:paraId="2D22FE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vAlign w:val="bottom"/>
            <w:hideMark/>
          </w:tcPr>
          <w:p w:rsidRPr="00FC2616" w:rsidR="00FC14DC" w:rsidP="00832102" w:rsidRDefault="00FC14DC" w14:paraId="3299A3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−3 000</w:t>
            </w:r>
          </w:p>
        </w:tc>
        <w:tc>
          <w:tcPr>
            <w:tcW w:w="1418" w:type="dxa"/>
            <w:shd w:val="clear" w:color="auto" w:fill="FFFFFF"/>
            <w:tcMar>
              <w:top w:w="68" w:type="dxa"/>
              <w:left w:w="28" w:type="dxa"/>
              <w:bottom w:w="0" w:type="dxa"/>
              <w:right w:w="28" w:type="dxa"/>
            </w:tcMar>
            <w:vAlign w:val="bottom"/>
            <w:hideMark/>
          </w:tcPr>
          <w:p w:rsidRPr="00FC2616" w:rsidR="00FC14DC" w:rsidP="00832102" w:rsidRDefault="00FC14DC" w14:paraId="4B209A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−3 000</w:t>
            </w:r>
          </w:p>
        </w:tc>
        <w:tc>
          <w:tcPr>
            <w:tcW w:w="1418" w:type="dxa"/>
            <w:shd w:val="clear" w:color="auto" w:fill="FFFFFF"/>
            <w:tcMar>
              <w:top w:w="68" w:type="dxa"/>
              <w:left w:w="28" w:type="dxa"/>
              <w:bottom w:w="0" w:type="dxa"/>
              <w:right w:w="28" w:type="dxa"/>
            </w:tcMar>
            <w:vAlign w:val="bottom"/>
            <w:hideMark/>
          </w:tcPr>
          <w:p w:rsidRPr="00FC2616" w:rsidR="00FC14DC" w:rsidP="00832102" w:rsidRDefault="00FC14DC" w14:paraId="3CD59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−3 000</w:t>
            </w:r>
          </w:p>
        </w:tc>
      </w:tr>
      <w:tr w:rsidRPr="00FC2616" w:rsidR="00FC14DC" w:rsidTr="00FC14DC" w14:paraId="2FA5E18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DE9FD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1:12</w:t>
            </w:r>
          </w:p>
        </w:tc>
        <w:tc>
          <w:tcPr>
            <w:tcW w:w="4139" w:type="dxa"/>
            <w:shd w:val="clear" w:color="auto" w:fill="FFFFFF"/>
            <w:tcMar>
              <w:top w:w="68" w:type="dxa"/>
              <w:left w:w="28" w:type="dxa"/>
              <w:bottom w:w="0" w:type="dxa"/>
              <w:right w:w="28" w:type="dxa"/>
            </w:tcMar>
            <w:hideMark/>
          </w:tcPr>
          <w:p w:rsidRPr="00FC2616" w:rsidR="00FC14DC" w:rsidP="00FC14DC" w:rsidRDefault="00FC14DC" w14:paraId="14B15D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hideMark/>
          </w:tcPr>
          <w:p w:rsidRPr="00FC2616" w:rsidR="00FC14DC" w:rsidP="00FC14DC" w:rsidRDefault="00FC14DC" w14:paraId="735ABA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31</w:t>
            </w:r>
          </w:p>
        </w:tc>
        <w:tc>
          <w:tcPr>
            <w:tcW w:w="1418" w:type="dxa"/>
            <w:shd w:val="clear" w:color="auto" w:fill="FFFFFF"/>
            <w:tcMar>
              <w:top w:w="68" w:type="dxa"/>
              <w:left w:w="28" w:type="dxa"/>
              <w:bottom w:w="0" w:type="dxa"/>
              <w:right w:w="28" w:type="dxa"/>
            </w:tcMar>
            <w:hideMark/>
          </w:tcPr>
          <w:p w:rsidRPr="00FC2616" w:rsidR="00FC14DC" w:rsidP="00FC14DC" w:rsidRDefault="00FC14DC" w14:paraId="7AA06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75</w:t>
            </w:r>
          </w:p>
        </w:tc>
        <w:tc>
          <w:tcPr>
            <w:tcW w:w="1418" w:type="dxa"/>
            <w:shd w:val="clear" w:color="auto" w:fill="FFFFFF"/>
            <w:tcMar>
              <w:top w:w="68" w:type="dxa"/>
              <w:left w:w="28" w:type="dxa"/>
              <w:bottom w:w="0" w:type="dxa"/>
              <w:right w:w="28" w:type="dxa"/>
            </w:tcMar>
            <w:hideMark/>
          </w:tcPr>
          <w:p w:rsidRPr="00FC2616" w:rsidR="00FC14DC" w:rsidP="00FC14DC" w:rsidRDefault="00FC14DC" w14:paraId="763022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75</w:t>
            </w:r>
          </w:p>
        </w:tc>
      </w:tr>
      <w:tr w:rsidRPr="00FC2616" w:rsidR="00FC14DC" w:rsidTr="00832102" w14:paraId="29916CCF"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9CAC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4:1</w:t>
            </w:r>
          </w:p>
        </w:tc>
        <w:tc>
          <w:tcPr>
            <w:tcW w:w="4139" w:type="dxa"/>
            <w:shd w:val="clear" w:color="auto" w:fill="FFFFFF"/>
            <w:tcMar>
              <w:top w:w="68" w:type="dxa"/>
              <w:left w:w="28" w:type="dxa"/>
              <w:bottom w:w="0" w:type="dxa"/>
              <w:right w:w="28" w:type="dxa"/>
            </w:tcMar>
            <w:hideMark/>
          </w:tcPr>
          <w:p w:rsidRPr="00FC2616" w:rsidR="00FC14DC" w:rsidP="00FC14DC" w:rsidRDefault="00FC14DC" w14:paraId="434E7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vAlign w:val="bottom"/>
            <w:hideMark/>
          </w:tcPr>
          <w:p w:rsidRPr="00FC2616" w:rsidR="00FC14DC" w:rsidP="00832102" w:rsidRDefault="00FC14DC" w14:paraId="33EF43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FC2616" w:rsidR="00FC14DC" w:rsidP="00832102" w:rsidRDefault="00FC14DC" w14:paraId="7CEF3D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FC2616" w:rsidR="00FC14DC" w:rsidP="00832102" w:rsidRDefault="00FC14DC" w14:paraId="010EA3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w:t>
            </w:r>
          </w:p>
        </w:tc>
      </w:tr>
      <w:tr w:rsidRPr="00FC2616" w:rsidR="00FC14DC" w:rsidTr="00FC14DC" w14:paraId="5BCE55A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B0801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4:4</w:t>
            </w:r>
          </w:p>
        </w:tc>
        <w:tc>
          <w:tcPr>
            <w:tcW w:w="4139" w:type="dxa"/>
            <w:shd w:val="clear" w:color="auto" w:fill="FFFFFF"/>
            <w:tcMar>
              <w:top w:w="68" w:type="dxa"/>
              <w:left w:w="28" w:type="dxa"/>
              <w:bottom w:w="0" w:type="dxa"/>
              <w:right w:w="28" w:type="dxa"/>
            </w:tcMar>
            <w:hideMark/>
          </w:tcPr>
          <w:p w:rsidRPr="00FC2616" w:rsidR="00FC14DC" w:rsidP="00FC14DC" w:rsidRDefault="00FC14DC" w14:paraId="0D227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hideMark/>
          </w:tcPr>
          <w:p w:rsidRPr="00FC2616" w:rsidR="00FC14DC" w:rsidP="00FC14DC" w:rsidRDefault="00FC14DC" w14:paraId="7E72B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170</w:t>
            </w:r>
          </w:p>
        </w:tc>
        <w:tc>
          <w:tcPr>
            <w:tcW w:w="1418" w:type="dxa"/>
            <w:shd w:val="clear" w:color="auto" w:fill="FFFFFF"/>
            <w:tcMar>
              <w:top w:w="68" w:type="dxa"/>
              <w:left w:w="28" w:type="dxa"/>
              <w:bottom w:w="0" w:type="dxa"/>
              <w:right w:w="28" w:type="dxa"/>
            </w:tcMar>
            <w:hideMark/>
          </w:tcPr>
          <w:p w:rsidRPr="00FC2616" w:rsidR="00FC14DC" w:rsidP="00FC14DC" w:rsidRDefault="00FC14DC" w14:paraId="11156A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170</w:t>
            </w:r>
          </w:p>
        </w:tc>
        <w:tc>
          <w:tcPr>
            <w:tcW w:w="1418" w:type="dxa"/>
            <w:shd w:val="clear" w:color="auto" w:fill="FFFFFF"/>
            <w:tcMar>
              <w:top w:w="68" w:type="dxa"/>
              <w:left w:w="28" w:type="dxa"/>
              <w:bottom w:w="0" w:type="dxa"/>
              <w:right w:w="28" w:type="dxa"/>
            </w:tcMar>
            <w:hideMark/>
          </w:tcPr>
          <w:p w:rsidRPr="00FC2616" w:rsidR="00FC14DC" w:rsidP="00FC14DC" w:rsidRDefault="00FC14DC" w14:paraId="7DB67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170</w:t>
            </w:r>
          </w:p>
        </w:tc>
      </w:tr>
      <w:tr w:rsidRPr="00FC2616" w:rsidR="00FC14DC" w:rsidTr="00FC14DC" w14:paraId="2FAD64A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5B8CA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4:5</w:t>
            </w:r>
          </w:p>
        </w:tc>
        <w:tc>
          <w:tcPr>
            <w:tcW w:w="4139" w:type="dxa"/>
            <w:shd w:val="clear" w:color="auto" w:fill="FFFFFF"/>
            <w:tcMar>
              <w:top w:w="68" w:type="dxa"/>
              <w:left w:w="28" w:type="dxa"/>
              <w:bottom w:w="0" w:type="dxa"/>
              <w:right w:w="28" w:type="dxa"/>
            </w:tcMar>
            <w:hideMark/>
          </w:tcPr>
          <w:p w:rsidRPr="00FC2616" w:rsidR="00FC14DC" w:rsidP="00FC14DC" w:rsidRDefault="00FC14DC" w14:paraId="6D48D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FC2616" w:rsidR="00FC14DC" w:rsidP="00FC14DC" w:rsidRDefault="00FC14DC" w14:paraId="1EDAC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49136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1 700</w:t>
            </w:r>
          </w:p>
        </w:tc>
        <w:tc>
          <w:tcPr>
            <w:tcW w:w="1418" w:type="dxa"/>
            <w:shd w:val="clear" w:color="auto" w:fill="FFFFFF"/>
            <w:tcMar>
              <w:top w:w="68" w:type="dxa"/>
              <w:left w:w="28" w:type="dxa"/>
              <w:bottom w:w="0" w:type="dxa"/>
              <w:right w:w="28" w:type="dxa"/>
            </w:tcMar>
            <w:hideMark/>
          </w:tcPr>
          <w:p w:rsidRPr="00FC2616" w:rsidR="00FC14DC" w:rsidP="00FC14DC" w:rsidRDefault="00FC14DC" w14:paraId="0930C9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1 700</w:t>
            </w:r>
          </w:p>
        </w:tc>
      </w:tr>
      <w:tr w:rsidRPr="00FC2616" w:rsidR="00FC14DC" w:rsidTr="00FC14DC" w14:paraId="39869A48"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9FAF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4:7</w:t>
            </w:r>
          </w:p>
        </w:tc>
        <w:tc>
          <w:tcPr>
            <w:tcW w:w="4139" w:type="dxa"/>
            <w:shd w:val="clear" w:color="auto" w:fill="FFFFFF"/>
            <w:tcMar>
              <w:top w:w="68" w:type="dxa"/>
              <w:left w:w="28" w:type="dxa"/>
              <w:bottom w:w="0" w:type="dxa"/>
              <w:right w:w="28" w:type="dxa"/>
            </w:tcMar>
            <w:hideMark/>
          </w:tcPr>
          <w:p w:rsidRPr="00FC2616" w:rsidR="00FC14DC" w:rsidP="00FC14DC" w:rsidRDefault="00FC14DC" w14:paraId="1B07C4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FC2616" w:rsidR="00FC14DC" w:rsidP="00FC14DC" w:rsidRDefault="00FC14DC" w14:paraId="1419B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421</w:t>
            </w:r>
          </w:p>
        </w:tc>
        <w:tc>
          <w:tcPr>
            <w:tcW w:w="1418" w:type="dxa"/>
            <w:shd w:val="clear" w:color="auto" w:fill="FFFFFF"/>
            <w:tcMar>
              <w:top w:w="68" w:type="dxa"/>
              <w:left w:w="28" w:type="dxa"/>
              <w:bottom w:w="0" w:type="dxa"/>
              <w:right w:w="28" w:type="dxa"/>
            </w:tcMar>
            <w:hideMark/>
          </w:tcPr>
          <w:p w:rsidRPr="00FC2616" w:rsidR="00FC14DC" w:rsidP="00FC14DC" w:rsidRDefault="00FC14DC" w14:paraId="39DBCC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210</w:t>
            </w:r>
          </w:p>
        </w:tc>
        <w:tc>
          <w:tcPr>
            <w:tcW w:w="1418" w:type="dxa"/>
            <w:shd w:val="clear" w:color="auto" w:fill="FFFFFF"/>
            <w:tcMar>
              <w:top w:w="68" w:type="dxa"/>
              <w:left w:w="28" w:type="dxa"/>
              <w:bottom w:w="0" w:type="dxa"/>
              <w:right w:w="28" w:type="dxa"/>
            </w:tcMar>
            <w:hideMark/>
          </w:tcPr>
          <w:p w:rsidRPr="00FC2616" w:rsidR="00FC14DC" w:rsidP="00FC14DC" w:rsidRDefault="00FC14DC" w14:paraId="4037D8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210</w:t>
            </w:r>
          </w:p>
        </w:tc>
      </w:tr>
      <w:tr w:rsidRPr="00FC2616" w:rsidR="00FC14DC" w:rsidTr="00832102" w14:paraId="6FC2D27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BD97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C2616" w:rsidR="00FC14DC" w:rsidP="00FC14DC" w:rsidRDefault="00FC14DC" w14:paraId="61D2B2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TBE-vaccin med högkostnadsskydd för vuxna och avgiftsfritt för barn</w:t>
            </w:r>
          </w:p>
        </w:tc>
        <w:tc>
          <w:tcPr>
            <w:tcW w:w="1418" w:type="dxa"/>
            <w:shd w:val="clear" w:color="auto" w:fill="FFFFFF"/>
            <w:tcMar>
              <w:top w:w="68" w:type="dxa"/>
              <w:left w:w="28" w:type="dxa"/>
              <w:bottom w:w="0" w:type="dxa"/>
              <w:right w:w="28" w:type="dxa"/>
            </w:tcMar>
            <w:vAlign w:val="bottom"/>
            <w:hideMark/>
          </w:tcPr>
          <w:p w:rsidRPr="00FC2616" w:rsidR="00FC14DC" w:rsidP="00832102" w:rsidRDefault="00FC14DC" w14:paraId="6B0549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C2616" w:rsidR="00FC14DC" w:rsidP="00832102" w:rsidRDefault="00FC14DC" w14:paraId="44E591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vAlign w:val="bottom"/>
            <w:hideMark/>
          </w:tcPr>
          <w:p w:rsidRPr="00FC2616" w:rsidR="00FC14DC" w:rsidP="00832102" w:rsidRDefault="00FC14DC" w14:paraId="360EC5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300</w:t>
            </w:r>
          </w:p>
        </w:tc>
      </w:tr>
      <w:tr w:rsidRPr="00FC2616" w:rsidR="00FC14DC" w:rsidTr="00FC14DC" w14:paraId="53FA8CD4"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01218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FC2616" w:rsidR="00FC14DC" w:rsidP="00FC14DC" w:rsidRDefault="00FC14DC" w14:paraId="71484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Nationellt center för post-covid och ME/CFS</w:t>
            </w:r>
          </w:p>
        </w:tc>
        <w:tc>
          <w:tcPr>
            <w:tcW w:w="1418" w:type="dxa"/>
            <w:shd w:val="clear" w:color="auto" w:fill="FFFFFF"/>
            <w:tcMar>
              <w:top w:w="68" w:type="dxa"/>
              <w:left w:w="28" w:type="dxa"/>
              <w:bottom w:w="0" w:type="dxa"/>
              <w:right w:w="28" w:type="dxa"/>
            </w:tcMar>
            <w:hideMark/>
          </w:tcPr>
          <w:p w:rsidRPr="00FC2616" w:rsidR="00FC14DC" w:rsidP="00FC14DC" w:rsidRDefault="00FC14DC" w14:paraId="7D22CE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3B4EF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604F0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r>
      <w:tr w:rsidRPr="00FC2616" w:rsidR="00FC14DC" w:rsidTr="00FC14DC" w14:paraId="51B01873"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DF978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99:3</w:t>
            </w:r>
          </w:p>
        </w:tc>
        <w:tc>
          <w:tcPr>
            <w:tcW w:w="4139" w:type="dxa"/>
            <w:shd w:val="clear" w:color="auto" w:fill="FFFFFF"/>
            <w:tcMar>
              <w:top w:w="68" w:type="dxa"/>
              <w:left w:w="28" w:type="dxa"/>
              <w:bottom w:w="0" w:type="dxa"/>
              <w:right w:w="28" w:type="dxa"/>
            </w:tcMar>
            <w:hideMark/>
          </w:tcPr>
          <w:p w:rsidRPr="00FC2616" w:rsidR="00FC14DC" w:rsidP="00FC14DC" w:rsidRDefault="00FC14DC" w14:paraId="7694B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Nationellt vaccinprogram för äldre</w:t>
            </w:r>
          </w:p>
        </w:tc>
        <w:tc>
          <w:tcPr>
            <w:tcW w:w="1418" w:type="dxa"/>
            <w:shd w:val="clear" w:color="auto" w:fill="FFFFFF"/>
            <w:tcMar>
              <w:top w:w="68" w:type="dxa"/>
              <w:left w:w="28" w:type="dxa"/>
              <w:bottom w:w="0" w:type="dxa"/>
              <w:right w:w="28" w:type="dxa"/>
            </w:tcMar>
            <w:hideMark/>
          </w:tcPr>
          <w:p w:rsidRPr="00FC2616" w:rsidR="00FC14DC" w:rsidP="00FC14DC" w:rsidRDefault="00FC14DC" w14:paraId="428E4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110</w:t>
            </w:r>
          </w:p>
        </w:tc>
        <w:tc>
          <w:tcPr>
            <w:tcW w:w="1418" w:type="dxa"/>
            <w:shd w:val="clear" w:color="auto" w:fill="FFFFFF"/>
            <w:tcMar>
              <w:top w:w="68" w:type="dxa"/>
              <w:left w:w="28" w:type="dxa"/>
              <w:bottom w:w="0" w:type="dxa"/>
              <w:right w:w="28" w:type="dxa"/>
            </w:tcMar>
            <w:hideMark/>
          </w:tcPr>
          <w:p w:rsidRPr="00FC2616" w:rsidR="00FC14DC" w:rsidP="00FC14DC" w:rsidRDefault="00FC14DC" w14:paraId="679753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110</w:t>
            </w:r>
          </w:p>
        </w:tc>
        <w:tc>
          <w:tcPr>
            <w:tcW w:w="1418" w:type="dxa"/>
            <w:shd w:val="clear" w:color="auto" w:fill="FFFFFF"/>
            <w:tcMar>
              <w:top w:w="68" w:type="dxa"/>
              <w:left w:w="28" w:type="dxa"/>
              <w:bottom w:w="0" w:type="dxa"/>
              <w:right w:w="28" w:type="dxa"/>
            </w:tcMar>
            <w:hideMark/>
          </w:tcPr>
          <w:p w:rsidRPr="00FC2616" w:rsidR="00FC14DC" w:rsidP="00FC14DC" w:rsidRDefault="00FC14DC" w14:paraId="33795B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110</w:t>
            </w:r>
          </w:p>
        </w:tc>
      </w:tr>
      <w:tr w:rsidRPr="00FC2616" w:rsidR="00FC14DC" w:rsidTr="00FC14DC" w14:paraId="47F1182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6BA6C3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79B6A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−553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0402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6 091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7E003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5 591</w:t>
            </w:r>
          </w:p>
        </w:tc>
      </w:tr>
    </w:tbl>
    <w:p w:rsidRPr="006406BC" w:rsidR="00FC14DC" w:rsidP="006406BC" w:rsidRDefault="00FC14DC" w14:paraId="78C04230" w14:textId="52D4C9D2">
      <w:pPr>
        <w:pStyle w:val="Tabellrubrik"/>
        <w:spacing w:before="300"/>
      </w:pPr>
      <w:r w:rsidRPr="006406BC">
        <w:t>Avvikelser gentemot regeringen för utgiftsområde 10 Ekonomisk trygghet vid sjukdom och funktionsnedsättning</w:t>
      </w:r>
    </w:p>
    <w:p w:rsidRPr="006406BC" w:rsidR="00FC14DC" w:rsidP="006406BC" w:rsidRDefault="00FC14DC" w14:paraId="02B81F6E" w14:textId="77777777">
      <w:pPr>
        <w:pStyle w:val="Tabellunderrubrik"/>
      </w:pPr>
      <w:r w:rsidRPr="006406BC">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2"/>
        <w:gridCol w:w="1380"/>
        <w:gridCol w:w="1380"/>
        <w:gridCol w:w="1384"/>
      </w:tblGrid>
      <w:tr w:rsidRPr="00FC2616" w:rsidR="00FC14DC" w:rsidTr="00FC14DC" w14:paraId="63CB22A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6C9A795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7D2D78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4733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71F063E5"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02FE7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77591A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057B1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F37B3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6E09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48F6ECC0"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2E352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10 Ekonomisk trygghet vid sjukdom och funktionsnedsättning</w:t>
            </w:r>
          </w:p>
        </w:tc>
      </w:tr>
      <w:tr w:rsidRPr="00FC2616" w:rsidR="00FC14DC" w:rsidTr="00FC14DC" w14:paraId="0D78D4B0"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3E56B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536185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FC2616" w:rsidR="00FC14DC" w:rsidP="00FC14DC" w:rsidRDefault="00FC14DC" w14:paraId="5F53D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3 925</w:t>
            </w:r>
          </w:p>
        </w:tc>
        <w:tc>
          <w:tcPr>
            <w:tcW w:w="1418" w:type="dxa"/>
            <w:shd w:val="clear" w:color="auto" w:fill="FFFFFF"/>
            <w:tcMar>
              <w:top w:w="68" w:type="dxa"/>
              <w:left w:w="28" w:type="dxa"/>
              <w:bottom w:w="0" w:type="dxa"/>
              <w:right w:w="28" w:type="dxa"/>
            </w:tcMar>
            <w:hideMark/>
          </w:tcPr>
          <w:p w:rsidRPr="00FC2616" w:rsidR="00FC14DC" w:rsidP="00FC14DC" w:rsidRDefault="00FC14DC" w14:paraId="2FC259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5 265</w:t>
            </w:r>
          </w:p>
        </w:tc>
        <w:tc>
          <w:tcPr>
            <w:tcW w:w="1418" w:type="dxa"/>
            <w:shd w:val="clear" w:color="auto" w:fill="FFFFFF"/>
            <w:tcMar>
              <w:top w:w="68" w:type="dxa"/>
              <w:left w:w="28" w:type="dxa"/>
              <w:bottom w:w="0" w:type="dxa"/>
              <w:right w:w="28" w:type="dxa"/>
            </w:tcMar>
            <w:hideMark/>
          </w:tcPr>
          <w:p w:rsidRPr="00FC2616" w:rsidR="00FC14DC" w:rsidP="00FC14DC" w:rsidRDefault="00FC14DC" w14:paraId="4DE2B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6 613</w:t>
            </w:r>
          </w:p>
        </w:tc>
      </w:tr>
      <w:tr w:rsidRPr="00FC2616" w:rsidR="00FC14DC" w:rsidTr="00FC14DC" w14:paraId="5A13309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F840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37AE8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FC2616" w:rsidR="00FC14DC" w:rsidP="00FC14DC" w:rsidRDefault="00FC14DC" w14:paraId="3D14C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4 100</w:t>
            </w:r>
          </w:p>
        </w:tc>
        <w:tc>
          <w:tcPr>
            <w:tcW w:w="1418" w:type="dxa"/>
            <w:shd w:val="clear" w:color="auto" w:fill="FFFFFF"/>
            <w:tcMar>
              <w:top w:w="68" w:type="dxa"/>
              <w:left w:w="28" w:type="dxa"/>
              <w:bottom w:w="0" w:type="dxa"/>
              <w:right w:w="28" w:type="dxa"/>
            </w:tcMar>
            <w:hideMark/>
          </w:tcPr>
          <w:p w:rsidRPr="00FC2616" w:rsidR="00FC14DC" w:rsidP="00FC14DC" w:rsidRDefault="00FC14DC" w14:paraId="60D64F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4 400</w:t>
            </w:r>
          </w:p>
        </w:tc>
        <w:tc>
          <w:tcPr>
            <w:tcW w:w="1418" w:type="dxa"/>
            <w:shd w:val="clear" w:color="auto" w:fill="FFFFFF"/>
            <w:tcMar>
              <w:top w:w="68" w:type="dxa"/>
              <w:left w:w="28" w:type="dxa"/>
              <w:bottom w:w="0" w:type="dxa"/>
              <w:right w:w="28" w:type="dxa"/>
            </w:tcMar>
            <w:hideMark/>
          </w:tcPr>
          <w:p w:rsidRPr="00FC2616" w:rsidR="00FC14DC" w:rsidP="00FC14DC" w:rsidRDefault="00FC14DC" w14:paraId="18B45A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4 400</w:t>
            </w:r>
          </w:p>
        </w:tc>
      </w:tr>
      <w:tr w:rsidRPr="00FC2616" w:rsidR="00FC14DC" w:rsidTr="00FC14DC" w14:paraId="4BA89D0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2D3BE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F6AF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8 025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5A75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9 665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0AF2E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11 013</w:t>
            </w:r>
          </w:p>
        </w:tc>
      </w:tr>
    </w:tbl>
    <w:p w:rsidRPr="006406BC" w:rsidR="00FC14DC" w:rsidP="006406BC" w:rsidRDefault="00FC14DC" w14:paraId="0655D38D" w14:textId="74CC7C2A">
      <w:pPr>
        <w:pStyle w:val="Tabellrubrik"/>
        <w:spacing w:before="300"/>
      </w:pPr>
      <w:r w:rsidRPr="006406BC">
        <w:lastRenderedPageBreak/>
        <w:t>Avvikelser gentemot regeringen för utgiftsområde 11 Ekonomisk trygghet vid ålderdom</w:t>
      </w:r>
    </w:p>
    <w:p w:rsidRPr="006406BC" w:rsidR="00FC14DC" w:rsidP="006406BC" w:rsidRDefault="00FC14DC" w14:paraId="25A183DE" w14:textId="77777777">
      <w:pPr>
        <w:pStyle w:val="Tabellunderrubrik"/>
      </w:pPr>
      <w:r w:rsidRPr="006406BC">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9"/>
        <w:gridCol w:w="1358"/>
        <w:gridCol w:w="1368"/>
        <w:gridCol w:w="1368"/>
      </w:tblGrid>
      <w:tr w:rsidRPr="00FC2616" w:rsidR="00FC14DC" w:rsidTr="00FC14DC" w14:paraId="3C4B040E"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404CA59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779E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7AFFA4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2C6ED5ED"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24E76A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5CEE5D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F883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6C16F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5F112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481F2E28"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3311A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11 Ekonomisk trygghet vid ålderdom</w:t>
            </w:r>
          </w:p>
        </w:tc>
      </w:tr>
      <w:tr w:rsidRPr="00FC2616" w:rsidR="00FC14DC" w:rsidTr="00FC14DC" w14:paraId="7E18102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F3A8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345DA5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FC2616" w:rsidR="00FC14DC" w:rsidP="00FC14DC" w:rsidRDefault="00FC14DC" w14:paraId="07982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737C79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−2 850</w:t>
            </w:r>
          </w:p>
        </w:tc>
        <w:tc>
          <w:tcPr>
            <w:tcW w:w="1418" w:type="dxa"/>
            <w:shd w:val="clear" w:color="auto" w:fill="FFFFFF"/>
            <w:tcMar>
              <w:top w:w="68" w:type="dxa"/>
              <w:left w:w="28" w:type="dxa"/>
              <w:bottom w:w="0" w:type="dxa"/>
              <w:right w:w="28" w:type="dxa"/>
            </w:tcMar>
            <w:hideMark/>
          </w:tcPr>
          <w:p w:rsidRPr="00FC2616" w:rsidR="00FC14DC" w:rsidP="00FC14DC" w:rsidRDefault="00FC14DC" w14:paraId="0950DC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−4 500</w:t>
            </w:r>
          </w:p>
        </w:tc>
      </w:tr>
      <w:tr w:rsidRPr="00FC2616" w:rsidR="00FC14DC" w:rsidTr="00FC14DC" w14:paraId="79D6AE50"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C31AC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C2616" w:rsidR="00FC14DC" w:rsidP="00FC14DC" w:rsidRDefault="00FC14DC" w14:paraId="18C2B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FC2616" w:rsidR="00FC14DC" w:rsidP="00FC14DC" w:rsidRDefault="00FC14DC" w14:paraId="00941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4C77E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−900</w:t>
            </w:r>
          </w:p>
        </w:tc>
        <w:tc>
          <w:tcPr>
            <w:tcW w:w="1418" w:type="dxa"/>
            <w:shd w:val="clear" w:color="auto" w:fill="FFFFFF"/>
            <w:tcMar>
              <w:top w:w="68" w:type="dxa"/>
              <w:left w:w="28" w:type="dxa"/>
              <w:bottom w:w="0" w:type="dxa"/>
              <w:right w:w="28" w:type="dxa"/>
            </w:tcMar>
            <w:hideMark/>
          </w:tcPr>
          <w:p w:rsidRPr="00FC2616" w:rsidR="00FC14DC" w:rsidP="00FC14DC" w:rsidRDefault="00FC14DC" w14:paraId="2FFF8D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−1 425</w:t>
            </w:r>
          </w:p>
        </w:tc>
      </w:tr>
      <w:tr w:rsidRPr="00FC2616" w:rsidR="00FC14DC" w:rsidTr="00FC14DC" w14:paraId="71267E33"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BEA2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C2616" w:rsidR="00FC14DC" w:rsidP="00FC14DC" w:rsidRDefault="00FC14DC" w14:paraId="20C680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Inkomstpensionstillägg</w:t>
            </w:r>
          </w:p>
        </w:tc>
        <w:tc>
          <w:tcPr>
            <w:tcW w:w="1418" w:type="dxa"/>
            <w:shd w:val="clear" w:color="auto" w:fill="FFFFFF"/>
            <w:tcMar>
              <w:top w:w="68" w:type="dxa"/>
              <w:left w:w="28" w:type="dxa"/>
              <w:bottom w:w="0" w:type="dxa"/>
              <w:right w:w="28" w:type="dxa"/>
            </w:tcMar>
            <w:hideMark/>
          </w:tcPr>
          <w:p w:rsidRPr="00FC2616" w:rsidR="00FC14DC" w:rsidP="00FC14DC" w:rsidRDefault="00FC14DC" w14:paraId="7A299E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29AE88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hideMark/>
          </w:tcPr>
          <w:p w:rsidRPr="00FC2616" w:rsidR="00FC14DC" w:rsidP="00FC14DC" w:rsidRDefault="00FC14DC" w14:paraId="27B54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−900</w:t>
            </w:r>
          </w:p>
        </w:tc>
      </w:tr>
      <w:tr w:rsidRPr="00FC2616" w:rsidR="00FC14DC" w:rsidTr="00FC14DC" w14:paraId="7DBC8639"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CC45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C2616" w:rsidR="00FC14DC" w:rsidP="00FC14DC" w:rsidRDefault="00FC14DC" w14:paraId="438D7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Höjd inkomstpension</w:t>
            </w:r>
          </w:p>
        </w:tc>
        <w:tc>
          <w:tcPr>
            <w:tcW w:w="1418" w:type="dxa"/>
            <w:shd w:val="clear" w:color="auto" w:fill="FFFFFF"/>
            <w:tcMar>
              <w:top w:w="68" w:type="dxa"/>
              <w:left w:w="28" w:type="dxa"/>
              <w:bottom w:w="0" w:type="dxa"/>
              <w:right w:w="28" w:type="dxa"/>
            </w:tcMar>
            <w:hideMark/>
          </w:tcPr>
          <w:p w:rsidRPr="00FC2616" w:rsidR="00FC14DC" w:rsidP="00FC14DC" w:rsidRDefault="00FC14DC" w14:paraId="255D02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7C4482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4 225</w:t>
            </w:r>
          </w:p>
        </w:tc>
        <w:tc>
          <w:tcPr>
            <w:tcW w:w="1418" w:type="dxa"/>
            <w:shd w:val="clear" w:color="auto" w:fill="FFFFFF"/>
            <w:tcMar>
              <w:top w:w="68" w:type="dxa"/>
              <w:left w:w="28" w:type="dxa"/>
              <w:bottom w:w="0" w:type="dxa"/>
              <w:right w:w="28" w:type="dxa"/>
            </w:tcMar>
            <w:hideMark/>
          </w:tcPr>
          <w:p w:rsidRPr="00FC2616" w:rsidR="00FC14DC" w:rsidP="00FC14DC" w:rsidRDefault="00FC14DC" w14:paraId="6B497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17 275</w:t>
            </w:r>
          </w:p>
        </w:tc>
      </w:tr>
      <w:tr w:rsidRPr="00FC2616" w:rsidR="00FC14DC" w:rsidTr="00FC14DC" w14:paraId="44F33DD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44763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68ED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0454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C3EE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10 450</w:t>
            </w:r>
          </w:p>
        </w:tc>
      </w:tr>
    </w:tbl>
    <w:p w:rsidRPr="006406BC" w:rsidR="00FC14DC" w:rsidP="006406BC" w:rsidRDefault="00FC14DC" w14:paraId="22CB6BCE" w14:textId="24D0CF32">
      <w:pPr>
        <w:pStyle w:val="Tabellrubrik"/>
        <w:spacing w:before="300"/>
      </w:pPr>
      <w:r w:rsidRPr="006406BC">
        <w:t>Avvikelser gentemot regeringen för utgiftsområde 12 Ekonomisk trygghet för familjer och barn</w:t>
      </w:r>
    </w:p>
    <w:p w:rsidRPr="006406BC" w:rsidR="00FC14DC" w:rsidP="006406BC" w:rsidRDefault="00FC14DC" w14:paraId="70F389BC" w14:textId="77777777">
      <w:pPr>
        <w:pStyle w:val="Tabellunderrubrik"/>
      </w:pPr>
      <w:r w:rsidRPr="006406BC">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9"/>
        <w:gridCol w:w="1379"/>
        <w:gridCol w:w="1379"/>
        <w:gridCol w:w="1379"/>
      </w:tblGrid>
      <w:tr w:rsidRPr="00FC2616" w:rsidR="00FC14DC" w:rsidTr="00FC14DC" w14:paraId="0C7D434E"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49F7F19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47FB6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3931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27EF0CA7"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3C8BC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5AA6C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BD65D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9DD2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49A8B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6002CC2B"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18C53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12 Ekonomisk trygghet för familjer och barn</w:t>
            </w:r>
          </w:p>
        </w:tc>
      </w:tr>
      <w:tr w:rsidRPr="00FC2616" w:rsidR="00FC14DC" w:rsidTr="00FC14DC" w14:paraId="7F37704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65F6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75084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FC2616" w:rsidR="00FC14DC" w:rsidP="00FC14DC" w:rsidRDefault="00FC14DC" w14:paraId="5A55A8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2 100</w:t>
            </w:r>
          </w:p>
        </w:tc>
        <w:tc>
          <w:tcPr>
            <w:tcW w:w="1418" w:type="dxa"/>
            <w:shd w:val="clear" w:color="auto" w:fill="FFFFFF"/>
            <w:tcMar>
              <w:top w:w="68" w:type="dxa"/>
              <w:left w:w="28" w:type="dxa"/>
              <w:bottom w:w="0" w:type="dxa"/>
              <w:right w:w="28" w:type="dxa"/>
            </w:tcMar>
            <w:hideMark/>
          </w:tcPr>
          <w:p w:rsidRPr="00FC2616" w:rsidR="00FC14DC" w:rsidP="00FC14DC" w:rsidRDefault="00FC14DC" w14:paraId="233B8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3CBB7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543514D4"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CDC62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7DC3BC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FC2616" w:rsidR="00FC14DC" w:rsidP="00FC14DC" w:rsidRDefault="00FC14DC" w14:paraId="59123A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2 325</w:t>
            </w:r>
          </w:p>
        </w:tc>
        <w:tc>
          <w:tcPr>
            <w:tcW w:w="1418" w:type="dxa"/>
            <w:shd w:val="clear" w:color="auto" w:fill="FFFFFF"/>
            <w:tcMar>
              <w:top w:w="68" w:type="dxa"/>
              <w:left w:w="28" w:type="dxa"/>
              <w:bottom w:w="0" w:type="dxa"/>
              <w:right w:w="28" w:type="dxa"/>
            </w:tcMar>
            <w:hideMark/>
          </w:tcPr>
          <w:p w:rsidRPr="00FC2616" w:rsidR="00FC14DC" w:rsidP="00FC14DC" w:rsidRDefault="00FC14DC" w14:paraId="2B4A0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3 555</w:t>
            </w:r>
          </w:p>
        </w:tc>
        <w:tc>
          <w:tcPr>
            <w:tcW w:w="1418" w:type="dxa"/>
            <w:shd w:val="clear" w:color="auto" w:fill="FFFFFF"/>
            <w:tcMar>
              <w:top w:w="68" w:type="dxa"/>
              <w:left w:w="28" w:type="dxa"/>
              <w:bottom w:w="0" w:type="dxa"/>
              <w:right w:w="28" w:type="dxa"/>
            </w:tcMar>
            <w:hideMark/>
          </w:tcPr>
          <w:p w:rsidRPr="00FC2616" w:rsidR="00FC14DC" w:rsidP="00FC14DC" w:rsidRDefault="00FC14DC" w14:paraId="5194CA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4 893</w:t>
            </w:r>
          </w:p>
        </w:tc>
      </w:tr>
      <w:tr w:rsidRPr="00FC2616" w:rsidR="00FC14DC" w:rsidTr="00FC14DC" w14:paraId="423DA718"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36CFA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C2616" w:rsidR="00FC14DC" w:rsidP="00FC14DC" w:rsidRDefault="00FC14DC" w14:paraId="56D6F4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FC2616" w:rsidR="00FC14DC" w:rsidP="00FC14DC" w:rsidRDefault="00FC14DC" w14:paraId="0F6479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FC2616" w:rsidR="00FC14DC" w:rsidP="00FC14DC" w:rsidRDefault="00FC14DC" w14:paraId="1C8912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FC2616" w:rsidR="00FC14DC" w:rsidP="00FC14DC" w:rsidRDefault="00FC14DC" w14:paraId="518A5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r>
      <w:tr w:rsidRPr="00FC2616" w:rsidR="00FC14DC" w:rsidTr="00FC14DC" w14:paraId="793F6E9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52401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EC97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4 325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319C6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3 455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ED054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4 793</w:t>
            </w:r>
          </w:p>
        </w:tc>
      </w:tr>
    </w:tbl>
    <w:p w:rsidRPr="006406BC" w:rsidR="00FC14DC" w:rsidP="006406BC" w:rsidRDefault="00FC14DC" w14:paraId="52956A77" w14:textId="5713849C">
      <w:pPr>
        <w:pStyle w:val="Tabellrubrik"/>
        <w:spacing w:before="300"/>
      </w:pPr>
      <w:r w:rsidRPr="006406BC">
        <w:t>Avvikelser gentemot regeringen för utgiftsområde 13 Jämställdhet och nyanlända invandrares etablering</w:t>
      </w:r>
    </w:p>
    <w:p w:rsidRPr="006406BC" w:rsidR="00FC14DC" w:rsidP="006406BC" w:rsidRDefault="00FC14DC" w14:paraId="4922290D" w14:textId="77777777">
      <w:pPr>
        <w:pStyle w:val="Tabellunderrubrik"/>
      </w:pPr>
      <w:r w:rsidRPr="006406BC">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3"/>
        <w:gridCol w:w="1378"/>
        <w:gridCol w:w="1378"/>
        <w:gridCol w:w="1378"/>
      </w:tblGrid>
      <w:tr w:rsidRPr="00FC2616" w:rsidR="00FC14DC" w:rsidTr="00FC14DC" w14:paraId="2D0297E9"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3E8DBF0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EE71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631EB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5CC09752"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578AA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7CB622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2557B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460C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F5D6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5EE181D7"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637A1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13 Jämställdhet och nyanlända invandrares etablering</w:t>
            </w:r>
          </w:p>
        </w:tc>
      </w:tr>
      <w:tr w:rsidRPr="00FC2616" w:rsidR="00FC14DC" w:rsidTr="00FC14DC" w14:paraId="67BD7350"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C3F10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6A6391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FC2616" w:rsidR="00FC14DC" w:rsidP="00FC14DC" w:rsidRDefault="00FC14DC" w14:paraId="08E14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957</w:t>
            </w:r>
          </w:p>
        </w:tc>
        <w:tc>
          <w:tcPr>
            <w:tcW w:w="1418" w:type="dxa"/>
            <w:shd w:val="clear" w:color="auto" w:fill="FFFFFF"/>
            <w:tcMar>
              <w:top w:w="68" w:type="dxa"/>
              <w:left w:w="28" w:type="dxa"/>
              <w:bottom w:w="0" w:type="dxa"/>
              <w:right w:w="28" w:type="dxa"/>
            </w:tcMar>
            <w:hideMark/>
          </w:tcPr>
          <w:p w:rsidRPr="00FC2616" w:rsidR="00FC14DC" w:rsidP="00FC14DC" w:rsidRDefault="00FC14DC" w14:paraId="467EB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1 340</w:t>
            </w:r>
          </w:p>
        </w:tc>
        <w:tc>
          <w:tcPr>
            <w:tcW w:w="1418" w:type="dxa"/>
            <w:shd w:val="clear" w:color="auto" w:fill="FFFFFF"/>
            <w:tcMar>
              <w:top w:w="68" w:type="dxa"/>
              <w:left w:w="28" w:type="dxa"/>
              <w:bottom w:w="0" w:type="dxa"/>
              <w:right w:w="28" w:type="dxa"/>
            </w:tcMar>
            <w:hideMark/>
          </w:tcPr>
          <w:p w:rsidRPr="00FC2616" w:rsidR="00FC14DC" w:rsidP="00FC14DC" w:rsidRDefault="00FC14DC" w14:paraId="054FF6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1 569</w:t>
            </w:r>
          </w:p>
        </w:tc>
      </w:tr>
      <w:tr w:rsidRPr="00FC2616" w:rsidR="00FC14DC" w:rsidTr="00FC14DC" w14:paraId="5BA75DD4"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9FDC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3:1</w:t>
            </w:r>
          </w:p>
        </w:tc>
        <w:tc>
          <w:tcPr>
            <w:tcW w:w="4139" w:type="dxa"/>
            <w:shd w:val="clear" w:color="auto" w:fill="FFFFFF"/>
            <w:tcMar>
              <w:top w:w="68" w:type="dxa"/>
              <w:left w:w="28" w:type="dxa"/>
              <w:bottom w:w="0" w:type="dxa"/>
              <w:right w:w="28" w:type="dxa"/>
            </w:tcMar>
            <w:hideMark/>
          </w:tcPr>
          <w:p w:rsidRPr="00FC2616" w:rsidR="00FC14DC" w:rsidP="00FC14DC" w:rsidRDefault="00FC14DC" w14:paraId="4725B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FC2616" w:rsidR="00FC14DC" w:rsidP="00FC14DC" w:rsidRDefault="00FC14DC" w14:paraId="0D359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5B8CE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48681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r>
      <w:tr w:rsidRPr="00FC2616" w:rsidR="00FC14DC" w:rsidTr="00FC14DC" w14:paraId="4B62629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3EC76F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418C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1 007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49E9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1 390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44F90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1 619</w:t>
            </w:r>
          </w:p>
        </w:tc>
      </w:tr>
    </w:tbl>
    <w:p w:rsidRPr="006406BC" w:rsidR="00FC14DC" w:rsidP="006406BC" w:rsidRDefault="00FC14DC" w14:paraId="1960CCE6" w14:textId="7724F34A">
      <w:pPr>
        <w:pStyle w:val="Tabellrubrik"/>
        <w:spacing w:before="300"/>
      </w:pPr>
      <w:r w:rsidRPr="006406BC">
        <w:t>Avvikelser gentemot regeringen för utgiftsområde 14 Arbetsmarknad och arbetsliv</w:t>
      </w:r>
    </w:p>
    <w:p w:rsidRPr="00FC2616" w:rsidR="00FC14DC" w:rsidP="00FC14DC" w:rsidRDefault="00FC14DC" w14:paraId="31A1429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FC2616">
        <w:rPr>
          <w:rFonts w:ascii="Times New Roman" w:hAnsi="Times New Roman" w:eastAsia="Times New Roman" w:cs="Times New Roman"/>
          <w:i/>
          <w:iCs/>
          <w:color w:val="000000"/>
          <w:kern w:val="0"/>
          <w:sz w:val="20"/>
          <w:szCs w:val="20"/>
          <w:lang w:eastAsia="sv-SE"/>
          <w14:numSpacing w14:val="default"/>
        </w:rPr>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22"/>
        <w:gridCol w:w="1357"/>
        <w:gridCol w:w="1357"/>
        <w:gridCol w:w="1357"/>
      </w:tblGrid>
      <w:tr w:rsidRPr="00FC2616" w:rsidR="00FC14DC" w:rsidTr="00787D6C" w14:paraId="2681E176"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285373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BA3D2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76D362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787D6C" w14:paraId="1866EBA6"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5FB32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77A92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0799E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4C63A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3BD83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07383A14"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3F6B01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14 Arbetsmarknad och arbetsliv</w:t>
            </w:r>
          </w:p>
        </w:tc>
      </w:tr>
      <w:tr w:rsidRPr="00FC2616" w:rsidR="00FC14DC" w:rsidTr="00FC14DC" w14:paraId="000FEF35"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318CB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394BD2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FC2616" w:rsidR="00FC14DC" w:rsidP="00FC14DC" w:rsidRDefault="00FC14DC" w14:paraId="2CDDC3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1 500</w:t>
            </w:r>
          </w:p>
        </w:tc>
        <w:tc>
          <w:tcPr>
            <w:tcW w:w="1418" w:type="dxa"/>
            <w:shd w:val="clear" w:color="auto" w:fill="FFFFFF"/>
            <w:tcMar>
              <w:top w:w="68" w:type="dxa"/>
              <w:left w:w="28" w:type="dxa"/>
              <w:bottom w:w="0" w:type="dxa"/>
              <w:right w:w="28" w:type="dxa"/>
            </w:tcMar>
            <w:hideMark/>
          </w:tcPr>
          <w:p w:rsidRPr="00FC2616" w:rsidR="00FC14DC" w:rsidP="00FC14DC" w:rsidRDefault="00FC14DC" w14:paraId="52B0A6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2 500</w:t>
            </w:r>
          </w:p>
        </w:tc>
        <w:tc>
          <w:tcPr>
            <w:tcW w:w="1418" w:type="dxa"/>
            <w:shd w:val="clear" w:color="auto" w:fill="FFFFFF"/>
            <w:tcMar>
              <w:top w:w="68" w:type="dxa"/>
              <w:left w:w="28" w:type="dxa"/>
              <w:bottom w:w="0" w:type="dxa"/>
              <w:right w:w="28" w:type="dxa"/>
            </w:tcMar>
            <w:hideMark/>
          </w:tcPr>
          <w:p w:rsidRPr="00FC2616" w:rsidR="00FC14DC" w:rsidP="00FC14DC" w:rsidRDefault="00FC14DC" w14:paraId="5DE39D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3 000</w:t>
            </w:r>
          </w:p>
        </w:tc>
      </w:tr>
      <w:tr w:rsidRPr="00FC2616" w:rsidR="00FC14DC" w:rsidTr="00E536E1" w14:paraId="24849C6D"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E586D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2160C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186C58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8 230</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0F9886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9 980</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69595E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10 410</w:t>
            </w:r>
          </w:p>
        </w:tc>
      </w:tr>
      <w:tr w:rsidRPr="00FC2616" w:rsidR="00FC14DC" w:rsidTr="00E536E1" w14:paraId="09C773A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E71C8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C2616" w:rsidR="00FC14DC" w:rsidP="00FC14DC" w:rsidRDefault="00FC14DC" w14:paraId="3E1C4A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5E61A3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2 535</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62D5D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2 206</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3FBB26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3 238</w:t>
            </w:r>
          </w:p>
        </w:tc>
      </w:tr>
      <w:tr w:rsidRPr="00FC2616" w:rsidR="00FC14DC" w:rsidTr="00FC14DC" w14:paraId="41D08965"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3AC4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C2616" w:rsidR="00FC14DC" w:rsidP="00FC14DC" w:rsidRDefault="00FC14DC" w14:paraId="4451D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FC2616" w:rsidR="00FC14DC" w:rsidP="00FC14DC" w:rsidRDefault="00FC14DC" w14:paraId="11D679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6C0480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FC2616" w:rsidR="00FC14DC" w:rsidP="00FC14DC" w:rsidRDefault="00FC14DC" w14:paraId="03C89A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1 500</w:t>
            </w:r>
          </w:p>
        </w:tc>
      </w:tr>
      <w:tr w:rsidRPr="00FC2616" w:rsidR="00FC14DC" w:rsidTr="00E536E1" w14:paraId="43F5CF1C"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833AC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1:13</w:t>
            </w:r>
          </w:p>
        </w:tc>
        <w:tc>
          <w:tcPr>
            <w:tcW w:w="4139" w:type="dxa"/>
            <w:shd w:val="clear" w:color="auto" w:fill="FFFFFF"/>
            <w:tcMar>
              <w:top w:w="68" w:type="dxa"/>
              <w:left w:w="28" w:type="dxa"/>
              <w:bottom w:w="0" w:type="dxa"/>
              <w:right w:w="28" w:type="dxa"/>
            </w:tcMar>
            <w:hideMark/>
          </w:tcPr>
          <w:p w:rsidRPr="00FC2616" w:rsidR="00FC14DC" w:rsidP="00FC14DC" w:rsidRDefault="00FC14DC" w14:paraId="71725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4A138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6951BA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7F719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2 300</w:t>
            </w:r>
          </w:p>
        </w:tc>
      </w:tr>
      <w:tr w:rsidRPr="00FC2616" w:rsidR="00FC14DC" w:rsidTr="00E536E1" w14:paraId="09EFF9AC"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8172B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1:14</w:t>
            </w:r>
          </w:p>
        </w:tc>
        <w:tc>
          <w:tcPr>
            <w:tcW w:w="4139" w:type="dxa"/>
            <w:shd w:val="clear" w:color="auto" w:fill="FFFFFF"/>
            <w:tcMar>
              <w:top w:w="68" w:type="dxa"/>
              <w:left w:w="28" w:type="dxa"/>
              <w:bottom w:w="0" w:type="dxa"/>
              <w:right w:w="28" w:type="dxa"/>
            </w:tcMar>
            <w:hideMark/>
          </w:tcPr>
          <w:p w:rsidRPr="00FC2616" w:rsidR="00FC14DC" w:rsidP="00FC14DC" w:rsidRDefault="00FC14DC" w14:paraId="3BDC8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16AD3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535</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0E097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1 397</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1C692C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2 078</w:t>
            </w:r>
          </w:p>
        </w:tc>
      </w:tr>
      <w:tr w:rsidRPr="00FC2616" w:rsidR="00FC14DC" w:rsidTr="00FC14DC" w14:paraId="22B76349"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649F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lastRenderedPageBreak/>
              <w:t>2:1</w:t>
            </w:r>
          </w:p>
        </w:tc>
        <w:tc>
          <w:tcPr>
            <w:tcW w:w="4139" w:type="dxa"/>
            <w:shd w:val="clear" w:color="auto" w:fill="FFFFFF"/>
            <w:tcMar>
              <w:top w:w="68" w:type="dxa"/>
              <w:left w:w="28" w:type="dxa"/>
              <w:bottom w:w="0" w:type="dxa"/>
              <w:right w:w="28" w:type="dxa"/>
            </w:tcMar>
            <w:hideMark/>
          </w:tcPr>
          <w:p w:rsidRPr="00FC2616" w:rsidR="00FC14DC" w:rsidP="00FC14DC" w:rsidRDefault="00FC14DC" w14:paraId="6E809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FC2616" w:rsidR="00FC14DC" w:rsidP="00FC14DC" w:rsidRDefault="00FC14DC" w14:paraId="56582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220</w:t>
            </w:r>
          </w:p>
        </w:tc>
        <w:tc>
          <w:tcPr>
            <w:tcW w:w="1418" w:type="dxa"/>
            <w:shd w:val="clear" w:color="auto" w:fill="FFFFFF"/>
            <w:tcMar>
              <w:top w:w="68" w:type="dxa"/>
              <w:left w:w="28" w:type="dxa"/>
              <w:bottom w:w="0" w:type="dxa"/>
              <w:right w:w="28" w:type="dxa"/>
            </w:tcMar>
            <w:hideMark/>
          </w:tcPr>
          <w:p w:rsidRPr="00FC2616" w:rsidR="00FC14DC" w:rsidP="00FC14DC" w:rsidRDefault="00FC14DC" w14:paraId="0EE06A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220</w:t>
            </w:r>
          </w:p>
        </w:tc>
        <w:tc>
          <w:tcPr>
            <w:tcW w:w="1418" w:type="dxa"/>
            <w:shd w:val="clear" w:color="auto" w:fill="FFFFFF"/>
            <w:tcMar>
              <w:top w:w="68" w:type="dxa"/>
              <w:left w:w="28" w:type="dxa"/>
              <w:bottom w:w="0" w:type="dxa"/>
              <w:right w:w="28" w:type="dxa"/>
            </w:tcMar>
            <w:hideMark/>
          </w:tcPr>
          <w:p w:rsidRPr="00FC2616" w:rsidR="00FC14DC" w:rsidP="00FC14DC" w:rsidRDefault="00FC14DC" w14:paraId="526C6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220</w:t>
            </w:r>
          </w:p>
        </w:tc>
      </w:tr>
      <w:tr w:rsidRPr="00FC2616" w:rsidR="00FC14DC" w:rsidTr="00FC14DC" w14:paraId="517FA28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0689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FC2616" w:rsidR="00FC14DC" w:rsidP="00FC14DC" w:rsidRDefault="00FC14DC" w14:paraId="787F1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FC2616" w:rsidR="00FC14DC" w:rsidP="00FC14DC" w:rsidRDefault="00FC14DC" w14:paraId="3E5FA3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761F92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34418B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r>
      <w:tr w:rsidRPr="00FC2616" w:rsidR="00FC14DC" w:rsidTr="00FC14DC" w14:paraId="6F520C6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288AC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F440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13 040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FE46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17 823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90EF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22 766</w:t>
            </w:r>
          </w:p>
        </w:tc>
      </w:tr>
    </w:tbl>
    <w:p w:rsidRPr="006406BC" w:rsidR="00FC14DC" w:rsidP="006406BC" w:rsidRDefault="00FC14DC" w14:paraId="4F6A4847" w14:textId="25818368">
      <w:pPr>
        <w:pStyle w:val="Tabellrubrik"/>
        <w:spacing w:before="300"/>
      </w:pPr>
      <w:r w:rsidRPr="006406BC">
        <w:t>Avvikelser gentemot regeringen för utgiftsområde 15 Studiestöd</w:t>
      </w:r>
    </w:p>
    <w:p w:rsidRPr="006406BC" w:rsidR="00FC14DC" w:rsidP="006406BC" w:rsidRDefault="00FC14DC" w14:paraId="3B63B3CB" w14:textId="77777777">
      <w:pPr>
        <w:pStyle w:val="Tabellunderrubrik"/>
      </w:pPr>
      <w:r w:rsidRPr="006406BC">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3994"/>
        <w:gridCol w:w="1366"/>
        <w:gridCol w:w="1366"/>
        <w:gridCol w:w="1366"/>
      </w:tblGrid>
      <w:tr w:rsidRPr="00FC2616" w:rsidR="00FC14DC" w:rsidTr="00FC14DC" w14:paraId="4E577670"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7AF5511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30346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64633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6A397A2D"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0C677D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79365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40E1A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C2ACC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106BA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3B672663"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3A110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15 Studiestöd</w:t>
            </w:r>
          </w:p>
        </w:tc>
      </w:tr>
      <w:tr w:rsidRPr="00FC2616" w:rsidR="00FC14DC" w:rsidTr="00FC14DC" w14:paraId="55971F40"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F387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349B40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FC2616" w:rsidR="00FC14DC" w:rsidP="00FC14DC" w:rsidRDefault="00FC14DC" w14:paraId="4314D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115FA4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FC2616" w:rsidR="00FC14DC" w:rsidP="00FC14DC" w:rsidRDefault="00FC14DC" w14:paraId="1D475B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r>
      <w:tr w:rsidRPr="00FC2616" w:rsidR="00FC14DC" w:rsidTr="00FC14DC" w14:paraId="0FE0DD85"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196BF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C2616" w:rsidR="00FC14DC" w:rsidP="00FC14DC" w:rsidRDefault="00FC14DC" w14:paraId="2F4DD3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418" w:type="dxa"/>
            <w:shd w:val="clear" w:color="auto" w:fill="FFFFFF"/>
            <w:tcMar>
              <w:top w:w="68" w:type="dxa"/>
              <w:left w:w="28" w:type="dxa"/>
              <w:bottom w:w="0" w:type="dxa"/>
              <w:right w:w="28" w:type="dxa"/>
            </w:tcMar>
            <w:hideMark/>
          </w:tcPr>
          <w:p w:rsidRPr="00FC2616" w:rsidR="00FC14DC" w:rsidP="00FC14DC" w:rsidRDefault="00FC14DC" w14:paraId="57BB4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−477</w:t>
            </w:r>
          </w:p>
        </w:tc>
        <w:tc>
          <w:tcPr>
            <w:tcW w:w="1418" w:type="dxa"/>
            <w:shd w:val="clear" w:color="auto" w:fill="FFFFFF"/>
            <w:tcMar>
              <w:top w:w="68" w:type="dxa"/>
              <w:left w:w="28" w:type="dxa"/>
              <w:bottom w:w="0" w:type="dxa"/>
              <w:right w:w="28" w:type="dxa"/>
            </w:tcMar>
            <w:hideMark/>
          </w:tcPr>
          <w:p w:rsidRPr="00FC2616" w:rsidR="00FC14DC" w:rsidP="00FC14DC" w:rsidRDefault="00FC14DC" w14:paraId="46DF3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−481</w:t>
            </w:r>
          </w:p>
        </w:tc>
        <w:tc>
          <w:tcPr>
            <w:tcW w:w="1418" w:type="dxa"/>
            <w:shd w:val="clear" w:color="auto" w:fill="FFFFFF"/>
            <w:tcMar>
              <w:top w:w="68" w:type="dxa"/>
              <w:left w:w="28" w:type="dxa"/>
              <w:bottom w:w="0" w:type="dxa"/>
              <w:right w:w="28" w:type="dxa"/>
            </w:tcMar>
            <w:hideMark/>
          </w:tcPr>
          <w:p w:rsidRPr="00FC2616" w:rsidR="00FC14DC" w:rsidP="00FC14DC" w:rsidRDefault="00FC14DC" w14:paraId="7C7782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−481</w:t>
            </w:r>
          </w:p>
        </w:tc>
      </w:tr>
      <w:tr w:rsidRPr="00FC2616" w:rsidR="00FC14DC" w:rsidTr="00FC14DC" w14:paraId="511CCFCD"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09EE6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C2616" w:rsidR="00FC14DC" w:rsidP="00FC14DC" w:rsidRDefault="00FC14DC" w14:paraId="2B0CC6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Studiestartsstöd</w:t>
            </w:r>
          </w:p>
        </w:tc>
        <w:tc>
          <w:tcPr>
            <w:tcW w:w="1418" w:type="dxa"/>
            <w:shd w:val="clear" w:color="auto" w:fill="FFFFFF"/>
            <w:tcMar>
              <w:top w:w="68" w:type="dxa"/>
              <w:left w:w="28" w:type="dxa"/>
              <w:bottom w:w="0" w:type="dxa"/>
              <w:right w:w="28" w:type="dxa"/>
            </w:tcMar>
            <w:hideMark/>
          </w:tcPr>
          <w:p w:rsidRPr="00FC2616" w:rsidR="00FC14DC" w:rsidP="00FC14DC" w:rsidRDefault="00FC14DC" w14:paraId="241A42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hideMark/>
          </w:tcPr>
          <w:p w:rsidRPr="00FC2616" w:rsidR="00FC14DC" w:rsidP="00FC14DC" w:rsidRDefault="00FC14DC" w14:paraId="1E871F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hideMark/>
          </w:tcPr>
          <w:p w:rsidRPr="00FC2616" w:rsidR="00FC14DC" w:rsidP="00FC14DC" w:rsidRDefault="00FC14DC" w14:paraId="40BDE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300</w:t>
            </w:r>
          </w:p>
        </w:tc>
      </w:tr>
      <w:tr w:rsidRPr="00FC2616" w:rsidR="00FC14DC" w:rsidTr="00FC14DC" w14:paraId="795D5EE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95CDE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C2616" w:rsidR="00FC14DC" w:rsidP="00FC14DC" w:rsidRDefault="00FC14DC" w14:paraId="5ABEF5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Avsättning för kreditförluster</w:t>
            </w:r>
          </w:p>
        </w:tc>
        <w:tc>
          <w:tcPr>
            <w:tcW w:w="1418" w:type="dxa"/>
            <w:shd w:val="clear" w:color="auto" w:fill="FFFFFF"/>
            <w:tcMar>
              <w:top w:w="68" w:type="dxa"/>
              <w:left w:w="28" w:type="dxa"/>
              <w:bottom w:w="0" w:type="dxa"/>
              <w:right w:w="28" w:type="dxa"/>
            </w:tcMar>
            <w:hideMark/>
          </w:tcPr>
          <w:p w:rsidRPr="00FC2616" w:rsidR="00FC14DC" w:rsidP="00FC14DC" w:rsidRDefault="00FC14DC" w14:paraId="6ACC0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1 974</w:t>
            </w:r>
          </w:p>
        </w:tc>
        <w:tc>
          <w:tcPr>
            <w:tcW w:w="1418" w:type="dxa"/>
            <w:shd w:val="clear" w:color="auto" w:fill="FFFFFF"/>
            <w:tcMar>
              <w:top w:w="68" w:type="dxa"/>
              <w:left w:w="28" w:type="dxa"/>
              <w:bottom w:w="0" w:type="dxa"/>
              <w:right w:w="28" w:type="dxa"/>
            </w:tcMar>
            <w:hideMark/>
          </w:tcPr>
          <w:p w:rsidRPr="00FC2616" w:rsidR="00FC14DC" w:rsidP="00FC14DC" w:rsidRDefault="00FC14DC" w14:paraId="3072F9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1 988</w:t>
            </w:r>
          </w:p>
        </w:tc>
        <w:tc>
          <w:tcPr>
            <w:tcW w:w="1418" w:type="dxa"/>
            <w:shd w:val="clear" w:color="auto" w:fill="FFFFFF"/>
            <w:tcMar>
              <w:top w:w="68" w:type="dxa"/>
              <w:left w:w="28" w:type="dxa"/>
              <w:bottom w:w="0" w:type="dxa"/>
              <w:right w:w="28" w:type="dxa"/>
            </w:tcMar>
            <w:hideMark/>
          </w:tcPr>
          <w:p w:rsidRPr="00FC2616" w:rsidR="00FC14DC" w:rsidP="00FC14DC" w:rsidRDefault="00FC14DC" w14:paraId="45CA3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1 988</w:t>
            </w:r>
          </w:p>
        </w:tc>
      </w:tr>
      <w:tr w:rsidRPr="00FC2616" w:rsidR="00FC14DC" w:rsidTr="00FC14DC" w14:paraId="6C21B52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0E0FD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03D9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1 797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5B323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1 847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46AB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1 857</w:t>
            </w:r>
          </w:p>
        </w:tc>
      </w:tr>
    </w:tbl>
    <w:p w:rsidRPr="00E536E1" w:rsidR="00FC14DC" w:rsidP="00E536E1" w:rsidRDefault="00FC14DC" w14:paraId="76FDBE55" w14:textId="5723209D">
      <w:pPr>
        <w:pStyle w:val="Tabellrubrik"/>
      </w:pPr>
      <w:r w:rsidRPr="00E536E1">
        <w:t>Avvikelser gentemot regeringen för utgiftsområde 16 Utbildning och universitetsforskning</w:t>
      </w:r>
    </w:p>
    <w:p w:rsidRPr="00E536E1" w:rsidR="00FC14DC" w:rsidP="00E536E1" w:rsidRDefault="00FC14DC" w14:paraId="7F7BCB78" w14:textId="77777777">
      <w:pPr>
        <w:pStyle w:val="Tabellunderrubrik"/>
      </w:pPr>
      <w:r w:rsidRPr="00E536E1">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07"/>
        <w:gridCol w:w="1362"/>
        <w:gridCol w:w="1362"/>
        <w:gridCol w:w="1362"/>
      </w:tblGrid>
      <w:tr w:rsidRPr="00FC2616" w:rsidR="00FC14DC" w:rsidTr="00FC14DC" w14:paraId="3CECF944"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4B39BFE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01836D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29FBD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2F01FCC2"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6A2374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6D278C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15861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6AF0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36BF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12E5D068"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7A4A63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16 Utbildning och universitetsforskning</w:t>
            </w:r>
          </w:p>
        </w:tc>
      </w:tr>
      <w:tr w:rsidRPr="00FC2616" w:rsidR="00FC14DC" w:rsidTr="00FC14DC" w14:paraId="3B5BE60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578E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5A053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FC2616" w:rsidR="00FC14DC" w:rsidP="00FC14DC" w:rsidRDefault="00FC14DC" w14:paraId="14E9D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56</w:t>
            </w:r>
          </w:p>
        </w:tc>
        <w:tc>
          <w:tcPr>
            <w:tcW w:w="1418" w:type="dxa"/>
            <w:shd w:val="clear" w:color="auto" w:fill="FFFFFF"/>
            <w:tcMar>
              <w:top w:w="68" w:type="dxa"/>
              <w:left w:w="28" w:type="dxa"/>
              <w:bottom w:w="0" w:type="dxa"/>
              <w:right w:w="28" w:type="dxa"/>
            </w:tcMar>
            <w:hideMark/>
          </w:tcPr>
          <w:p w:rsidRPr="00FC2616" w:rsidR="00FC14DC" w:rsidP="00FC14DC" w:rsidRDefault="00FC14DC" w14:paraId="6AF5C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hideMark/>
          </w:tcPr>
          <w:p w:rsidRPr="00FC2616" w:rsidR="00FC14DC" w:rsidP="00FC14DC" w:rsidRDefault="00FC14DC" w14:paraId="726F85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80</w:t>
            </w:r>
          </w:p>
        </w:tc>
      </w:tr>
      <w:tr w:rsidRPr="00FC2616" w:rsidR="00FC14DC" w:rsidTr="00FC14DC" w14:paraId="6812F859"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F9458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C2616" w:rsidR="00FC14DC" w:rsidP="00FC14DC" w:rsidRDefault="00FC14DC" w14:paraId="091A15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FC2616" w:rsidR="00FC14DC" w:rsidP="00FC14DC" w:rsidRDefault="00FC14DC" w14:paraId="48A93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FC2616" w:rsidR="00FC14DC" w:rsidP="00FC14DC" w:rsidRDefault="00FC14DC" w14:paraId="1F7A26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2C237A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r>
      <w:tr w:rsidRPr="00FC2616" w:rsidR="00FC14DC" w:rsidTr="00E536E1" w14:paraId="7D34C432"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ACE4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C2616" w:rsidR="00FC14DC" w:rsidP="00FC14DC" w:rsidRDefault="00FC14DC" w14:paraId="176009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5A688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−166</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76BDD0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−135</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6AF96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−127</w:t>
            </w:r>
          </w:p>
        </w:tc>
      </w:tr>
      <w:tr w:rsidRPr="00FC2616" w:rsidR="00FC14DC" w:rsidTr="00E536E1" w14:paraId="2058694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C57BD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C2616" w:rsidR="00FC14DC" w:rsidP="00FC14DC" w:rsidRDefault="00FC14DC" w14:paraId="7D177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0952BE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2 200</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465010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2 400</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088639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4 400</w:t>
            </w:r>
          </w:p>
        </w:tc>
      </w:tr>
      <w:tr w:rsidRPr="00FC2616" w:rsidR="00FC14DC" w:rsidTr="00E536E1" w14:paraId="32E71863"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ACB55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1:15</w:t>
            </w:r>
          </w:p>
        </w:tc>
        <w:tc>
          <w:tcPr>
            <w:tcW w:w="4139" w:type="dxa"/>
            <w:shd w:val="clear" w:color="auto" w:fill="FFFFFF"/>
            <w:tcMar>
              <w:top w:w="68" w:type="dxa"/>
              <w:left w:w="28" w:type="dxa"/>
              <w:bottom w:w="0" w:type="dxa"/>
              <w:right w:w="28" w:type="dxa"/>
            </w:tcMar>
            <w:hideMark/>
          </w:tcPr>
          <w:p w:rsidRPr="00FC2616" w:rsidR="00FC14DC" w:rsidP="00FC14DC" w:rsidRDefault="00FC14DC" w14:paraId="659757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7A1262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2E67D7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115</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60C64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2 115</w:t>
            </w:r>
          </w:p>
        </w:tc>
      </w:tr>
      <w:tr w:rsidRPr="00FC2616" w:rsidR="00FC14DC" w:rsidTr="00FC14DC" w14:paraId="7C1C22FB"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69F55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1:17</w:t>
            </w:r>
          </w:p>
        </w:tc>
        <w:tc>
          <w:tcPr>
            <w:tcW w:w="4139" w:type="dxa"/>
            <w:shd w:val="clear" w:color="auto" w:fill="FFFFFF"/>
            <w:tcMar>
              <w:top w:w="68" w:type="dxa"/>
              <w:left w:w="28" w:type="dxa"/>
              <w:bottom w:w="0" w:type="dxa"/>
              <w:right w:w="28" w:type="dxa"/>
            </w:tcMar>
            <w:hideMark/>
          </w:tcPr>
          <w:p w:rsidRPr="00FC2616" w:rsidR="00FC14DC" w:rsidP="00FC14DC" w:rsidRDefault="00FC14DC" w14:paraId="09B1F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FC2616" w:rsidR="00FC14DC" w:rsidP="00FC14DC" w:rsidRDefault="00FC14DC" w14:paraId="0BDBB1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hideMark/>
          </w:tcPr>
          <w:p w:rsidRPr="00FC2616" w:rsidR="00FC14DC" w:rsidP="00FC14DC" w:rsidRDefault="00FC14DC" w14:paraId="063AA2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1273B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r>
      <w:tr w:rsidRPr="00FC2616" w:rsidR="00FC14DC" w:rsidTr="00FC14DC" w14:paraId="249BFBFC"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E76E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FC2616" w:rsidR="00FC14DC" w:rsidP="00FC14DC" w:rsidRDefault="00FC14DC" w14:paraId="12797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FC2616" w:rsidR="00FC14DC" w:rsidP="00FC14DC" w:rsidRDefault="00FC14DC" w14:paraId="5A2418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35DEA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396CF9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r>
      <w:tr w:rsidRPr="00FC2616" w:rsidR="00FC14DC" w:rsidTr="00FC14DC" w14:paraId="65BCEF98"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F1EC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2:64</w:t>
            </w:r>
          </w:p>
        </w:tc>
        <w:tc>
          <w:tcPr>
            <w:tcW w:w="4139" w:type="dxa"/>
            <w:shd w:val="clear" w:color="auto" w:fill="FFFFFF"/>
            <w:tcMar>
              <w:top w:w="68" w:type="dxa"/>
              <w:left w:w="28" w:type="dxa"/>
              <w:bottom w:w="0" w:type="dxa"/>
              <w:right w:w="28" w:type="dxa"/>
            </w:tcMar>
            <w:hideMark/>
          </w:tcPr>
          <w:p w:rsidRPr="00FC2616" w:rsidR="00FC14DC" w:rsidP="00FC14DC" w:rsidRDefault="00FC14DC" w14:paraId="29E77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FC2616" w:rsidR="00FC14DC" w:rsidP="00FC14DC" w:rsidRDefault="00FC14DC" w14:paraId="2FC97B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324</w:t>
            </w:r>
          </w:p>
        </w:tc>
        <w:tc>
          <w:tcPr>
            <w:tcW w:w="1418" w:type="dxa"/>
            <w:shd w:val="clear" w:color="auto" w:fill="FFFFFF"/>
            <w:tcMar>
              <w:top w:w="68" w:type="dxa"/>
              <w:left w:w="28" w:type="dxa"/>
              <w:bottom w:w="0" w:type="dxa"/>
              <w:right w:w="28" w:type="dxa"/>
            </w:tcMar>
            <w:hideMark/>
          </w:tcPr>
          <w:p w:rsidRPr="00FC2616" w:rsidR="00FC14DC" w:rsidP="00FC14DC" w:rsidRDefault="00FC14DC" w14:paraId="5FA2E3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1 348</w:t>
            </w:r>
          </w:p>
        </w:tc>
        <w:tc>
          <w:tcPr>
            <w:tcW w:w="1418" w:type="dxa"/>
            <w:shd w:val="clear" w:color="auto" w:fill="FFFFFF"/>
            <w:tcMar>
              <w:top w:w="68" w:type="dxa"/>
              <w:left w:w="28" w:type="dxa"/>
              <w:bottom w:w="0" w:type="dxa"/>
              <w:right w:w="28" w:type="dxa"/>
            </w:tcMar>
            <w:hideMark/>
          </w:tcPr>
          <w:p w:rsidRPr="00FC2616" w:rsidR="00FC14DC" w:rsidP="00FC14DC" w:rsidRDefault="00FC14DC" w14:paraId="06F7A6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2 048</w:t>
            </w:r>
          </w:p>
        </w:tc>
      </w:tr>
      <w:tr w:rsidRPr="00FC2616" w:rsidR="00FC14DC" w:rsidTr="00FC14DC" w14:paraId="69C0C62A"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C4096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2:67</w:t>
            </w:r>
          </w:p>
        </w:tc>
        <w:tc>
          <w:tcPr>
            <w:tcW w:w="4139" w:type="dxa"/>
            <w:shd w:val="clear" w:color="auto" w:fill="FFFFFF"/>
            <w:tcMar>
              <w:top w:w="68" w:type="dxa"/>
              <w:left w:w="28" w:type="dxa"/>
              <w:bottom w:w="0" w:type="dxa"/>
              <w:right w:w="28" w:type="dxa"/>
            </w:tcMar>
            <w:hideMark/>
          </w:tcPr>
          <w:p w:rsidRPr="00FC2616" w:rsidR="00FC14DC" w:rsidP="00FC14DC" w:rsidRDefault="00FC14DC" w14:paraId="74E9D8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FC2616" w:rsidR="00FC14DC" w:rsidP="00FC14DC" w:rsidRDefault="00FC14DC" w14:paraId="4A361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1815E6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1B320A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r>
      <w:tr w:rsidRPr="00FC2616" w:rsidR="00FC14DC" w:rsidTr="00E536E1" w14:paraId="61C486A4"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37F35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3:1</w:t>
            </w:r>
          </w:p>
        </w:tc>
        <w:tc>
          <w:tcPr>
            <w:tcW w:w="4139" w:type="dxa"/>
            <w:shd w:val="clear" w:color="auto" w:fill="FFFFFF"/>
            <w:tcMar>
              <w:top w:w="68" w:type="dxa"/>
              <w:left w:w="28" w:type="dxa"/>
              <w:bottom w:w="0" w:type="dxa"/>
              <w:right w:w="28" w:type="dxa"/>
            </w:tcMar>
            <w:hideMark/>
          </w:tcPr>
          <w:p w:rsidRPr="00FC2616" w:rsidR="00FC14DC" w:rsidP="00FC14DC" w:rsidRDefault="00FC14DC" w14:paraId="62451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104157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35CCD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0D892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r>
      <w:tr w:rsidRPr="00FC2616" w:rsidR="00FC14DC" w:rsidTr="00E536E1" w14:paraId="09E8D57F"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B6E3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C2616" w:rsidR="00FC14DC" w:rsidP="00FC14DC" w:rsidRDefault="00FC14DC" w14:paraId="5F3A8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Ny kompensatorisk resursfördelningsmodell i gymnasieskolan</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648147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4E92E8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C2616" w:rsidR="00FC14DC" w:rsidP="00E536E1" w:rsidRDefault="00FC14DC" w14:paraId="74FF86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1 000</w:t>
            </w:r>
          </w:p>
        </w:tc>
      </w:tr>
      <w:tr w:rsidRPr="00FC2616" w:rsidR="00FC14DC" w:rsidTr="00FC14DC" w14:paraId="483F240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44532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5CDAA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2 784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E022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3 913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2F6F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9 621</w:t>
            </w:r>
          </w:p>
        </w:tc>
      </w:tr>
    </w:tbl>
    <w:p w:rsidR="005C58D3" w:rsidP="005C58D3" w:rsidRDefault="005C58D3" w14:paraId="52E64F39" w14:textId="77777777">
      <w:pPr>
        <w:pStyle w:val="Normalutanindragellerluft"/>
      </w:pPr>
    </w:p>
    <w:p w:rsidR="005C58D3" w:rsidP="005C58D3" w:rsidRDefault="005C58D3" w14:paraId="2E1730D8" w14:textId="77777777">
      <w:pPr>
        <w:pStyle w:val="Normalutanindragellerluft"/>
        <w:rPr>
          <w:b/>
          <w:sz w:val="23"/>
        </w:rPr>
      </w:pPr>
      <w:r>
        <w:br w:type="page"/>
      </w:r>
    </w:p>
    <w:p w:rsidRPr="003561F1" w:rsidR="00FC14DC" w:rsidP="003561F1" w:rsidRDefault="00FC14DC" w14:paraId="414ABFDA" w14:textId="687A1226">
      <w:pPr>
        <w:pStyle w:val="Tabellrubrik"/>
      </w:pPr>
      <w:r w:rsidRPr="003561F1">
        <w:lastRenderedPageBreak/>
        <w:t>Avvikelser gentemot regeringen för utgiftsområde 17 Kultur, medier, trossamfund och fritid</w:t>
      </w:r>
    </w:p>
    <w:p w:rsidRPr="003561F1" w:rsidR="00FC14DC" w:rsidP="003561F1" w:rsidRDefault="00FC14DC" w14:paraId="6BAEE4BC" w14:textId="77777777">
      <w:pPr>
        <w:pStyle w:val="Tabellunderrubrik"/>
      </w:pPr>
      <w:r w:rsidRPr="003561F1">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04"/>
        <w:gridCol w:w="1363"/>
        <w:gridCol w:w="1363"/>
        <w:gridCol w:w="1363"/>
      </w:tblGrid>
      <w:tr w:rsidRPr="00FC2616" w:rsidR="00FC14DC" w:rsidTr="00BF5F83" w14:paraId="00032C98"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2F89F8A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B142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3031C2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BF5F83" w14:paraId="7BC8ED19"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14D28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6ACCA9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87ED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537A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289C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44990FEB"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663CC6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17 Kultur, medier, trossamfund och fritid</w:t>
            </w:r>
          </w:p>
        </w:tc>
      </w:tr>
      <w:tr w:rsidRPr="00FC2616" w:rsidR="00FC14DC" w:rsidTr="003561F1" w14:paraId="70A36B0F"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F0493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2D92A3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FC2616" w:rsidR="00FC14DC" w:rsidP="003561F1" w:rsidRDefault="00FC14DC" w14:paraId="6D8F5D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533</w:t>
            </w:r>
          </w:p>
        </w:tc>
        <w:tc>
          <w:tcPr>
            <w:tcW w:w="1418" w:type="dxa"/>
            <w:shd w:val="clear" w:color="auto" w:fill="FFFFFF"/>
            <w:tcMar>
              <w:top w:w="68" w:type="dxa"/>
              <w:left w:w="28" w:type="dxa"/>
              <w:bottom w:w="0" w:type="dxa"/>
              <w:right w:w="28" w:type="dxa"/>
            </w:tcMar>
            <w:vAlign w:val="bottom"/>
            <w:hideMark/>
          </w:tcPr>
          <w:p w:rsidRPr="00FC2616" w:rsidR="00FC14DC" w:rsidP="003561F1" w:rsidRDefault="00FC14DC" w14:paraId="2FFAF9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718</w:t>
            </w:r>
          </w:p>
        </w:tc>
        <w:tc>
          <w:tcPr>
            <w:tcW w:w="1418" w:type="dxa"/>
            <w:shd w:val="clear" w:color="auto" w:fill="FFFFFF"/>
            <w:tcMar>
              <w:top w:w="68" w:type="dxa"/>
              <w:left w:w="28" w:type="dxa"/>
              <w:bottom w:w="0" w:type="dxa"/>
              <w:right w:w="28" w:type="dxa"/>
            </w:tcMar>
            <w:vAlign w:val="bottom"/>
            <w:hideMark/>
          </w:tcPr>
          <w:p w:rsidRPr="00FC2616" w:rsidR="00FC14DC" w:rsidP="003561F1" w:rsidRDefault="00FC14DC" w14:paraId="4A3F1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725</w:t>
            </w:r>
          </w:p>
        </w:tc>
      </w:tr>
      <w:tr w:rsidRPr="00FC2616" w:rsidR="00FC14DC" w:rsidTr="003561F1" w14:paraId="55E22E38"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84F1A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C2616" w:rsidR="00FC14DC" w:rsidP="00FC14DC" w:rsidRDefault="00FC14DC" w14:paraId="1DB6C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FC2616" w:rsidR="00FC14DC" w:rsidP="003561F1" w:rsidRDefault="00FC14DC" w14:paraId="07C99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vAlign w:val="bottom"/>
            <w:hideMark/>
          </w:tcPr>
          <w:p w:rsidRPr="00FC2616" w:rsidR="00FC14DC" w:rsidP="003561F1" w:rsidRDefault="00FC14DC" w14:paraId="5CE52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vAlign w:val="bottom"/>
            <w:hideMark/>
          </w:tcPr>
          <w:p w:rsidRPr="00FC2616" w:rsidR="00FC14DC" w:rsidP="003561F1" w:rsidRDefault="00FC14DC" w14:paraId="5EBEB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w:t>
            </w:r>
          </w:p>
        </w:tc>
      </w:tr>
      <w:tr w:rsidRPr="00FC2616" w:rsidR="00FC14DC" w:rsidTr="00FC14DC" w14:paraId="111FD13B"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113F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FC2616" w:rsidR="00FC14DC" w:rsidP="00FC14DC" w:rsidRDefault="00FC14DC" w14:paraId="550A26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hideMark/>
          </w:tcPr>
          <w:p w:rsidRPr="00FC2616" w:rsidR="00FC14DC" w:rsidP="00FC14DC" w:rsidRDefault="00FC14DC" w14:paraId="01765B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55</w:t>
            </w:r>
          </w:p>
        </w:tc>
        <w:tc>
          <w:tcPr>
            <w:tcW w:w="1418" w:type="dxa"/>
            <w:shd w:val="clear" w:color="auto" w:fill="FFFFFF"/>
            <w:tcMar>
              <w:top w:w="68" w:type="dxa"/>
              <w:left w:w="28" w:type="dxa"/>
              <w:bottom w:w="0" w:type="dxa"/>
              <w:right w:w="28" w:type="dxa"/>
            </w:tcMar>
            <w:hideMark/>
          </w:tcPr>
          <w:p w:rsidRPr="00FC2616" w:rsidR="00FC14DC" w:rsidP="00FC14DC" w:rsidRDefault="00FC14DC" w14:paraId="34A89F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FC2616" w:rsidR="00FC14DC" w:rsidP="00FC14DC" w:rsidRDefault="00FC14DC" w14:paraId="43F7B6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r>
      <w:tr w:rsidRPr="00FC2616" w:rsidR="00FC14DC" w:rsidTr="00FC14DC" w14:paraId="6419790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CAA8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4:3</w:t>
            </w:r>
          </w:p>
        </w:tc>
        <w:tc>
          <w:tcPr>
            <w:tcW w:w="4139" w:type="dxa"/>
            <w:shd w:val="clear" w:color="auto" w:fill="FFFFFF"/>
            <w:tcMar>
              <w:top w:w="68" w:type="dxa"/>
              <w:left w:w="28" w:type="dxa"/>
              <w:bottom w:w="0" w:type="dxa"/>
              <w:right w:w="28" w:type="dxa"/>
            </w:tcMar>
            <w:hideMark/>
          </w:tcPr>
          <w:p w:rsidRPr="00FC2616" w:rsidR="00FC14DC" w:rsidP="00FC14DC" w:rsidRDefault="00FC14DC" w14:paraId="04E63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Nämnden för hemslöjdsfrågor</w:t>
            </w:r>
          </w:p>
        </w:tc>
        <w:tc>
          <w:tcPr>
            <w:tcW w:w="1418" w:type="dxa"/>
            <w:shd w:val="clear" w:color="auto" w:fill="FFFFFF"/>
            <w:tcMar>
              <w:top w:w="68" w:type="dxa"/>
              <w:left w:w="28" w:type="dxa"/>
              <w:bottom w:w="0" w:type="dxa"/>
              <w:right w:w="28" w:type="dxa"/>
            </w:tcMar>
            <w:hideMark/>
          </w:tcPr>
          <w:p w:rsidRPr="00FC2616" w:rsidR="00FC14DC" w:rsidP="00FC14DC" w:rsidRDefault="00FC14DC" w14:paraId="1006E5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hideMark/>
          </w:tcPr>
          <w:p w:rsidRPr="00FC2616" w:rsidR="00FC14DC" w:rsidP="00FC14DC" w:rsidRDefault="00FC14DC" w14:paraId="7391D1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hideMark/>
          </w:tcPr>
          <w:p w:rsidRPr="00FC2616" w:rsidR="00FC14DC" w:rsidP="00FC14DC" w:rsidRDefault="00FC14DC" w14:paraId="3C1DF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w:t>
            </w:r>
          </w:p>
        </w:tc>
      </w:tr>
      <w:tr w:rsidRPr="00FC2616" w:rsidR="00FC14DC" w:rsidTr="00FC14DC" w14:paraId="191C2BF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044EB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4:4</w:t>
            </w:r>
          </w:p>
        </w:tc>
        <w:tc>
          <w:tcPr>
            <w:tcW w:w="4139" w:type="dxa"/>
            <w:shd w:val="clear" w:color="auto" w:fill="FFFFFF"/>
            <w:tcMar>
              <w:top w:w="68" w:type="dxa"/>
              <w:left w:w="28" w:type="dxa"/>
              <w:bottom w:w="0" w:type="dxa"/>
              <w:right w:w="28" w:type="dxa"/>
            </w:tcMar>
            <w:hideMark/>
          </w:tcPr>
          <w:p w:rsidRPr="00FC2616" w:rsidR="00FC14DC" w:rsidP="00FC14DC" w:rsidRDefault="00FC14DC" w14:paraId="2EFF94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bild- och formområdet</w:t>
            </w:r>
          </w:p>
        </w:tc>
        <w:tc>
          <w:tcPr>
            <w:tcW w:w="1418" w:type="dxa"/>
            <w:shd w:val="clear" w:color="auto" w:fill="FFFFFF"/>
            <w:tcMar>
              <w:top w:w="68" w:type="dxa"/>
              <w:left w:w="28" w:type="dxa"/>
              <w:bottom w:w="0" w:type="dxa"/>
              <w:right w:w="28" w:type="dxa"/>
            </w:tcMar>
            <w:hideMark/>
          </w:tcPr>
          <w:p w:rsidRPr="00FC2616" w:rsidR="00FC14DC" w:rsidP="00FC14DC" w:rsidRDefault="00FC14DC" w14:paraId="1E036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FC2616" w:rsidR="00FC14DC" w:rsidP="00FC14DC" w:rsidRDefault="00FC14DC" w14:paraId="04962F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FC2616" w:rsidR="00FC14DC" w:rsidP="00FC14DC" w:rsidRDefault="00FC14DC" w14:paraId="10A15A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r>
      <w:tr w:rsidRPr="00FC2616" w:rsidR="00FC14DC" w:rsidTr="00FC14DC" w14:paraId="38C3747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8D07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5:2</w:t>
            </w:r>
          </w:p>
        </w:tc>
        <w:tc>
          <w:tcPr>
            <w:tcW w:w="4139" w:type="dxa"/>
            <w:shd w:val="clear" w:color="auto" w:fill="FFFFFF"/>
            <w:tcMar>
              <w:top w:w="68" w:type="dxa"/>
              <w:left w:w="28" w:type="dxa"/>
              <w:bottom w:w="0" w:type="dxa"/>
              <w:right w:w="28" w:type="dxa"/>
            </w:tcMar>
            <w:hideMark/>
          </w:tcPr>
          <w:p w:rsidRPr="00FC2616" w:rsidR="00FC14DC" w:rsidP="00FC14DC" w:rsidRDefault="00FC14DC" w14:paraId="2034F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hideMark/>
          </w:tcPr>
          <w:p w:rsidRPr="00FC2616" w:rsidR="00FC14DC" w:rsidP="00FC14DC" w:rsidRDefault="00FC14DC" w14:paraId="2A16D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FC2616" w:rsidR="00FC14DC" w:rsidP="00FC14DC" w:rsidRDefault="00FC14DC" w14:paraId="48DF2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FC2616" w:rsidR="00FC14DC" w:rsidP="00FC14DC" w:rsidRDefault="00FC14DC" w14:paraId="34A1A8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r>
      <w:tr w:rsidRPr="00FC2616" w:rsidR="00FC14DC" w:rsidTr="00FC14DC" w14:paraId="13C690F9"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D5793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7:1</w:t>
            </w:r>
          </w:p>
        </w:tc>
        <w:tc>
          <w:tcPr>
            <w:tcW w:w="4139" w:type="dxa"/>
            <w:shd w:val="clear" w:color="auto" w:fill="FFFFFF"/>
            <w:tcMar>
              <w:top w:w="68" w:type="dxa"/>
              <w:left w:w="28" w:type="dxa"/>
              <w:bottom w:w="0" w:type="dxa"/>
              <w:right w:w="28" w:type="dxa"/>
            </w:tcMar>
            <w:hideMark/>
          </w:tcPr>
          <w:p w:rsidRPr="00FC2616" w:rsidR="00FC14DC" w:rsidP="00FC14DC" w:rsidRDefault="00FC14DC" w14:paraId="63C0B9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hideMark/>
          </w:tcPr>
          <w:p w:rsidRPr="00FC2616" w:rsidR="00FC14DC" w:rsidP="00FC14DC" w:rsidRDefault="00FC14DC" w14:paraId="73866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w:t>
            </w:r>
          </w:p>
        </w:tc>
        <w:tc>
          <w:tcPr>
            <w:tcW w:w="1418" w:type="dxa"/>
            <w:shd w:val="clear" w:color="auto" w:fill="FFFFFF"/>
            <w:tcMar>
              <w:top w:w="68" w:type="dxa"/>
              <w:left w:w="28" w:type="dxa"/>
              <w:bottom w:w="0" w:type="dxa"/>
              <w:right w:w="28" w:type="dxa"/>
            </w:tcMar>
            <w:hideMark/>
          </w:tcPr>
          <w:p w:rsidRPr="00FC2616" w:rsidR="00FC14DC" w:rsidP="00FC14DC" w:rsidRDefault="00FC14DC" w14:paraId="058A6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w:t>
            </w:r>
          </w:p>
        </w:tc>
        <w:tc>
          <w:tcPr>
            <w:tcW w:w="1418" w:type="dxa"/>
            <w:shd w:val="clear" w:color="auto" w:fill="FFFFFF"/>
            <w:tcMar>
              <w:top w:w="68" w:type="dxa"/>
              <w:left w:w="28" w:type="dxa"/>
              <w:bottom w:w="0" w:type="dxa"/>
              <w:right w:w="28" w:type="dxa"/>
            </w:tcMar>
            <w:hideMark/>
          </w:tcPr>
          <w:p w:rsidRPr="00FC2616" w:rsidR="00FC14DC" w:rsidP="00FC14DC" w:rsidRDefault="00FC14DC" w14:paraId="2AC99E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w:t>
            </w:r>
          </w:p>
        </w:tc>
      </w:tr>
      <w:tr w:rsidRPr="00FC2616" w:rsidR="00FC14DC" w:rsidTr="00FC14DC" w14:paraId="11B0B369"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3B46B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7:2</w:t>
            </w:r>
          </w:p>
        </w:tc>
        <w:tc>
          <w:tcPr>
            <w:tcW w:w="4139" w:type="dxa"/>
            <w:shd w:val="clear" w:color="auto" w:fill="FFFFFF"/>
            <w:tcMar>
              <w:top w:w="68" w:type="dxa"/>
              <w:left w:w="28" w:type="dxa"/>
              <w:bottom w:w="0" w:type="dxa"/>
              <w:right w:w="28" w:type="dxa"/>
            </w:tcMar>
            <w:hideMark/>
          </w:tcPr>
          <w:p w:rsidRPr="00FC2616" w:rsidR="00FC14DC" w:rsidP="00FC14DC" w:rsidRDefault="00FC14DC" w14:paraId="7B96E0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hideMark/>
          </w:tcPr>
          <w:p w:rsidRPr="00FC2616" w:rsidR="00FC14DC" w:rsidP="00FC14DC" w:rsidRDefault="00FC14DC" w14:paraId="662A6F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050E3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0D8065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r>
      <w:tr w:rsidRPr="00FC2616" w:rsidR="00FC14DC" w:rsidTr="00FC14DC" w14:paraId="6F4C2A95"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2DF6B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7:4</w:t>
            </w:r>
          </w:p>
        </w:tc>
        <w:tc>
          <w:tcPr>
            <w:tcW w:w="4139" w:type="dxa"/>
            <w:shd w:val="clear" w:color="auto" w:fill="FFFFFF"/>
            <w:tcMar>
              <w:top w:w="68" w:type="dxa"/>
              <w:left w:w="28" w:type="dxa"/>
              <w:bottom w:w="0" w:type="dxa"/>
              <w:right w:w="28" w:type="dxa"/>
            </w:tcMar>
            <w:hideMark/>
          </w:tcPr>
          <w:p w:rsidRPr="00FC2616" w:rsidR="00FC14DC" w:rsidP="00FC14DC" w:rsidRDefault="00FC14DC" w14:paraId="103B75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hideMark/>
          </w:tcPr>
          <w:p w:rsidRPr="00FC2616" w:rsidR="00FC14DC" w:rsidP="00FC14DC" w:rsidRDefault="00FC14DC" w14:paraId="5427E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hideMark/>
          </w:tcPr>
          <w:p w:rsidRPr="00FC2616" w:rsidR="00FC14DC" w:rsidP="00FC14DC" w:rsidRDefault="00FC14DC" w14:paraId="1AA2F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hideMark/>
          </w:tcPr>
          <w:p w:rsidRPr="00FC2616" w:rsidR="00FC14DC" w:rsidP="00FC14DC" w:rsidRDefault="00FC14DC" w14:paraId="7905D1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w:t>
            </w:r>
          </w:p>
        </w:tc>
      </w:tr>
      <w:tr w:rsidRPr="00FC2616" w:rsidR="00FC14DC" w:rsidTr="00FC14DC" w14:paraId="0BFBC33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80A77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8:1</w:t>
            </w:r>
          </w:p>
        </w:tc>
        <w:tc>
          <w:tcPr>
            <w:tcW w:w="4139" w:type="dxa"/>
            <w:shd w:val="clear" w:color="auto" w:fill="FFFFFF"/>
            <w:tcMar>
              <w:top w:w="68" w:type="dxa"/>
              <w:left w:w="28" w:type="dxa"/>
              <w:bottom w:w="0" w:type="dxa"/>
              <w:right w:w="28" w:type="dxa"/>
            </w:tcMar>
            <w:hideMark/>
          </w:tcPr>
          <w:p w:rsidRPr="00FC2616" w:rsidR="00FC14DC" w:rsidP="00FC14DC" w:rsidRDefault="00FC14DC" w14:paraId="24A14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hideMark/>
          </w:tcPr>
          <w:p w:rsidRPr="00FC2616" w:rsidR="00FC14DC" w:rsidP="00FC14DC" w:rsidRDefault="00FC14DC" w14:paraId="595673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130</w:t>
            </w:r>
          </w:p>
        </w:tc>
        <w:tc>
          <w:tcPr>
            <w:tcW w:w="1418" w:type="dxa"/>
            <w:shd w:val="clear" w:color="auto" w:fill="FFFFFF"/>
            <w:tcMar>
              <w:top w:w="68" w:type="dxa"/>
              <w:left w:w="28" w:type="dxa"/>
              <w:bottom w:w="0" w:type="dxa"/>
              <w:right w:w="28" w:type="dxa"/>
            </w:tcMar>
            <w:hideMark/>
          </w:tcPr>
          <w:p w:rsidRPr="00FC2616" w:rsidR="00FC14DC" w:rsidP="00FC14DC" w:rsidRDefault="00FC14DC" w14:paraId="648A2A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130</w:t>
            </w:r>
          </w:p>
        </w:tc>
        <w:tc>
          <w:tcPr>
            <w:tcW w:w="1418" w:type="dxa"/>
            <w:shd w:val="clear" w:color="auto" w:fill="FFFFFF"/>
            <w:tcMar>
              <w:top w:w="68" w:type="dxa"/>
              <w:left w:w="28" w:type="dxa"/>
              <w:bottom w:w="0" w:type="dxa"/>
              <w:right w:w="28" w:type="dxa"/>
            </w:tcMar>
            <w:hideMark/>
          </w:tcPr>
          <w:p w:rsidRPr="00FC2616" w:rsidR="00FC14DC" w:rsidP="00FC14DC" w:rsidRDefault="00FC14DC" w14:paraId="238A4E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130</w:t>
            </w:r>
          </w:p>
        </w:tc>
      </w:tr>
      <w:tr w:rsidRPr="00FC2616" w:rsidR="00FC14DC" w:rsidTr="00FC14DC" w14:paraId="63F34C32"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47DCA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8:2</w:t>
            </w:r>
          </w:p>
        </w:tc>
        <w:tc>
          <w:tcPr>
            <w:tcW w:w="4139" w:type="dxa"/>
            <w:shd w:val="clear" w:color="auto" w:fill="FFFFFF"/>
            <w:tcMar>
              <w:top w:w="68" w:type="dxa"/>
              <w:left w:w="28" w:type="dxa"/>
              <w:bottom w:w="0" w:type="dxa"/>
              <w:right w:w="28" w:type="dxa"/>
            </w:tcMar>
            <w:hideMark/>
          </w:tcPr>
          <w:p w:rsidRPr="00FC2616" w:rsidR="00FC14DC" w:rsidP="00FC14DC" w:rsidRDefault="00FC14DC" w14:paraId="78CBE4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hideMark/>
          </w:tcPr>
          <w:p w:rsidRPr="00FC2616" w:rsidR="00FC14DC" w:rsidP="00FC14DC" w:rsidRDefault="00FC14DC" w14:paraId="411977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38</w:t>
            </w:r>
          </w:p>
        </w:tc>
        <w:tc>
          <w:tcPr>
            <w:tcW w:w="1418" w:type="dxa"/>
            <w:shd w:val="clear" w:color="auto" w:fill="FFFFFF"/>
            <w:tcMar>
              <w:top w:w="68" w:type="dxa"/>
              <w:left w:w="28" w:type="dxa"/>
              <w:bottom w:w="0" w:type="dxa"/>
              <w:right w:w="28" w:type="dxa"/>
            </w:tcMar>
            <w:hideMark/>
          </w:tcPr>
          <w:p w:rsidRPr="00FC2616" w:rsidR="00FC14DC" w:rsidP="00FC14DC" w:rsidRDefault="00FC14DC" w14:paraId="090238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38</w:t>
            </w:r>
          </w:p>
        </w:tc>
        <w:tc>
          <w:tcPr>
            <w:tcW w:w="1418" w:type="dxa"/>
            <w:shd w:val="clear" w:color="auto" w:fill="FFFFFF"/>
            <w:tcMar>
              <w:top w:w="68" w:type="dxa"/>
              <w:left w:w="28" w:type="dxa"/>
              <w:bottom w:w="0" w:type="dxa"/>
              <w:right w:w="28" w:type="dxa"/>
            </w:tcMar>
            <w:hideMark/>
          </w:tcPr>
          <w:p w:rsidRPr="00FC2616" w:rsidR="00FC14DC" w:rsidP="00FC14DC" w:rsidRDefault="00FC14DC" w14:paraId="352B94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38</w:t>
            </w:r>
          </w:p>
        </w:tc>
      </w:tr>
      <w:tr w:rsidRPr="00FC2616" w:rsidR="00FC14DC" w:rsidTr="00FC14DC" w14:paraId="2320929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7BEF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10:1</w:t>
            </w:r>
          </w:p>
        </w:tc>
        <w:tc>
          <w:tcPr>
            <w:tcW w:w="4139" w:type="dxa"/>
            <w:shd w:val="clear" w:color="auto" w:fill="FFFFFF"/>
            <w:tcMar>
              <w:top w:w="68" w:type="dxa"/>
              <w:left w:w="28" w:type="dxa"/>
              <w:bottom w:w="0" w:type="dxa"/>
              <w:right w:w="28" w:type="dxa"/>
            </w:tcMar>
            <w:hideMark/>
          </w:tcPr>
          <w:p w:rsidRPr="00FC2616" w:rsidR="00FC14DC" w:rsidP="00FC14DC" w:rsidRDefault="00FC14DC" w14:paraId="455B6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hideMark/>
          </w:tcPr>
          <w:p w:rsidRPr="00FC2616" w:rsidR="00FC14DC" w:rsidP="00FC14DC" w:rsidRDefault="00FC14DC" w14:paraId="5EBB2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27</w:t>
            </w:r>
          </w:p>
        </w:tc>
        <w:tc>
          <w:tcPr>
            <w:tcW w:w="1418" w:type="dxa"/>
            <w:shd w:val="clear" w:color="auto" w:fill="FFFFFF"/>
            <w:tcMar>
              <w:top w:w="68" w:type="dxa"/>
              <w:left w:w="28" w:type="dxa"/>
              <w:bottom w:w="0" w:type="dxa"/>
              <w:right w:w="28" w:type="dxa"/>
            </w:tcMar>
            <w:hideMark/>
          </w:tcPr>
          <w:p w:rsidRPr="00FC2616" w:rsidR="00FC14DC" w:rsidP="00FC14DC" w:rsidRDefault="00FC14DC" w14:paraId="4CF7B6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5626A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6A10D3FB"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3A583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13:1</w:t>
            </w:r>
          </w:p>
        </w:tc>
        <w:tc>
          <w:tcPr>
            <w:tcW w:w="4139" w:type="dxa"/>
            <w:shd w:val="clear" w:color="auto" w:fill="FFFFFF"/>
            <w:tcMar>
              <w:top w:w="68" w:type="dxa"/>
              <w:left w:w="28" w:type="dxa"/>
              <w:bottom w:w="0" w:type="dxa"/>
              <w:right w:w="28" w:type="dxa"/>
            </w:tcMar>
            <w:hideMark/>
          </w:tcPr>
          <w:p w:rsidRPr="00FC2616" w:rsidR="00FC14DC" w:rsidP="00FC14DC" w:rsidRDefault="00FC14DC" w14:paraId="6FC4D9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hideMark/>
          </w:tcPr>
          <w:p w:rsidRPr="00FC2616" w:rsidR="00FC14DC" w:rsidP="00FC14DC" w:rsidRDefault="00FC14DC" w14:paraId="6DE16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FC2616" w:rsidR="00FC14DC" w:rsidP="00FC14DC" w:rsidRDefault="00FC14DC" w14:paraId="7B6445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FC2616" w:rsidR="00FC14DC" w:rsidP="00FC14DC" w:rsidRDefault="00FC14DC" w14:paraId="50DA8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r>
      <w:tr w:rsidRPr="00FC2616" w:rsidR="00FC14DC" w:rsidTr="00FC14DC" w14:paraId="42797C3D"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2A13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13:2</w:t>
            </w:r>
          </w:p>
        </w:tc>
        <w:tc>
          <w:tcPr>
            <w:tcW w:w="4139" w:type="dxa"/>
            <w:shd w:val="clear" w:color="auto" w:fill="FFFFFF"/>
            <w:tcMar>
              <w:top w:w="68" w:type="dxa"/>
              <w:left w:w="28" w:type="dxa"/>
              <w:bottom w:w="0" w:type="dxa"/>
              <w:right w:w="28" w:type="dxa"/>
            </w:tcMar>
            <w:hideMark/>
          </w:tcPr>
          <w:p w:rsidRPr="00FC2616" w:rsidR="00FC14DC" w:rsidP="00FC14DC" w:rsidRDefault="00FC14DC" w14:paraId="1D931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hideMark/>
          </w:tcPr>
          <w:p w:rsidRPr="00FC2616" w:rsidR="00FC14DC" w:rsidP="00FC14DC" w:rsidRDefault="00FC14DC" w14:paraId="2E9DD9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78A031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349B3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r>
      <w:tr w:rsidRPr="00FC2616" w:rsidR="00FC14DC" w:rsidTr="00FC14DC" w14:paraId="63158B7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9A007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14:1</w:t>
            </w:r>
          </w:p>
        </w:tc>
        <w:tc>
          <w:tcPr>
            <w:tcW w:w="4139" w:type="dxa"/>
            <w:shd w:val="clear" w:color="auto" w:fill="FFFFFF"/>
            <w:tcMar>
              <w:top w:w="68" w:type="dxa"/>
              <w:left w:w="28" w:type="dxa"/>
              <w:bottom w:w="0" w:type="dxa"/>
              <w:right w:w="28" w:type="dxa"/>
            </w:tcMar>
            <w:hideMark/>
          </w:tcPr>
          <w:p w:rsidRPr="00FC2616" w:rsidR="00FC14DC" w:rsidP="00FC14DC" w:rsidRDefault="00FC14DC" w14:paraId="1B4218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folkbildningen</w:t>
            </w:r>
          </w:p>
        </w:tc>
        <w:tc>
          <w:tcPr>
            <w:tcW w:w="1418" w:type="dxa"/>
            <w:shd w:val="clear" w:color="auto" w:fill="FFFFFF"/>
            <w:tcMar>
              <w:top w:w="68" w:type="dxa"/>
              <w:left w:w="28" w:type="dxa"/>
              <w:bottom w:w="0" w:type="dxa"/>
              <w:right w:w="28" w:type="dxa"/>
            </w:tcMar>
            <w:hideMark/>
          </w:tcPr>
          <w:p w:rsidRPr="00FC2616" w:rsidR="00FC14DC" w:rsidP="00FC14DC" w:rsidRDefault="00FC14DC" w14:paraId="51B118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560</w:t>
            </w:r>
          </w:p>
        </w:tc>
        <w:tc>
          <w:tcPr>
            <w:tcW w:w="1418" w:type="dxa"/>
            <w:shd w:val="clear" w:color="auto" w:fill="FFFFFF"/>
            <w:tcMar>
              <w:top w:w="68" w:type="dxa"/>
              <w:left w:w="28" w:type="dxa"/>
              <w:bottom w:w="0" w:type="dxa"/>
              <w:right w:w="28" w:type="dxa"/>
            </w:tcMar>
            <w:hideMark/>
          </w:tcPr>
          <w:p w:rsidRPr="00FC2616" w:rsidR="00FC14DC" w:rsidP="00FC14DC" w:rsidRDefault="00FC14DC" w14:paraId="1215D6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550</w:t>
            </w:r>
          </w:p>
        </w:tc>
        <w:tc>
          <w:tcPr>
            <w:tcW w:w="1418" w:type="dxa"/>
            <w:shd w:val="clear" w:color="auto" w:fill="FFFFFF"/>
            <w:tcMar>
              <w:top w:w="68" w:type="dxa"/>
              <w:left w:w="28" w:type="dxa"/>
              <w:bottom w:w="0" w:type="dxa"/>
              <w:right w:w="28" w:type="dxa"/>
            </w:tcMar>
            <w:hideMark/>
          </w:tcPr>
          <w:p w:rsidRPr="00FC2616" w:rsidR="00FC14DC" w:rsidP="00FC14DC" w:rsidRDefault="00FC14DC" w14:paraId="6AC35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550</w:t>
            </w:r>
          </w:p>
        </w:tc>
      </w:tr>
      <w:tr w:rsidRPr="00FC2616" w:rsidR="00FC14DC" w:rsidTr="00FC14DC" w14:paraId="68411864"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C943C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14:3</w:t>
            </w:r>
          </w:p>
        </w:tc>
        <w:tc>
          <w:tcPr>
            <w:tcW w:w="4139" w:type="dxa"/>
            <w:shd w:val="clear" w:color="auto" w:fill="FFFFFF"/>
            <w:tcMar>
              <w:top w:w="68" w:type="dxa"/>
              <w:left w:w="28" w:type="dxa"/>
              <w:bottom w:w="0" w:type="dxa"/>
              <w:right w:w="28" w:type="dxa"/>
            </w:tcMar>
            <w:hideMark/>
          </w:tcPr>
          <w:p w:rsidRPr="00FC2616" w:rsidR="00FC14DC" w:rsidP="00FC14DC" w:rsidRDefault="00FC14DC" w14:paraId="6DE30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418" w:type="dxa"/>
            <w:shd w:val="clear" w:color="auto" w:fill="FFFFFF"/>
            <w:tcMar>
              <w:top w:w="68" w:type="dxa"/>
              <w:left w:w="28" w:type="dxa"/>
              <w:bottom w:w="0" w:type="dxa"/>
              <w:right w:w="28" w:type="dxa"/>
            </w:tcMar>
            <w:hideMark/>
          </w:tcPr>
          <w:p w:rsidRPr="00FC2616" w:rsidR="00FC14DC" w:rsidP="00FC14DC" w:rsidRDefault="00FC14DC" w14:paraId="38B3D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120</w:t>
            </w:r>
          </w:p>
        </w:tc>
        <w:tc>
          <w:tcPr>
            <w:tcW w:w="1418" w:type="dxa"/>
            <w:shd w:val="clear" w:color="auto" w:fill="FFFFFF"/>
            <w:tcMar>
              <w:top w:w="68" w:type="dxa"/>
              <w:left w:w="28" w:type="dxa"/>
              <w:bottom w:w="0" w:type="dxa"/>
              <w:right w:w="28" w:type="dxa"/>
            </w:tcMar>
            <w:hideMark/>
          </w:tcPr>
          <w:p w:rsidRPr="00FC2616" w:rsidR="00FC14DC" w:rsidP="00FC14DC" w:rsidRDefault="00FC14DC" w14:paraId="666EA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hideMark/>
          </w:tcPr>
          <w:p w:rsidRPr="00FC2616" w:rsidR="00FC14DC" w:rsidP="00FC14DC" w:rsidRDefault="00FC14DC" w14:paraId="3E5F4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60</w:t>
            </w:r>
          </w:p>
        </w:tc>
      </w:tr>
      <w:tr w:rsidRPr="00FC2616" w:rsidR="00FC14DC" w:rsidTr="00FC14DC" w14:paraId="1244DF91"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451A6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C2616" w:rsidR="00FC14DC" w:rsidP="00FC14DC" w:rsidRDefault="00FC14DC" w14:paraId="6B628F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Digitaliseringssatsning för kulturarvsinstitutioner</w:t>
            </w:r>
          </w:p>
        </w:tc>
        <w:tc>
          <w:tcPr>
            <w:tcW w:w="1418" w:type="dxa"/>
            <w:shd w:val="clear" w:color="auto" w:fill="FFFFFF"/>
            <w:tcMar>
              <w:top w:w="68" w:type="dxa"/>
              <w:left w:w="28" w:type="dxa"/>
              <w:bottom w:w="0" w:type="dxa"/>
              <w:right w:w="28" w:type="dxa"/>
            </w:tcMar>
            <w:hideMark/>
          </w:tcPr>
          <w:p w:rsidRPr="00FC2616" w:rsidR="00FC14DC" w:rsidP="00FC14DC" w:rsidRDefault="00FC14DC" w14:paraId="3F32B2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65</w:t>
            </w:r>
          </w:p>
        </w:tc>
        <w:tc>
          <w:tcPr>
            <w:tcW w:w="1418" w:type="dxa"/>
            <w:shd w:val="clear" w:color="auto" w:fill="FFFFFF"/>
            <w:tcMar>
              <w:top w:w="68" w:type="dxa"/>
              <w:left w:w="28" w:type="dxa"/>
              <w:bottom w:w="0" w:type="dxa"/>
              <w:right w:w="28" w:type="dxa"/>
            </w:tcMar>
            <w:hideMark/>
          </w:tcPr>
          <w:p w:rsidRPr="00FC2616" w:rsidR="00FC14DC" w:rsidP="00FC14DC" w:rsidRDefault="00FC14DC" w14:paraId="16F82B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65</w:t>
            </w:r>
          </w:p>
        </w:tc>
        <w:tc>
          <w:tcPr>
            <w:tcW w:w="1418" w:type="dxa"/>
            <w:shd w:val="clear" w:color="auto" w:fill="FFFFFF"/>
            <w:tcMar>
              <w:top w:w="68" w:type="dxa"/>
              <w:left w:w="28" w:type="dxa"/>
              <w:bottom w:w="0" w:type="dxa"/>
              <w:right w:w="28" w:type="dxa"/>
            </w:tcMar>
            <w:hideMark/>
          </w:tcPr>
          <w:p w:rsidRPr="00FC2616" w:rsidR="00FC14DC" w:rsidP="00FC14DC" w:rsidRDefault="00FC14DC" w14:paraId="49B079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65</w:t>
            </w:r>
          </w:p>
        </w:tc>
      </w:tr>
      <w:tr w:rsidRPr="00FC2616" w:rsidR="00FC14DC" w:rsidTr="00FC14DC" w14:paraId="7E59CA2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77416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3E99E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1 702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48520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1 820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23B0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1 737</w:t>
            </w:r>
          </w:p>
        </w:tc>
      </w:tr>
    </w:tbl>
    <w:p w:rsidRPr="00AD28A3" w:rsidR="00FC14DC" w:rsidP="00AD28A3" w:rsidRDefault="00FC14DC" w14:paraId="415F38DF" w14:textId="6A73D581">
      <w:pPr>
        <w:pStyle w:val="Tabellrubrik"/>
        <w:spacing w:before="300"/>
      </w:pPr>
      <w:r w:rsidRPr="00AD28A3">
        <w:t>Avvikelser gentemot regeringen för utgiftsområde 18 Samhällsplanering, bostadsförsörjning och byggande samt konsumentpolitik</w:t>
      </w:r>
    </w:p>
    <w:p w:rsidRPr="00AD28A3" w:rsidR="00FC14DC" w:rsidP="00AD28A3" w:rsidRDefault="00FC14DC" w14:paraId="7D158731" w14:textId="77777777">
      <w:pPr>
        <w:pStyle w:val="Tabellunderrubrik"/>
      </w:pPr>
      <w:r w:rsidRPr="00AD28A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67"/>
        <w:gridCol w:w="3969"/>
        <w:gridCol w:w="1237"/>
        <w:gridCol w:w="1363"/>
        <w:gridCol w:w="1369"/>
      </w:tblGrid>
      <w:tr w:rsidRPr="00FC2616" w:rsidR="00FC14DC" w:rsidTr="005C58D3" w14:paraId="5C085AED" w14:textId="77777777">
        <w:trPr>
          <w:trHeight w:val="170"/>
        </w:trPr>
        <w:tc>
          <w:tcPr>
            <w:tcW w:w="567"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3DF06E3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96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4BC21B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3969"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70ADF1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5C58D3" w14:paraId="459F3C2E" w14:textId="77777777">
        <w:trPr>
          <w:trHeight w:val="170"/>
        </w:trPr>
        <w:tc>
          <w:tcPr>
            <w:tcW w:w="567"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47950B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6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3BD944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23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917C7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045FE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83A0A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5D2A5103" w14:textId="77777777">
        <w:trPr>
          <w:trHeight w:val="170"/>
        </w:trPr>
        <w:tc>
          <w:tcPr>
            <w:tcW w:w="8505" w:type="dxa"/>
            <w:gridSpan w:val="5"/>
            <w:shd w:val="clear" w:color="auto" w:fill="FFFFFF"/>
            <w:tcMar>
              <w:top w:w="68" w:type="dxa"/>
              <w:left w:w="28" w:type="dxa"/>
              <w:bottom w:w="0" w:type="dxa"/>
              <w:right w:w="28" w:type="dxa"/>
            </w:tcMar>
            <w:hideMark/>
          </w:tcPr>
          <w:p w:rsidRPr="00FC2616" w:rsidR="00FC14DC" w:rsidP="00FC14DC" w:rsidRDefault="00FC14DC" w14:paraId="08D48C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18 Samhällsplanering, bostadsförsörjning och byggande samt konsumentpolitik</w:t>
            </w:r>
          </w:p>
        </w:tc>
      </w:tr>
      <w:tr w:rsidRPr="00FC2616" w:rsidR="00FC14DC" w:rsidTr="005C58D3" w14:paraId="517751AA" w14:textId="77777777">
        <w:trPr>
          <w:trHeight w:val="170"/>
        </w:trPr>
        <w:tc>
          <w:tcPr>
            <w:tcW w:w="567" w:type="dxa"/>
            <w:shd w:val="clear" w:color="auto" w:fill="FFFFFF"/>
            <w:tcMar>
              <w:top w:w="68" w:type="dxa"/>
              <w:left w:w="28" w:type="dxa"/>
              <w:bottom w:w="0" w:type="dxa"/>
              <w:right w:w="28" w:type="dxa"/>
            </w:tcMar>
            <w:hideMark/>
          </w:tcPr>
          <w:p w:rsidRPr="00FC2616" w:rsidR="00FC14DC" w:rsidP="00FC14DC" w:rsidRDefault="00FC14DC" w14:paraId="3B72D7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3969" w:type="dxa"/>
            <w:shd w:val="clear" w:color="auto" w:fill="FFFFFF"/>
            <w:tcMar>
              <w:top w:w="68" w:type="dxa"/>
              <w:left w:w="28" w:type="dxa"/>
              <w:bottom w:w="0" w:type="dxa"/>
              <w:right w:w="28" w:type="dxa"/>
            </w:tcMar>
            <w:hideMark/>
          </w:tcPr>
          <w:p w:rsidRPr="00FC2616" w:rsidR="00FC14DC" w:rsidP="00FC14DC" w:rsidRDefault="00FC14DC" w14:paraId="3FBA7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Boverket</w:t>
            </w:r>
          </w:p>
        </w:tc>
        <w:tc>
          <w:tcPr>
            <w:tcW w:w="1237" w:type="dxa"/>
            <w:shd w:val="clear" w:color="auto" w:fill="FFFFFF"/>
            <w:tcMar>
              <w:top w:w="68" w:type="dxa"/>
              <w:left w:w="28" w:type="dxa"/>
              <w:bottom w:w="0" w:type="dxa"/>
              <w:right w:w="28" w:type="dxa"/>
            </w:tcMar>
            <w:hideMark/>
          </w:tcPr>
          <w:p w:rsidRPr="00FC2616" w:rsidR="00FC14DC" w:rsidP="00FC14DC" w:rsidRDefault="00FC14DC" w14:paraId="70916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w:t>
            </w:r>
          </w:p>
        </w:tc>
        <w:tc>
          <w:tcPr>
            <w:tcW w:w="1363" w:type="dxa"/>
            <w:shd w:val="clear" w:color="auto" w:fill="FFFFFF"/>
            <w:tcMar>
              <w:top w:w="68" w:type="dxa"/>
              <w:left w:w="28" w:type="dxa"/>
              <w:bottom w:w="0" w:type="dxa"/>
              <w:right w:w="28" w:type="dxa"/>
            </w:tcMar>
            <w:hideMark/>
          </w:tcPr>
          <w:p w:rsidRPr="00FC2616" w:rsidR="00FC14DC" w:rsidP="00FC14DC" w:rsidRDefault="00FC14DC" w14:paraId="14B19C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c>
          <w:tcPr>
            <w:tcW w:w="1369" w:type="dxa"/>
            <w:shd w:val="clear" w:color="auto" w:fill="FFFFFF"/>
            <w:tcMar>
              <w:top w:w="68" w:type="dxa"/>
              <w:left w:w="28" w:type="dxa"/>
              <w:bottom w:w="0" w:type="dxa"/>
              <w:right w:w="28" w:type="dxa"/>
            </w:tcMar>
            <w:hideMark/>
          </w:tcPr>
          <w:p w:rsidRPr="00FC2616" w:rsidR="00FC14DC" w:rsidP="00FC14DC" w:rsidRDefault="00FC14DC" w14:paraId="7CD6A4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r>
      <w:tr w:rsidRPr="00FC2616" w:rsidR="00FC14DC" w:rsidTr="005C58D3" w14:paraId="4ECC86EE" w14:textId="77777777">
        <w:trPr>
          <w:trHeight w:val="170"/>
        </w:trPr>
        <w:tc>
          <w:tcPr>
            <w:tcW w:w="567" w:type="dxa"/>
            <w:shd w:val="clear" w:color="auto" w:fill="FFFFFF"/>
            <w:tcMar>
              <w:top w:w="68" w:type="dxa"/>
              <w:left w:w="28" w:type="dxa"/>
              <w:bottom w:w="0" w:type="dxa"/>
              <w:right w:w="28" w:type="dxa"/>
            </w:tcMar>
            <w:hideMark/>
          </w:tcPr>
          <w:p w:rsidRPr="00FC2616" w:rsidR="00FC14DC" w:rsidP="00FC14DC" w:rsidRDefault="00FC14DC" w14:paraId="6984CD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w:t>
            </w:r>
          </w:p>
        </w:tc>
        <w:tc>
          <w:tcPr>
            <w:tcW w:w="3969" w:type="dxa"/>
            <w:shd w:val="clear" w:color="auto" w:fill="FFFFFF"/>
            <w:tcMar>
              <w:top w:w="68" w:type="dxa"/>
              <w:left w:w="28" w:type="dxa"/>
              <w:bottom w:w="0" w:type="dxa"/>
              <w:right w:w="28" w:type="dxa"/>
            </w:tcMar>
            <w:hideMark/>
          </w:tcPr>
          <w:p w:rsidRPr="00FC2616" w:rsidR="00FC14DC" w:rsidP="00FC14DC" w:rsidRDefault="00FC14DC" w14:paraId="26C06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237" w:type="dxa"/>
            <w:shd w:val="clear" w:color="auto" w:fill="FFFFFF"/>
            <w:tcMar>
              <w:top w:w="68" w:type="dxa"/>
              <w:left w:w="28" w:type="dxa"/>
              <w:bottom w:w="0" w:type="dxa"/>
              <w:right w:w="28" w:type="dxa"/>
            </w:tcMar>
            <w:hideMark/>
          </w:tcPr>
          <w:p w:rsidRPr="00FC2616" w:rsidR="00FC14DC" w:rsidP="00FC14DC" w:rsidRDefault="00FC14DC" w14:paraId="3E9D37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2 560</w:t>
            </w:r>
          </w:p>
        </w:tc>
        <w:tc>
          <w:tcPr>
            <w:tcW w:w="1363" w:type="dxa"/>
            <w:shd w:val="clear" w:color="auto" w:fill="FFFFFF"/>
            <w:tcMar>
              <w:top w:w="68" w:type="dxa"/>
              <w:left w:w="28" w:type="dxa"/>
              <w:bottom w:w="0" w:type="dxa"/>
              <w:right w:w="28" w:type="dxa"/>
            </w:tcMar>
            <w:hideMark/>
          </w:tcPr>
          <w:p w:rsidRPr="00FC2616" w:rsidR="00FC14DC" w:rsidP="00FC14DC" w:rsidRDefault="00FC14DC" w14:paraId="306C2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2 560</w:t>
            </w:r>
          </w:p>
        </w:tc>
        <w:tc>
          <w:tcPr>
            <w:tcW w:w="1369" w:type="dxa"/>
            <w:shd w:val="clear" w:color="auto" w:fill="FFFFFF"/>
            <w:tcMar>
              <w:top w:w="68" w:type="dxa"/>
              <w:left w:w="28" w:type="dxa"/>
              <w:bottom w:w="0" w:type="dxa"/>
              <w:right w:w="28" w:type="dxa"/>
            </w:tcMar>
            <w:hideMark/>
          </w:tcPr>
          <w:p w:rsidRPr="00FC2616" w:rsidR="00FC14DC" w:rsidP="00FC14DC" w:rsidRDefault="00FC14DC" w14:paraId="406070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2 560</w:t>
            </w:r>
          </w:p>
        </w:tc>
      </w:tr>
      <w:tr w:rsidRPr="00FC2616" w:rsidR="00FC14DC" w:rsidTr="005C58D3" w14:paraId="1FB5D1C4" w14:textId="77777777">
        <w:trPr>
          <w:trHeight w:val="170"/>
        </w:trPr>
        <w:tc>
          <w:tcPr>
            <w:tcW w:w="567" w:type="dxa"/>
            <w:shd w:val="clear" w:color="auto" w:fill="FFFFFF"/>
            <w:tcMar>
              <w:top w:w="68" w:type="dxa"/>
              <w:left w:w="28" w:type="dxa"/>
              <w:bottom w:w="0" w:type="dxa"/>
              <w:right w:w="28" w:type="dxa"/>
            </w:tcMar>
            <w:hideMark/>
          </w:tcPr>
          <w:p w:rsidRPr="00FC2616" w:rsidR="00FC14DC" w:rsidP="00FC14DC" w:rsidRDefault="00FC14DC" w14:paraId="176141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w:t>
            </w:r>
          </w:p>
        </w:tc>
        <w:tc>
          <w:tcPr>
            <w:tcW w:w="3969" w:type="dxa"/>
            <w:shd w:val="clear" w:color="auto" w:fill="FFFFFF"/>
            <w:tcMar>
              <w:top w:w="68" w:type="dxa"/>
              <w:left w:w="28" w:type="dxa"/>
              <w:bottom w:w="0" w:type="dxa"/>
              <w:right w:w="28" w:type="dxa"/>
            </w:tcMar>
            <w:hideMark/>
          </w:tcPr>
          <w:p w:rsidRPr="00FC2616" w:rsidR="00FC14DC" w:rsidP="00FC14DC" w:rsidRDefault="00FC14DC" w14:paraId="090CAC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237" w:type="dxa"/>
            <w:shd w:val="clear" w:color="auto" w:fill="FFFFFF"/>
            <w:tcMar>
              <w:top w:w="68" w:type="dxa"/>
              <w:left w:w="28" w:type="dxa"/>
              <w:bottom w:w="0" w:type="dxa"/>
              <w:right w:w="28" w:type="dxa"/>
            </w:tcMar>
            <w:vAlign w:val="bottom"/>
            <w:hideMark/>
          </w:tcPr>
          <w:p w:rsidRPr="00FC2616" w:rsidR="00FC14DC" w:rsidP="00AD28A3" w:rsidRDefault="00FC14DC" w14:paraId="4630C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vAlign w:val="bottom"/>
            <w:hideMark/>
          </w:tcPr>
          <w:p w:rsidRPr="00FC2616" w:rsidR="00FC14DC" w:rsidP="00AD28A3" w:rsidRDefault="00FC14DC" w14:paraId="58DC67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290</w:t>
            </w:r>
          </w:p>
        </w:tc>
        <w:tc>
          <w:tcPr>
            <w:tcW w:w="1369" w:type="dxa"/>
            <w:shd w:val="clear" w:color="auto" w:fill="FFFFFF"/>
            <w:tcMar>
              <w:top w:w="68" w:type="dxa"/>
              <w:left w:w="28" w:type="dxa"/>
              <w:bottom w:w="0" w:type="dxa"/>
              <w:right w:w="28" w:type="dxa"/>
            </w:tcMar>
            <w:vAlign w:val="bottom"/>
            <w:hideMark/>
          </w:tcPr>
          <w:p w:rsidRPr="00FC2616" w:rsidR="00FC14DC" w:rsidP="00AD28A3" w:rsidRDefault="00FC14DC" w14:paraId="1A71ED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2 630</w:t>
            </w:r>
          </w:p>
        </w:tc>
      </w:tr>
      <w:tr w:rsidRPr="00FC2616" w:rsidR="00FC14DC" w:rsidTr="005C58D3" w14:paraId="7F06644C" w14:textId="77777777">
        <w:trPr>
          <w:trHeight w:val="170"/>
        </w:trPr>
        <w:tc>
          <w:tcPr>
            <w:tcW w:w="567" w:type="dxa"/>
            <w:shd w:val="clear" w:color="auto" w:fill="FFFFFF"/>
            <w:tcMar>
              <w:top w:w="68" w:type="dxa"/>
              <w:left w:w="28" w:type="dxa"/>
              <w:bottom w:w="0" w:type="dxa"/>
              <w:right w:w="28" w:type="dxa"/>
            </w:tcMar>
            <w:hideMark/>
          </w:tcPr>
          <w:p w:rsidRPr="00FC2616" w:rsidR="00FC14DC" w:rsidP="00FC14DC" w:rsidRDefault="00FC14DC" w14:paraId="1D3D2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w:t>
            </w:r>
          </w:p>
        </w:tc>
        <w:tc>
          <w:tcPr>
            <w:tcW w:w="3969" w:type="dxa"/>
            <w:shd w:val="clear" w:color="auto" w:fill="FFFFFF"/>
            <w:tcMar>
              <w:top w:w="68" w:type="dxa"/>
              <w:left w:w="28" w:type="dxa"/>
              <w:bottom w:w="0" w:type="dxa"/>
              <w:right w:w="28" w:type="dxa"/>
            </w:tcMar>
            <w:hideMark/>
          </w:tcPr>
          <w:p w:rsidRPr="00FC2616" w:rsidR="00FC14DC" w:rsidP="00FC14DC" w:rsidRDefault="00FC14DC" w14:paraId="4D0EC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Konsumentverket</w:t>
            </w:r>
          </w:p>
        </w:tc>
        <w:tc>
          <w:tcPr>
            <w:tcW w:w="1237" w:type="dxa"/>
            <w:shd w:val="clear" w:color="auto" w:fill="FFFFFF"/>
            <w:tcMar>
              <w:top w:w="68" w:type="dxa"/>
              <w:left w:w="28" w:type="dxa"/>
              <w:bottom w:w="0" w:type="dxa"/>
              <w:right w:w="28" w:type="dxa"/>
            </w:tcMar>
            <w:hideMark/>
          </w:tcPr>
          <w:p w:rsidRPr="00FC2616" w:rsidR="00FC14DC" w:rsidP="00FC14DC" w:rsidRDefault="00FC14DC" w14:paraId="4C3B1A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363" w:type="dxa"/>
            <w:shd w:val="clear" w:color="auto" w:fill="FFFFFF"/>
            <w:tcMar>
              <w:top w:w="68" w:type="dxa"/>
              <w:left w:w="28" w:type="dxa"/>
              <w:bottom w:w="0" w:type="dxa"/>
              <w:right w:w="28" w:type="dxa"/>
            </w:tcMar>
            <w:hideMark/>
          </w:tcPr>
          <w:p w:rsidRPr="00FC2616" w:rsidR="00FC14DC" w:rsidP="00FC14DC" w:rsidRDefault="00FC14DC" w14:paraId="1280C2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369" w:type="dxa"/>
            <w:shd w:val="clear" w:color="auto" w:fill="FFFFFF"/>
            <w:tcMar>
              <w:top w:w="68" w:type="dxa"/>
              <w:left w:w="28" w:type="dxa"/>
              <w:bottom w:w="0" w:type="dxa"/>
              <w:right w:w="28" w:type="dxa"/>
            </w:tcMar>
            <w:hideMark/>
          </w:tcPr>
          <w:p w:rsidRPr="00FC2616" w:rsidR="00FC14DC" w:rsidP="00FC14DC" w:rsidRDefault="00FC14DC" w14:paraId="70AEDA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r>
      <w:tr w:rsidRPr="00FC2616" w:rsidR="00FC14DC" w:rsidTr="005C58D3" w14:paraId="4C0FAD02" w14:textId="77777777">
        <w:trPr>
          <w:trHeight w:val="170"/>
        </w:trPr>
        <w:tc>
          <w:tcPr>
            <w:tcW w:w="567" w:type="dxa"/>
            <w:shd w:val="clear" w:color="auto" w:fill="FFFFFF"/>
            <w:tcMar>
              <w:top w:w="68" w:type="dxa"/>
              <w:left w:w="28" w:type="dxa"/>
              <w:bottom w:w="0" w:type="dxa"/>
              <w:right w:w="28" w:type="dxa"/>
            </w:tcMar>
            <w:hideMark/>
          </w:tcPr>
          <w:p w:rsidRPr="00FC2616" w:rsidR="00FC14DC" w:rsidP="00FC14DC" w:rsidRDefault="00FC14DC" w14:paraId="3342A3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w:t>
            </w:r>
          </w:p>
        </w:tc>
        <w:tc>
          <w:tcPr>
            <w:tcW w:w="3969" w:type="dxa"/>
            <w:shd w:val="clear" w:color="auto" w:fill="FFFFFF"/>
            <w:tcMar>
              <w:top w:w="68" w:type="dxa"/>
              <w:left w:w="28" w:type="dxa"/>
              <w:bottom w:w="0" w:type="dxa"/>
              <w:right w:w="28" w:type="dxa"/>
            </w:tcMar>
            <w:hideMark/>
          </w:tcPr>
          <w:p w:rsidRPr="00FC2616" w:rsidR="00FC14DC" w:rsidP="00FC14DC" w:rsidRDefault="00FC14DC" w14:paraId="1E901A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Allmänna reklamationsnämnden</w:t>
            </w:r>
          </w:p>
        </w:tc>
        <w:tc>
          <w:tcPr>
            <w:tcW w:w="1237" w:type="dxa"/>
            <w:shd w:val="clear" w:color="auto" w:fill="FFFFFF"/>
            <w:tcMar>
              <w:top w:w="68" w:type="dxa"/>
              <w:left w:w="28" w:type="dxa"/>
              <w:bottom w:w="0" w:type="dxa"/>
              <w:right w:w="28" w:type="dxa"/>
            </w:tcMar>
            <w:hideMark/>
          </w:tcPr>
          <w:p w:rsidRPr="00FC2616" w:rsidR="00FC14DC" w:rsidP="00FC14DC" w:rsidRDefault="00FC14DC" w14:paraId="19677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c>
          <w:tcPr>
            <w:tcW w:w="1363" w:type="dxa"/>
            <w:shd w:val="clear" w:color="auto" w:fill="FFFFFF"/>
            <w:tcMar>
              <w:top w:w="68" w:type="dxa"/>
              <w:left w:w="28" w:type="dxa"/>
              <w:bottom w:w="0" w:type="dxa"/>
              <w:right w:w="28" w:type="dxa"/>
            </w:tcMar>
            <w:hideMark/>
          </w:tcPr>
          <w:p w:rsidRPr="00FC2616" w:rsidR="00FC14DC" w:rsidP="00FC14DC" w:rsidRDefault="00FC14DC" w14:paraId="30E7C6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c>
          <w:tcPr>
            <w:tcW w:w="1369" w:type="dxa"/>
            <w:shd w:val="clear" w:color="auto" w:fill="FFFFFF"/>
            <w:tcMar>
              <w:top w:w="68" w:type="dxa"/>
              <w:left w:w="28" w:type="dxa"/>
              <w:bottom w:w="0" w:type="dxa"/>
              <w:right w:w="28" w:type="dxa"/>
            </w:tcMar>
            <w:hideMark/>
          </w:tcPr>
          <w:p w:rsidRPr="00FC2616" w:rsidR="00FC14DC" w:rsidP="00FC14DC" w:rsidRDefault="00FC14DC" w14:paraId="46ABE8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w:t>
            </w:r>
          </w:p>
        </w:tc>
      </w:tr>
      <w:tr w:rsidRPr="00FC2616" w:rsidR="00FC14DC" w:rsidTr="005C58D3" w14:paraId="4E260C8A" w14:textId="77777777">
        <w:trPr>
          <w:trHeight w:val="170"/>
        </w:trPr>
        <w:tc>
          <w:tcPr>
            <w:tcW w:w="567" w:type="dxa"/>
            <w:shd w:val="clear" w:color="auto" w:fill="FFFFFF"/>
            <w:tcMar>
              <w:top w:w="68" w:type="dxa"/>
              <w:left w:w="28" w:type="dxa"/>
              <w:bottom w:w="0" w:type="dxa"/>
              <w:right w:w="28" w:type="dxa"/>
            </w:tcMar>
            <w:hideMark/>
          </w:tcPr>
          <w:p w:rsidRPr="00FC2616" w:rsidR="00FC14DC" w:rsidP="00FC14DC" w:rsidRDefault="00FC14DC" w14:paraId="106D1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2:4</w:t>
            </w:r>
          </w:p>
        </w:tc>
        <w:tc>
          <w:tcPr>
            <w:tcW w:w="3969" w:type="dxa"/>
            <w:shd w:val="clear" w:color="auto" w:fill="FFFFFF"/>
            <w:tcMar>
              <w:top w:w="68" w:type="dxa"/>
              <w:left w:w="28" w:type="dxa"/>
              <w:bottom w:w="0" w:type="dxa"/>
              <w:right w:w="28" w:type="dxa"/>
            </w:tcMar>
            <w:hideMark/>
          </w:tcPr>
          <w:p w:rsidRPr="00FC2616" w:rsidR="00FC14DC" w:rsidP="00FC14DC" w:rsidRDefault="00FC14DC" w14:paraId="43CE2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Åtgärder på konsumentområdet</w:t>
            </w:r>
          </w:p>
        </w:tc>
        <w:tc>
          <w:tcPr>
            <w:tcW w:w="1237" w:type="dxa"/>
            <w:shd w:val="clear" w:color="auto" w:fill="FFFFFF"/>
            <w:tcMar>
              <w:top w:w="68" w:type="dxa"/>
              <w:left w:w="28" w:type="dxa"/>
              <w:bottom w:w="0" w:type="dxa"/>
              <w:right w:w="28" w:type="dxa"/>
            </w:tcMar>
            <w:hideMark/>
          </w:tcPr>
          <w:p w:rsidRPr="00FC2616" w:rsidR="00FC14DC" w:rsidP="00FC14DC" w:rsidRDefault="00FC14DC" w14:paraId="5736F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363" w:type="dxa"/>
            <w:shd w:val="clear" w:color="auto" w:fill="FFFFFF"/>
            <w:tcMar>
              <w:top w:w="68" w:type="dxa"/>
              <w:left w:w="28" w:type="dxa"/>
              <w:bottom w:w="0" w:type="dxa"/>
              <w:right w:w="28" w:type="dxa"/>
            </w:tcMar>
            <w:hideMark/>
          </w:tcPr>
          <w:p w:rsidRPr="00FC2616" w:rsidR="00FC14DC" w:rsidP="00FC14DC" w:rsidRDefault="00FC14DC" w14:paraId="73086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369" w:type="dxa"/>
            <w:shd w:val="clear" w:color="auto" w:fill="FFFFFF"/>
            <w:tcMar>
              <w:top w:w="68" w:type="dxa"/>
              <w:left w:w="28" w:type="dxa"/>
              <w:bottom w:w="0" w:type="dxa"/>
              <w:right w:w="28" w:type="dxa"/>
            </w:tcMar>
            <w:hideMark/>
          </w:tcPr>
          <w:p w:rsidRPr="00FC2616" w:rsidR="00FC14DC" w:rsidP="00FC14DC" w:rsidRDefault="00FC14DC" w14:paraId="2515BD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r>
      <w:tr w:rsidRPr="00FC2616" w:rsidR="00FC14DC" w:rsidTr="005C58D3" w14:paraId="319EC08B" w14:textId="77777777">
        <w:trPr>
          <w:trHeight w:val="170"/>
        </w:trPr>
        <w:tc>
          <w:tcPr>
            <w:tcW w:w="567" w:type="dxa"/>
            <w:shd w:val="clear" w:color="auto" w:fill="FFFFFF"/>
            <w:tcMar>
              <w:top w:w="68" w:type="dxa"/>
              <w:left w:w="28" w:type="dxa"/>
              <w:bottom w:w="0" w:type="dxa"/>
              <w:right w:w="28" w:type="dxa"/>
            </w:tcMar>
            <w:hideMark/>
          </w:tcPr>
          <w:p w:rsidRPr="00FC2616" w:rsidR="00FC14DC" w:rsidP="00FC14DC" w:rsidRDefault="00FC14DC" w14:paraId="24BBF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99:2</w:t>
            </w:r>
          </w:p>
        </w:tc>
        <w:tc>
          <w:tcPr>
            <w:tcW w:w="3969" w:type="dxa"/>
            <w:shd w:val="clear" w:color="auto" w:fill="FFFFFF"/>
            <w:tcMar>
              <w:top w:w="68" w:type="dxa"/>
              <w:left w:w="28" w:type="dxa"/>
              <w:bottom w:w="0" w:type="dxa"/>
              <w:right w:w="28" w:type="dxa"/>
            </w:tcMar>
            <w:hideMark/>
          </w:tcPr>
          <w:p w:rsidRPr="00FC2616" w:rsidR="00FC14DC" w:rsidP="00FC14DC" w:rsidRDefault="00FC14DC" w14:paraId="5A5E9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Statliga topplån för byggande av hyresrätter</w:t>
            </w:r>
          </w:p>
        </w:tc>
        <w:tc>
          <w:tcPr>
            <w:tcW w:w="1237" w:type="dxa"/>
            <w:shd w:val="clear" w:color="auto" w:fill="FFFFFF"/>
            <w:tcMar>
              <w:top w:w="68" w:type="dxa"/>
              <w:left w:w="28" w:type="dxa"/>
              <w:bottom w:w="0" w:type="dxa"/>
              <w:right w:w="28" w:type="dxa"/>
            </w:tcMar>
            <w:hideMark/>
          </w:tcPr>
          <w:p w:rsidRPr="00FC2616" w:rsidR="00FC14DC" w:rsidP="00FC14DC" w:rsidRDefault="00FC14DC" w14:paraId="796116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200</w:t>
            </w:r>
          </w:p>
        </w:tc>
        <w:tc>
          <w:tcPr>
            <w:tcW w:w="1363" w:type="dxa"/>
            <w:shd w:val="clear" w:color="auto" w:fill="FFFFFF"/>
            <w:tcMar>
              <w:top w:w="68" w:type="dxa"/>
              <w:left w:w="28" w:type="dxa"/>
              <w:bottom w:w="0" w:type="dxa"/>
              <w:right w:w="28" w:type="dxa"/>
            </w:tcMar>
            <w:hideMark/>
          </w:tcPr>
          <w:p w:rsidRPr="00FC2616" w:rsidR="00FC14DC" w:rsidP="00FC14DC" w:rsidRDefault="00FC14DC" w14:paraId="1CBC2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300</w:t>
            </w:r>
          </w:p>
        </w:tc>
        <w:tc>
          <w:tcPr>
            <w:tcW w:w="1369" w:type="dxa"/>
            <w:shd w:val="clear" w:color="auto" w:fill="FFFFFF"/>
            <w:tcMar>
              <w:top w:w="68" w:type="dxa"/>
              <w:left w:w="28" w:type="dxa"/>
              <w:bottom w:w="0" w:type="dxa"/>
              <w:right w:w="28" w:type="dxa"/>
            </w:tcMar>
            <w:hideMark/>
          </w:tcPr>
          <w:p w:rsidRPr="00FC2616" w:rsidR="00FC14DC" w:rsidP="00FC14DC" w:rsidRDefault="00FC14DC" w14:paraId="78640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400</w:t>
            </w:r>
          </w:p>
        </w:tc>
      </w:tr>
      <w:tr w:rsidRPr="00FC2616" w:rsidR="00FC14DC" w:rsidTr="005C58D3" w14:paraId="33B2CE22" w14:textId="77777777">
        <w:trPr>
          <w:trHeight w:val="170"/>
        </w:trPr>
        <w:tc>
          <w:tcPr>
            <w:tcW w:w="567" w:type="dxa"/>
            <w:shd w:val="clear" w:color="auto" w:fill="FFFFFF"/>
            <w:tcMar>
              <w:top w:w="68" w:type="dxa"/>
              <w:left w:w="28" w:type="dxa"/>
              <w:bottom w:w="0" w:type="dxa"/>
              <w:right w:w="28" w:type="dxa"/>
            </w:tcMar>
            <w:hideMark/>
          </w:tcPr>
          <w:p w:rsidRPr="00FC2616" w:rsidR="00FC14DC" w:rsidP="00FC14DC" w:rsidRDefault="00FC14DC" w14:paraId="324D71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99:4</w:t>
            </w:r>
          </w:p>
        </w:tc>
        <w:tc>
          <w:tcPr>
            <w:tcW w:w="3969" w:type="dxa"/>
            <w:shd w:val="clear" w:color="auto" w:fill="FFFFFF"/>
            <w:tcMar>
              <w:top w:w="68" w:type="dxa"/>
              <w:left w:w="28" w:type="dxa"/>
              <w:bottom w:w="0" w:type="dxa"/>
              <w:right w:w="28" w:type="dxa"/>
            </w:tcMar>
            <w:hideMark/>
          </w:tcPr>
          <w:p w:rsidRPr="00FC2616" w:rsidR="00FC14DC" w:rsidP="00FC14DC" w:rsidRDefault="00FC14DC" w14:paraId="6018A4B4" w14:textId="7C4DAB2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Klimatanpassningar</w:t>
            </w:r>
            <w:r w:rsidR="00D72964">
              <w:rPr>
                <w:rFonts w:ascii="Times New Roman" w:hAnsi="Times New Roman" w:eastAsia="Times New Roman" w:cs="Times New Roman"/>
                <w:color w:val="000000"/>
                <w:kern w:val="0"/>
                <w:sz w:val="20"/>
                <w:szCs w:val="20"/>
                <w:lang w:eastAsia="sv-SE"/>
                <w14:numSpacing w14:val="default"/>
              </w:rPr>
              <w:t xml:space="preserve"> av</w:t>
            </w:r>
            <w:r w:rsidRPr="00FC2616">
              <w:rPr>
                <w:rFonts w:ascii="Times New Roman" w:hAnsi="Times New Roman" w:eastAsia="Times New Roman" w:cs="Times New Roman"/>
                <w:color w:val="000000"/>
                <w:kern w:val="0"/>
                <w:sz w:val="20"/>
                <w:szCs w:val="20"/>
                <w:lang w:eastAsia="sv-SE"/>
                <w14:numSpacing w14:val="default"/>
              </w:rPr>
              <w:t xml:space="preserve"> befintligt bostadsbestånd</w:t>
            </w:r>
          </w:p>
        </w:tc>
        <w:tc>
          <w:tcPr>
            <w:tcW w:w="1237" w:type="dxa"/>
            <w:shd w:val="clear" w:color="auto" w:fill="FFFFFF"/>
            <w:tcMar>
              <w:top w:w="68" w:type="dxa"/>
              <w:left w:w="28" w:type="dxa"/>
              <w:bottom w:w="0" w:type="dxa"/>
              <w:right w:w="28" w:type="dxa"/>
            </w:tcMar>
            <w:hideMark/>
          </w:tcPr>
          <w:p w:rsidRPr="00FC2616" w:rsidR="00FC14DC" w:rsidP="00FC14DC" w:rsidRDefault="00FC14DC" w14:paraId="2C7387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hideMark/>
          </w:tcPr>
          <w:p w:rsidRPr="00FC2616" w:rsidR="00FC14DC" w:rsidP="00FC14DC" w:rsidRDefault="00FC14DC" w14:paraId="67149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2 440</w:t>
            </w:r>
          </w:p>
        </w:tc>
        <w:tc>
          <w:tcPr>
            <w:tcW w:w="1369" w:type="dxa"/>
            <w:shd w:val="clear" w:color="auto" w:fill="FFFFFF"/>
            <w:tcMar>
              <w:top w:w="68" w:type="dxa"/>
              <w:left w:w="28" w:type="dxa"/>
              <w:bottom w:w="0" w:type="dxa"/>
              <w:right w:w="28" w:type="dxa"/>
            </w:tcMar>
            <w:hideMark/>
          </w:tcPr>
          <w:p w:rsidRPr="00FC2616" w:rsidR="00FC14DC" w:rsidP="00FC14DC" w:rsidRDefault="00FC14DC" w14:paraId="1CD85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4 940</w:t>
            </w:r>
          </w:p>
        </w:tc>
      </w:tr>
      <w:tr w:rsidRPr="00FC2616" w:rsidR="00FC14DC" w:rsidTr="005C58D3" w14:paraId="124E0703" w14:textId="77777777">
        <w:trPr>
          <w:trHeight w:val="170"/>
        </w:trPr>
        <w:tc>
          <w:tcPr>
            <w:tcW w:w="567" w:type="dxa"/>
            <w:shd w:val="clear" w:color="auto" w:fill="FFFFFF"/>
            <w:tcMar>
              <w:top w:w="68" w:type="dxa"/>
              <w:left w:w="28" w:type="dxa"/>
              <w:bottom w:w="0" w:type="dxa"/>
              <w:right w:w="28" w:type="dxa"/>
            </w:tcMar>
            <w:hideMark/>
          </w:tcPr>
          <w:p w:rsidRPr="00FC2616" w:rsidR="00FC14DC" w:rsidP="00FC14DC" w:rsidRDefault="00FC14DC" w14:paraId="6D9AB6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99:5</w:t>
            </w:r>
          </w:p>
        </w:tc>
        <w:tc>
          <w:tcPr>
            <w:tcW w:w="3969" w:type="dxa"/>
            <w:shd w:val="clear" w:color="auto" w:fill="FFFFFF"/>
            <w:tcMar>
              <w:top w:w="68" w:type="dxa"/>
              <w:left w:w="28" w:type="dxa"/>
              <w:bottom w:w="0" w:type="dxa"/>
              <w:right w:w="28" w:type="dxa"/>
            </w:tcMar>
            <w:hideMark/>
          </w:tcPr>
          <w:p w:rsidRPr="00FC2616" w:rsidR="00FC14DC" w:rsidP="00FC14DC" w:rsidRDefault="00FC14DC" w14:paraId="634730C5" w14:textId="1FD112E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Klimatanpassningar</w:t>
            </w:r>
            <w:r w:rsidR="00345DD9">
              <w:rPr>
                <w:rFonts w:ascii="Times New Roman" w:hAnsi="Times New Roman" w:eastAsia="Times New Roman" w:cs="Times New Roman"/>
                <w:color w:val="000000"/>
                <w:kern w:val="0"/>
                <w:sz w:val="20"/>
                <w:szCs w:val="20"/>
                <w:lang w:eastAsia="sv-SE"/>
                <w14:numSpacing w14:val="default"/>
              </w:rPr>
              <w:t xml:space="preserve"> av</w:t>
            </w:r>
            <w:r w:rsidRPr="00FC2616">
              <w:rPr>
                <w:rFonts w:ascii="Times New Roman" w:hAnsi="Times New Roman" w:eastAsia="Times New Roman" w:cs="Times New Roman"/>
                <w:color w:val="000000"/>
                <w:kern w:val="0"/>
                <w:sz w:val="20"/>
                <w:szCs w:val="20"/>
                <w:lang w:eastAsia="sv-SE"/>
                <w14:numSpacing w14:val="default"/>
              </w:rPr>
              <w:t xml:space="preserve"> nytt bostadsbestånd</w:t>
            </w:r>
          </w:p>
        </w:tc>
        <w:tc>
          <w:tcPr>
            <w:tcW w:w="1237" w:type="dxa"/>
            <w:shd w:val="clear" w:color="auto" w:fill="FFFFFF"/>
            <w:tcMar>
              <w:top w:w="68" w:type="dxa"/>
              <w:left w:w="28" w:type="dxa"/>
              <w:bottom w:w="0" w:type="dxa"/>
              <w:right w:w="28" w:type="dxa"/>
            </w:tcMar>
            <w:hideMark/>
          </w:tcPr>
          <w:p w:rsidRPr="00FC2616" w:rsidR="00FC14DC" w:rsidP="00FC14DC" w:rsidRDefault="00FC14DC" w14:paraId="3D26CE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hideMark/>
          </w:tcPr>
          <w:p w:rsidRPr="00FC2616" w:rsidR="00FC14DC" w:rsidP="00FC14DC" w:rsidRDefault="00FC14DC" w14:paraId="14D89B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3 000</w:t>
            </w:r>
          </w:p>
        </w:tc>
        <w:tc>
          <w:tcPr>
            <w:tcW w:w="1369" w:type="dxa"/>
            <w:shd w:val="clear" w:color="auto" w:fill="FFFFFF"/>
            <w:tcMar>
              <w:top w:w="68" w:type="dxa"/>
              <w:left w:w="28" w:type="dxa"/>
              <w:bottom w:w="0" w:type="dxa"/>
              <w:right w:w="28" w:type="dxa"/>
            </w:tcMar>
            <w:hideMark/>
          </w:tcPr>
          <w:p w:rsidRPr="00FC2616" w:rsidR="00FC14DC" w:rsidP="00FC14DC" w:rsidRDefault="00FC14DC" w14:paraId="54D1D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3 000</w:t>
            </w:r>
          </w:p>
        </w:tc>
      </w:tr>
      <w:tr w:rsidRPr="00FC2616" w:rsidR="00FC14DC" w:rsidTr="005C58D3" w14:paraId="15D0F6A8" w14:textId="77777777">
        <w:trPr>
          <w:trHeight w:val="170"/>
        </w:trPr>
        <w:tc>
          <w:tcPr>
            <w:tcW w:w="567" w:type="dxa"/>
            <w:shd w:val="clear" w:color="auto" w:fill="FFFFFF"/>
            <w:tcMar>
              <w:top w:w="68" w:type="dxa"/>
              <w:left w:w="28" w:type="dxa"/>
              <w:bottom w:w="0" w:type="dxa"/>
              <w:right w:w="28" w:type="dxa"/>
            </w:tcMar>
            <w:hideMark/>
          </w:tcPr>
          <w:p w:rsidRPr="00FC2616" w:rsidR="00FC14DC" w:rsidP="00FC14DC" w:rsidRDefault="00FC14DC" w14:paraId="566FBF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99:6</w:t>
            </w:r>
          </w:p>
        </w:tc>
        <w:tc>
          <w:tcPr>
            <w:tcW w:w="3969" w:type="dxa"/>
            <w:shd w:val="clear" w:color="auto" w:fill="FFFFFF"/>
            <w:tcMar>
              <w:top w:w="68" w:type="dxa"/>
              <w:left w:w="28" w:type="dxa"/>
              <w:bottom w:w="0" w:type="dxa"/>
              <w:right w:w="28" w:type="dxa"/>
            </w:tcMar>
            <w:hideMark/>
          </w:tcPr>
          <w:p w:rsidRPr="00FC2616" w:rsidR="00FC14DC" w:rsidP="00FC14DC" w:rsidRDefault="00FC14DC" w14:paraId="181841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investeringsstöd för att upprusta, utveckla och bygga nya lekparker, bemannade parklekar och områden för spontanidrott</w:t>
            </w:r>
          </w:p>
        </w:tc>
        <w:tc>
          <w:tcPr>
            <w:tcW w:w="1237" w:type="dxa"/>
            <w:shd w:val="clear" w:color="auto" w:fill="FFFFFF"/>
            <w:tcMar>
              <w:top w:w="68" w:type="dxa"/>
              <w:left w:w="28" w:type="dxa"/>
              <w:bottom w:w="0" w:type="dxa"/>
              <w:right w:w="28" w:type="dxa"/>
            </w:tcMar>
            <w:vAlign w:val="bottom"/>
            <w:hideMark/>
          </w:tcPr>
          <w:p w:rsidRPr="00FC2616" w:rsidR="00FC14DC" w:rsidP="00AD28A3" w:rsidRDefault="00FC14DC" w14:paraId="7583C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500</w:t>
            </w:r>
          </w:p>
        </w:tc>
        <w:tc>
          <w:tcPr>
            <w:tcW w:w="1363" w:type="dxa"/>
            <w:shd w:val="clear" w:color="auto" w:fill="FFFFFF"/>
            <w:tcMar>
              <w:top w:w="68" w:type="dxa"/>
              <w:left w:w="28" w:type="dxa"/>
              <w:bottom w:w="0" w:type="dxa"/>
              <w:right w:w="28" w:type="dxa"/>
            </w:tcMar>
            <w:vAlign w:val="bottom"/>
            <w:hideMark/>
          </w:tcPr>
          <w:p w:rsidRPr="00FC2616" w:rsidR="00FC14DC" w:rsidP="00AD28A3" w:rsidRDefault="00FC14DC" w14:paraId="5BA2E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500</w:t>
            </w:r>
          </w:p>
        </w:tc>
        <w:tc>
          <w:tcPr>
            <w:tcW w:w="1369" w:type="dxa"/>
            <w:shd w:val="clear" w:color="auto" w:fill="FFFFFF"/>
            <w:tcMar>
              <w:top w:w="68" w:type="dxa"/>
              <w:left w:w="28" w:type="dxa"/>
              <w:bottom w:w="0" w:type="dxa"/>
              <w:right w:w="28" w:type="dxa"/>
            </w:tcMar>
            <w:vAlign w:val="bottom"/>
            <w:hideMark/>
          </w:tcPr>
          <w:p w:rsidRPr="00FC2616" w:rsidR="00FC14DC" w:rsidP="00AD28A3" w:rsidRDefault="00FC14DC" w14:paraId="12B3C6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500</w:t>
            </w:r>
          </w:p>
        </w:tc>
      </w:tr>
      <w:tr w:rsidRPr="00FC2616" w:rsidR="00FC14DC" w:rsidTr="005C58D3" w14:paraId="34CD1F77" w14:textId="77777777">
        <w:trPr>
          <w:trHeight w:val="170"/>
        </w:trPr>
        <w:tc>
          <w:tcPr>
            <w:tcW w:w="4536"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0C934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23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9E87A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3 378</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6BD8A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9 210</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07B49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14 150</w:t>
            </w:r>
          </w:p>
        </w:tc>
      </w:tr>
    </w:tbl>
    <w:p w:rsidRPr="00EB13F9" w:rsidR="00FC14DC" w:rsidP="00EB13F9" w:rsidRDefault="00FC14DC" w14:paraId="6A210F79" w14:textId="1A2CD933">
      <w:pPr>
        <w:pStyle w:val="Tabellrubrik"/>
        <w:spacing w:before="300"/>
      </w:pPr>
      <w:r w:rsidRPr="00EB13F9">
        <w:lastRenderedPageBreak/>
        <w:t>Avvikelser gentemot regeringen för utgiftsområde 19 Regional utveckling</w:t>
      </w:r>
    </w:p>
    <w:p w:rsidRPr="00EB13F9" w:rsidR="00FC14DC" w:rsidP="00EB13F9" w:rsidRDefault="00FC14DC" w14:paraId="115B8640" w14:textId="77777777">
      <w:pPr>
        <w:pStyle w:val="Tabellunderrubrik"/>
      </w:pPr>
      <w:r w:rsidRPr="00EB13F9">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3"/>
        <w:gridCol w:w="1378"/>
        <w:gridCol w:w="1378"/>
        <w:gridCol w:w="1378"/>
      </w:tblGrid>
      <w:tr w:rsidRPr="00FC2616" w:rsidR="00FC14DC" w:rsidTr="00FC14DC" w14:paraId="0FBAE98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7F3A114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71B69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05F7D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616B4D6E"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109ED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390094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659A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7F5E6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F9D52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7A10A30B"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6C865F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19 Regional utveckling</w:t>
            </w:r>
          </w:p>
        </w:tc>
      </w:tr>
      <w:tr w:rsidRPr="00FC2616" w:rsidR="00FC14DC" w:rsidTr="00FC14DC" w14:paraId="39E60D24"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B4BD6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57694B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hideMark/>
          </w:tcPr>
          <w:p w:rsidRPr="00FC2616" w:rsidR="00FC14DC" w:rsidP="00FC14DC" w:rsidRDefault="00FC14DC" w14:paraId="7D75B2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70</w:t>
            </w:r>
          </w:p>
        </w:tc>
        <w:tc>
          <w:tcPr>
            <w:tcW w:w="1418" w:type="dxa"/>
            <w:shd w:val="clear" w:color="auto" w:fill="FFFFFF"/>
            <w:tcMar>
              <w:top w:w="68" w:type="dxa"/>
              <w:left w:w="28" w:type="dxa"/>
              <w:bottom w:w="0" w:type="dxa"/>
              <w:right w:w="28" w:type="dxa"/>
            </w:tcMar>
            <w:hideMark/>
          </w:tcPr>
          <w:p w:rsidRPr="00FC2616" w:rsidR="00FC14DC" w:rsidP="00FC14DC" w:rsidRDefault="00FC14DC" w14:paraId="275DD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70</w:t>
            </w:r>
          </w:p>
        </w:tc>
        <w:tc>
          <w:tcPr>
            <w:tcW w:w="1418" w:type="dxa"/>
            <w:shd w:val="clear" w:color="auto" w:fill="FFFFFF"/>
            <w:tcMar>
              <w:top w:w="68" w:type="dxa"/>
              <w:left w:w="28" w:type="dxa"/>
              <w:bottom w:w="0" w:type="dxa"/>
              <w:right w:w="28" w:type="dxa"/>
            </w:tcMar>
            <w:hideMark/>
          </w:tcPr>
          <w:p w:rsidRPr="00FC2616" w:rsidR="00FC14DC" w:rsidP="00FC14DC" w:rsidRDefault="00FC14DC" w14:paraId="56E8B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r>
      <w:tr w:rsidRPr="00FC2616" w:rsidR="00FC14DC" w:rsidTr="00FC14DC" w14:paraId="48EEA3C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4992F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55D8E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1226F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12C3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30</w:t>
            </w:r>
          </w:p>
        </w:tc>
      </w:tr>
    </w:tbl>
    <w:p w:rsidRPr="00A63447" w:rsidR="00FC14DC" w:rsidP="00A63447" w:rsidRDefault="00FC14DC" w14:paraId="47D16541" w14:textId="55CF428A">
      <w:pPr>
        <w:pStyle w:val="Tabellrubrik"/>
        <w:spacing w:before="300"/>
      </w:pPr>
      <w:r w:rsidRPr="00A63447">
        <w:t>Avvikelser gentemot regeringen för utgiftsområde 20 Allmän miljö- och naturvård </w:t>
      </w:r>
    </w:p>
    <w:p w:rsidRPr="00A63447" w:rsidR="00FC14DC" w:rsidP="00A63447" w:rsidRDefault="00FC14DC" w14:paraId="472648E7" w14:textId="77777777">
      <w:pPr>
        <w:pStyle w:val="Tabellunderrubrik"/>
      </w:pPr>
      <w:r w:rsidRPr="00A6344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88"/>
        <w:gridCol w:w="1369"/>
        <w:gridCol w:w="1368"/>
        <w:gridCol w:w="1368"/>
      </w:tblGrid>
      <w:tr w:rsidRPr="00FC2616" w:rsidR="00FC14DC" w:rsidTr="00FC14DC" w14:paraId="6E012D9D"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22C79B0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E938F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DED27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3E31347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3E3FC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302ED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0CDF8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8C19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5F76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63916D66"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00B61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20 Allmän miljö- och naturvård</w:t>
            </w:r>
          </w:p>
        </w:tc>
      </w:tr>
      <w:tr w:rsidRPr="00FC2616" w:rsidR="00FC14DC" w:rsidTr="00FC14DC" w14:paraId="4F5AD892"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D1EDD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041A4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FC2616" w:rsidR="00FC14DC" w:rsidP="00FC14DC" w:rsidRDefault="00FC14DC" w14:paraId="7EA702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hideMark/>
          </w:tcPr>
          <w:p w:rsidRPr="00FC2616" w:rsidR="00FC14DC" w:rsidP="00FC14DC" w:rsidRDefault="00FC14DC" w14:paraId="680D8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695726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r>
      <w:tr w:rsidRPr="00FC2616" w:rsidR="00FC14DC" w:rsidTr="00FC14DC" w14:paraId="254ED06C"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B334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29305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FC2616" w:rsidR="00FC14DC" w:rsidP="00FC14DC" w:rsidRDefault="00FC14DC" w14:paraId="3DA0A3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122</w:t>
            </w:r>
          </w:p>
        </w:tc>
        <w:tc>
          <w:tcPr>
            <w:tcW w:w="1418" w:type="dxa"/>
            <w:shd w:val="clear" w:color="auto" w:fill="FFFFFF"/>
            <w:tcMar>
              <w:top w:w="68" w:type="dxa"/>
              <w:left w:w="28" w:type="dxa"/>
              <w:bottom w:w="0" w:type="dxa"/>
              <w:right w:w="28" w:type="dxa"/>
            </w:tcMar>
            <w:hideMark/>
          </w:tcPr>
          <w:p w:rsidRPr="00FC2616" w:rsidR="00FC14DC" w:rsidP="00FC14DC" w:rsidRDefault="00FC14DC" w14:paraId="56AB5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130</w:t>
            </w:r>
          </w:p>
        </w:tc>
        <w:tc>
          <w:tcPr>
            <w:tcW w:w="1418" w:type="dxa"/>
            <w:shd w:val="clear" w:color="auto" w:fill="FFFFFF"/>
            <w:tcMar>
              <w:top w:w="68" w:type="dxa"/>
              <w:left w:w="28" w:type="dxa"/>
              <w:bottom w:w="0" w:type="dxa"/>
              <w:right w:w="28" w:type="dxa"/>
            </w:tcMar>
            <w:hideMark/>
          </w:tcPr>
          <w:p w:rsidRPr="00FC2616" w:rsidR="00FC14DC" w:rsidP="00FC14DC" w:rsidRDefault="00FC14DC" w14:paraId="06592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135</w:t>
            </w:r>
          </w:p>
        </w:tc>
      </w:tr>
      <w:tr w:rsidRPr="00FC2616" w:rsidR="00FC14DC" w:rsidTr="00FC14DC" w14:paraId="1C24CF44"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B9E7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C2616" w:rsidR="00FC14DC" w:rsidP="00FC14DC" w:rsidRDefault="00FC14DC" w14:paraId="69A076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FC2616" w:rsidR="00FC14DC" w:rsidP="00FC14DC" w:rsidRDefault="00FC14DC" w14:paraId="4BEB62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1 870</w:t>
            </w:r>
          </w:p>
        </w:tc>
        <w:tc>
          <w:tcPr>
            <w:tcW w:w="1418" w:type="dxa"/>
            <w:shd w:val="clear" w:color="auto" w:fill="FFFFFF"/>
            <w:tcMar>
              <w:top w:w="68" w:type="dxa"/>
              <w:left w:w="28" w:type="dxa"/>
              <w:bottom w:w="0" w:type="dxa"/>
              <w:right w:w="28" w:type="dxa"/>
            </w:tcMar>
            <w:hideMark/>
          </w:tcPr>
          <w:p w:rsidRPr="00FC2616" w:rsidR="00FC14DC" w:rsidP="00FC14DC" w:rsidRDefault="00FC14DC" w14:paraId="20213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1 990</w:t>
            </w:r>
          </w:p>
        </w:tc>
        <w:tc>
          <w:tcPr>
            <w:tcW w:w="1418" w:type="dxa"/>
            <w:shd w:val="clear" w:color="auto" w:fill="FFFFFF"/>
            <w:tcMar>
              <w:top w:w="68" w:type="dxa"/>
              <w:left w:w="28" w:type="dxa"/>
              <w:bottom w:w="0" w:type="dxa"/>
              <w:right w:w="28" w:type="dxa"/>
            </w:tcMar>
            <w:hideMark/>
          </w:tcPr>
          <w:p w:rsidRPr="00FC2616" w:rsidR="00FC14DC" w:rsidP="00FC14DC" w:rsidRDefault="00FC14DC" w14:paraId="35E13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2 090</w:t>
            </w:r>
          </w:p>
        </w:tc>
      </w:tr>
      <w:tr w:rsidRPr="00FC2616" w:rsidR="00FC14DC" w:rsidTr="00EB13F9" w14:paraId="4B6F7D93"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B302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C2616" w:rsidR="00FC14DC" w:rsidP="00FC14DC" w:rsidRDefault="00FC14DC" w14:paraId="11B93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08AF77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4E78B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84</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0739B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118</w:t>
            </w:r>
          </w:p>
        </w:tc>
      </w:tr>
      <w:tr w:rsidRPr="00FC2616" w:rsidR="00FC14DC" w:rsidTr="00FC14DC" w14:paraId="0ADFC4F1"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F315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C2616" w:rsidR="00FC14DC" w:rsidP="00FC14DC" w:rsidRDefault="00FC14DC" w14:paraId="721971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FC2616" w:rsidR="00FC14DC" w:rsidP="00FC14DC" w:rsidRDefault="00FC14DC" w14:paraId="551AFA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070D73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2A07D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r>
      <w:tr w:rsidRPr="00FC2616" w:rsidR="00FC14DC" w:rsidTr="00FC14DC" w14:paraId="777EF1D5"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59307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C2616" w:rsidR="00FC14DC" w:rsidP="00FC14DC" w:rsidRDefault="00FC14DC" w14:paraId="34A4CA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hideMark/>
          </w:tcPr>
          <w:p w:rsidRPr="00FC2616" w:rsidR="00FC14DC" w:rsidP="00FC14DC" w:rsidRDefault="00FC14DC" w14:paraId="30ECCC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−2 985</w:t>
            </w:r>
          </w:p>
        </w:tc>
        <w:tc>
          <w:tcPr>
            <w:tcW w:w="1418" w:type="dxa"/>
            <w:shd w:val="clear" w:color="auto" w:fill="FFFFFF"/>
            <w:tcMar>
              <w:top w:w="68" w:type="dxa"/>
              <w:left w:w="28" w:type="dxa"/>
              <w:bottom w:w="0" w:type="dxa"/>
              <w:right w:w="28" w:type="dxa"/>
            </w:tcMar>
            <w:hideMark/>
          </w:tcPr>
          <w:p w:rsidRPr="00FC2616" w:rsidR="00FC14DC" w:rsidP="00FC14DC" w:rsidRDefault="00FC14DC" w14:paraId="075F0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2 970</w:t>
            </w:r>
          </w:p>
        </w:tc>
        <w:tc>
          <w:tcPr>
            <w:tcW w:w="1418" w:type="dxa"/>
            <w:shd w:val="clear" w:color="auto" w:fill="FFFFFF"/>
            <w:tcMar>
              <w:top w:w="68" w:type="dxa"/>
              <w:left w:w="28" w:type="dxa"/>
              <w:bottom w:w="0" w:type="dxa"/>
              <w:right w:w="28" w:type="dxa"/>
            </w:tcMar>
            <w:hideMark/>
          </w:tcPr>
          <w:p w:rsidRPr="00FC2616" w:rsidR="00FC14DC" w:rsidP="00FC14DC" w:rsidRDefault="00FC14DC" w14:paraId="634209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2 970</w:t>
            </w:r>
          </w:p>
        </w:tc>
      </w:tr>
      <w:tr w:rsidRPr="00FC2616" w:rsidR="00FC14DC" w:rsidTr="00EB13F9" w14:paraId="11F599AC"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C107B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FC2616" w:rsidR="00FC14DC" w:rsidP="00FC14DC" w:rsidRDefault="00FC14DC" w14:paraId="7F701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0A54D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73ED1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69B64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2EB5D712"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6150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FC2616" w:rsidR="00FC14DC" w:rsidP="00FC14DC" w:rsidRDefault="00FC14DC" w14:paraId="3F8FF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FC2616" w:rsidR="00FC14DC" w:rsidP="00FC14DC" w:rsidRDefault="00FC14DC" w14:paraId="10AADD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335</w:t>
            </w:r>
          </w:p>
        </w:tc>
        <w:tc>
          <w:tcPr>
            <w:tcW w:w="1418" w:type="dxa"/>
            <w:shd w:val="clear" w:color="auto" w:fill="FFFFFF"/>
            <w:tcMar>
              <w:top w:w="68" w:type="dxa"/>
              <w:left w:w="28" w:type="dxa"/>
              <w:bottom w:w="0" w:type="dxa"/>
              <w:right w:w="28" w:type="dxa"/>
            </w:tcMar>
            <w:hideMark/>
          </w:tcPr>
          <w:p w:rsidRPr="00FC2616" w:rsidR="00FC14DC" w:rsidP="00FC14DC" w:rsidRDefault="00FC14DC" w14:paraId="05F6C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370</w:t>
            </w:r>
          </w:p>
        </w:tc>
        <w:tc>
          <w:tcPr>
            <w:tcW w:w="1418" w:type="dxa"/>
            <w:shd w:val="clear" w:color="auto" w:fill="FFFFFF"/>
            <w:tcMar>
              <w:top w:w="68" w:type="dxa"/>
              <w:left w:w="28" w:type="dxa"/>
              <w:bottom w:w="0" w:type="dxa"/>
              <w:right w:w="28" w:type="dxa"/>
            </w:tcMar>
            <w:hideMark/>
          </w:tcPr>
          <w:p w:rsidRPr="00FC2616" w:rsidR="00FC14DC" w:rsidP="00FC14DC" w:rsidRDefault="00FC14DC" w14:paraId="6844B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591</w:t>
            </w:r>
          </w:p>
        </w:tc>
      </w:tr>
      <w:tr w:rsidRPr="00FC2616" w:rsidR="00FC14DC" w:rsidTr="00FC14DC" w14:paraId="76052F83"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1088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1:13</w:t>
            </w:r>
          </w:p>
        </w:tc>
        <w:tc>
          <w:tcPr>
            <w:tcW w:w="4139" w:type="dxa"/>
            <w:shd w:val="clear" w:color="auto" w:fill="FFFFFF"/>
            <w:tcMar>
              <w:top w:w="68" w:type="dxa"/>
              <w:left w:w="28" w:type="dxa"/>
              <w:bottom w:w="0" w:type="dxa"/>
              <w:right w:w="28" w:type="dxa"/>
            </w:tcMar>
            <w:hideMark/>
          </w:tcPr>
          <w:p w:rsidRPr="00FC2616" w:rsidR="00FC14DC" w:rsidP="00FC14DC" w:rsidRDefault="00FC14DC" w14:paraId="0FDF9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FC2616" w:rsidR="00FC14DC" w:rsidP="00FC14DC" w:rsidRDefault="00FC14DC" w14:paraId="0F861F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27770D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1D44DD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r>
      <w:tr w:rsidRPr="00FC2616" w:rsidR="00FC14DC" w:rsidTr="00FC14DC" w14:paraId="0F4B3D68"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FFCB7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1:14</w:t>
            </w:r>
          </w:p>
        </w:tc>
        <w:tc>
          <w:tcPr>
            <w:tcW w:w="4139" w:type="dxa"/>
            <w:shd w:val="clear" w:color="auto" w:fill="FFFFFF"/>
            <w:tcMar>
              <w:top w:w="68" w:type="dxa"/>
              <w:left w:w="28" w:type="dxa"/>
              <w:bottom w:w="0" w:type="dxa"/>
              <w:right w:w="28" w:type="dxa"/>
            </w:tcMar>
            <w:hideMark/>
          </w:tcPr>
          <w:p w:rsidRPr="00FC2616" w:rsidR="00FC14DC" w:rsidP="00FC14DC" w:rsidRDefault="00FC14DC" w14:paraId="5D153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FC2616" w:rsidR="00FC14DC" w:rsidP="00FC14DC" w:rsidRDefault="00FC14DC" w14:paraId="12D399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3 150</w:t>
            </w:r>
          </w:p>
        </w:tc>
        <w:tc>
          <w:tcPr>
            <w:tcW w:w="1418" w:type="dxa"/>
            <w:shd w:val="clear" w:color="auto" w:fill="FFFFFF"/>
            <w:tcMar>
              <w:top w:w="68" w:type="dxa"/>
              <w:left w:w="28" w:type="dxa"/>
              <w:bottom w:w="0" w:type="dxa"/>
              <w:right w:w="28" w:type="dxa"/>
            </w:tcMar>
            <w:hideMark/>
          </w:tcPr>
          <w:p w:rsidRPr="00FC2616" w:rsidR="00FC14DC" w:rsidP="00FC14DC" w:rsidRDefault="00FC14DC" w14:paraId="5AA826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3 150</w:t>
            </w:r>
          </w:p>
        </w:tc>
        <w:tc>
          <w:tcPr>
            <w:tcW w:w="1418" w:type="dxa"/>
            <w:shd w:val="clear" w:color="auto" w:fill="FFFFFF"/>
            <w:tcMar>
              <w:top w:w="68" w:type="dxa"/>
              <w:left w:w="28" w:type="dxa"/>
              <w:bottom w:w="0" w:type="dxa"/>
              <w:right w:w="28" w:type="dxa"/>
            </w:tcMar>
            <w:hideMark/>
          </w:tcPr>
          <w:p w:rsidRPr="00FC2616" w:rsidR="00FC14DC" w:rsidP="00FC14DC" w:rsidRDefault="00FC14DC" w14:paraId="7FD7A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4 185</w:t>
            </w:r>
          </w:p>
        </w:tc>
      </w:tr>
      <w:tr w:rsidRPr="00FC2616" w:rsidR="00FC14DC" w:rsidTr="00FC14DC" w14:paraId="155D28B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47F6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1:16</w:t>
            </w:r>
          </w:p>
        </w:tc>
        <w:tc>
          <w:tcPr>
            <w:tcW w:w="4139" w:type="dxa"/>
            <w:shd w:val="clear" w:color="auto" w:fill="FFFFFF"/>
            <w:tcMar>
              <w:top w:w="68" w:type="dxa"/>
              <w:left w:w="28" w:type="dxa"/>
              <w:bottom w:w="0" w:type="dxa"/>
              <w:right w:w="28" w:type="dxa"/>
            </w:tcMar>
            <w:hideMark/>
          </w:tcPr>
          <w:p w:rsidRPr="00FC2616" w:rsidR="00FC14DC" w:rsidP="00FC14DC" w:rsidRDefault="00FC14DC" w14:paraId="3746AB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FC2616" w:rsidR="00FC14DC" w:rsidP="00FC14DC" w:rsidRDefault="00FC14DC" w14:paraId="2D2FEE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22E734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1ACBB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1 755</w:t>
            </w:r>
          </w:p>
        </w:tc>
      </w:tr>
      <w:tr w:rsidRPr="00FC2616" w:rsidR="00FC14DC" w:rsidTr="00FC14DC" w14:paraId="1280E3B4"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1EFC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1:17</w:t>
            </w:r>
          </w:p>
        </w:tc>
        <w:tc>
          <w:tcPr>
            <w:tcW w:w="4139" w:type="dxa"/>
            <w:shd w:val="clear" w:color="auto" w:fill="FFFFFF"/>
            <w:tcMar>
              <w:top w:w="68" w:type="dxa"/>
              <w:left w:w="28" w:type="dxa"/>
              <w:bottom w:w="0" w:type="dxa"/>
              <w:right w:w="28" w:type="dxa"/>
            </w:tcMar>
            <w:hideMark/>
          </w:tcPr>
          <w:p w:rsidRPr="00FC2616" w:rsidR="00FC14DC" w:rsidP="00FC14DC" w:rsidRDefault="00FC14DC" w14:paraId="5604C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FC2616" w:rsidR="00FC14DC" w:rsidP="00FC14DC" w:rsidRDefault="00FC14DC" w14:paraId="1028B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FC2616" w:rsidR="00FC14DC" w:rsidP="00FC14DC" w:rsidRDefault="00FC14DC" w14:paraId="0588D3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FC2616" w:rsidR="00FC14DC" w:rsidP="00FC14DC" w:rsidRDefault="00FC14DC" w14:paraId="6D19D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1 000</w:t>
            </w:r>
          </w:p>
        </w:tc>
      </w:tr>
      <w:tr w:rsidRPr="00FC2616" w:rsidR="00FC14DC" w:rsidTr="00EB13F9" w14:paraId="5D6B8B7A"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5AC3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1:19</w:t>
            </w:r>
          </w:p>
        </w:tc>
        <w:tc>
          <w:tcPr>
            <w:tcW w:w="4139" w:type="dxa"/>
            <w:shd w:val="clear" w:color="auto" w:fill="FFFFFF"/>
            <w:tcMar>
              <w:top w:w="68" w:type="dxa"/>
              <w:left w:w="28" w:type="dxa"/>
              <w:bottom w:w="0" w:type="dxa"/>
              <w:right w:w="28" w:type="dxa"/>
            </w:tcMar>
            <w:hideMark/>
          </w:tcPr>
          <w:p w:rsidRPr="00FC2616" w:rsidR="00FC14DC" w:rsidP="00FC14DC" w:rsidRDefault="00FC14DC" w14:paraId="6A9AAE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4B1CE2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2E1A4F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4262A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r>
      <w:tr w:rsidRPr="00FC2616" w:rsidR="00FC14DC" w:rsidTr="00FC14DC" w14:paraId="723A8CED"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1D2B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1:21</w:t>
            </w:r>
          </w:p>
        </w:tc>
        <w:tc>
          <w:tcPr>
            <w:tcW w:w="4139" w:type="dxa"/>
            <w:shd w:val="clear" w:color="auto" w:fill="FFFFFF"/>
            <w:tcMar>
              <w:top w:w="68" w:type="dxa"/>
              <w:left w:w="28" w:type="dxa"/>
              <w:bottom w:w="0" w:type="dxa"/>
              <w:right w:w="28" w:type="dxa"/>
            </w:tcMar>
            <w:hideMark/>
          </w:tcPr>
          <w:p w:rsidRPr="00FC2616" w:rsidR="00FC14DC" w:rsidP="00FC14DC" w:rsidRDefault="00FC14DC" w14:paraId="0C9F43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418" w:type="dxa"/>
            <w:shd w:val="clear" w:color="auto" w:fill="FFFFFF"/>
            <w:tcMar>
              <w:top w:w="68" w:type="dxa"/>
              <w:left w:w="28" w:type="dxa"/>
              <w:bottom w:w="0" w:type="dxa"/>
              <w:right w:w="28" w:type="dxa"/>
            </w:tcMar>
            <w:hideMark/>
          </w:tcPr>
          <w:p w:rsidRPr="00FC2616" w:rsidR="00FC14DC" w:rsidP="00FC14DC" w:rsidRDefault="00FC14DC" w14:paraId="54FF9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6BB0CB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w:t>
            </w:r>
          </w:p>
        </w:tc>
        <w:tc>
          <w:tcPr>
            <w:tcW w:w="1418" w:type="dxa"/>
            <w:shd w:val="clear" w:color="auto" w:fill="FFFFFF"/>
            <w:tcMar>
              <w:top w:w="68" w:type="dxa"/>
              <w:left w:w="28" w:type="dxa"/>
              <w:bottom w:w="0" w:type="dxa"/>
              <w:right w:w="28" w:type="dxa"/>
            </w:tcMar>
            <w:hideMark/>
          </w:tcPr>
          <w:p w:rsidRPr="00FC2616" w:rsidR="00FC14DC" w:rsidP="00FC14DC" w:rsidRDefault="00FC14DC" w14:paraId="78691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r>
      <w:tr w:rsidRPr="00FC2616" w:rsidR="00FC14DC" w:rsidTr="00EB13F9" w14:paraId="0B392EFB"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B3D4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C2616" w:rsidR="00FC14DC" w:rsidP="00FC14DC" w:rsidRDefault="00FC14DC" w14:paraId="095CE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Investeringsstöd för produktion av förnybara drivmedel samt laddinfrastruktur</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4B431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800</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684E3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1 200</w:t>
            </w:r>
          </w:p>
        </w:tc>
        <w:tc>
          <w:tcPr>
            <w:tcW w:w="1418" w:type="dxa"/>
            <w:shd w:val="clear" w:color="auto" w:fill="FFFFFF"/>
            <w:tcMar>
              <w:top w:w="68" w:type="dxa"/>
              <w:left w:w="28" w:type="dxa"/>
              <w:bottom w:w="0" w:type="dxa"/>
              <w:right w:w="28" w:type="dxa"/>
            </w:tcMar>
            <w:vAlign w:val="bottom"/>
            <w:hideMark/>
          </w:tcPr>
          <w:p w:rsidRPr="00FC2616" w:rsidR="00FC14DC" w:rsidP="00EB13F9" w:rsidRDefault="00FC14DC" w14:paraId="1B2591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1 200</w:t>
            </w:r>
          </w:p>
        </w:tc>
      </w:tr>
      <w:tr w:rsidRPr="00FC2616" w:rsidR="00FC14DC" w:rsidTr="00FC14DC" w14:paraId="757E3DD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BCC1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FC2616" w:rsidR="00FC14DC" w:rsidP="00FC14DC" w:rsidRDefault="00FC14DC" w14:paraId="4F645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Forskning för klimatomställning</w:t>
            </w:r>
          </w:p>
        </w:tc>
        <w:tc>
          <w:tcPr>
            <w:tcW w:w="1418" w:type="dxa"/>
            <w:shd w:val="clear" w:color="auto" w:fill="FFFFFF"/>
            <w:tcMar>
              <w:top w:w="68" w:type="dxa"/>
              <w:left w:w="28" w:type="dxa"/>
              <w:bottom w:w="0" w:type="dxa"/>
              <w:right w:w="28" w:type="dxa"/>
            </w:tcMar>
            <w:hideMark/>
          </w:tcPr>
          <w:p w:rsidRPr="00FC2616" w:rsidR="00FC14DC" w:rsidP="00FC14DC" w:rsidRDefault="00FC14DC" w14:paraId="57C3DC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FC2616" w:rsidR="00FC14DC" w:rsidP="00FC14DC" w:rsidRDefault="00FC14DC" w14:paraId="0FFABD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FC2616" w:rsidR="00FC14DC" w:rsidP="00FC14DC" w:rsidRDefault="00FC14DC" w14:paraId="213B28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1 000</w:t>
            </w:r>
          </w:p>
        </w:tc>
      </w:tr>
      <w:tr w:rsidRPr="00FC2616" w:rsidR="00FC14DC" w:rsidTr="00FC14DC" w14:paraId="39E6A16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07175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66A4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5 573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6F12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12 079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D90DF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15 374</w:t>
            </w:r>
          </w:p>
        </w:tc>
      </w:tr>
    </w:tbl>
    <w:p w:rsidRPr="00A63447" w:rsidR="00FC14DC" w:rsidP="00A63447" w:rsidRDefault="00FC14DC" w14:paraId="669C334E" w14:textId="3727F7AD">
      <w:pPr>
        <w:pStyle w:val="Tabellrubrik"/>
        <w:spacing w:before="300"/>
      </w:pPr>
      <w:r w:rsidRPr="00A63447">
        <w:t>Avvikelser gentemot regeringen för utgiftsområde 21 Energi</w:t>
      </w:r>
    </w:p>
    <w:p w:rsidRPr="00A63447" w:rsidR="00FC14DC" w:rsidP="00A63447" w:rsidRDefault="00FC14DC" w14:paraId="11691659" w14:textId="77777777">
      <w:pPr>
        <w:pStyle w:val="Tabellunderrubrik"/>
      </w:pPr>
      <w:r w:rsidRPr="00A6344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4021"/>
        <w:gridCol w:w="1355"/>
        <w:gridCol w:w="1358"/>
        <w:gridCol w:w="1358"/>
      </w:tblGrid>
      <w:tr w:rsidRPr="00FC2616" w:rsidR="00FC14DC" w:rsidTr="00FC14DC" w14:paraId="5A7E7BF8"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078B141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7D8ECC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6A4E5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25ACCAE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4166D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20497A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DE16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AEC5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6F1CF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35E65F19"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70EFA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21 Energi</w:t>
            </w:r>
          </w:p>
        </w:tc>
      </w:tr>
      <w:tr w:rsidRPr="00FC2616" w:rsidR="00FC14DC" w:rsidTr="00FC14DC" w14:paraId="600EDE45"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1DB2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C2616" w:rsidR="00FC14DC" w:rsidP="00FC14DC" w:rsidRDefault="00FC14DC" w14:paraId="2F073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FC2616" w:rsidR="00FC14DC" w:rsidP="00FC14DC" w:rsidRDefault="00FC14DC" w14:paraId="41D035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6B939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FC2616" w:rsidR="00FC14DC" w:rsidP="00FC14DC" w:rsidRDefault="00FC14DC" w14:paraId="190E98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r>
      <w:tr w:rsidRPr="00FC2616" w:rsidR="00FC14DC" w:rsidTr="00FC14DC" w14:paraId="6667A54B"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571F3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C2616" w:rsidR="00FC14DC" w:rsidP="00FC14DC" w:rsidRDefault="00FC14DC" w14:paraId="6F8A0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Stärkt elöverföringskapacitet</w:t>
            </w:r>
          </w:p>
        </w:tc>
        <w:tc>
          <w:tcPr>
            <w:tcW w:w="1418" w:type="dxa"/>
            <w:shd w:val="clear" w:color="auto" w:fill="FFFFFF"/>
            <w:tcMar>
              <w:top w:w="68" w:type="dxa"/>
              <w:left w:w="28" w:type="dxa"/>
              <w:bottom w:w="0" w:type="dxa"/>
              <w:right w:w="28" w:type="dxa"/>
            </w:tcMar>
            <w:hideMark/>
          </w:tcPr>
          <w:p w:rsidRPr="00FC2616" w:rsidR="00FC14DC" w:rsidP="00FC14DC" w:rsidRDefault="00FC14DC" w14:paraId="1CA98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2DE5CA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2 500</w:t>
            </w:r>
          </w:p>
        </w:tc>
        <w:tc>
          <w:tcPr>
            <w:tcW w:w="1418" w:type="dxa"/>
            <w:shd w:val="clear" w:color="auto" w:fill="FFFFFF"/>
            <w:tcMar>
              <w:top w:w="68" w:type="dxa"/>
              <w:left w:w="28" w:type="dxa"/>
              <w:bottom w:w="0" w:type="dxa"/>
              <w:right w:w="28" w:type="dxa"/>
            </w:tcMar>
            <w:hideMark/>
          </w:tcPr>
          <w:p w:rsidRPr="00FC2616" w:rsidR="00FC14DC" w:rsidP="00FC14DC" w:rsidRDefault="00FC14DC" w14:paraId="639F0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4 000</w:t>
            </w:r>
          </w:p>
        </w:tc>
      </w:tr>
      <w:tr w:rsidRPr="00FC2616" w:rsidR="00FC14DC" w:rsidTr="00FC14DC" w14:paraId="5EC8671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13D1F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FC2616" w:rsidR="00FC14DC" w:rsidP="00FC14DC" w:rsidRDefault="00FC14DC" w14:paraId="10EFBD30" w14:textId="2BD587B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xml:space="preserve">Investeringar </w:t>
            </w:r>
            <w:r w:rsidR="00725CE0">
              <w:rPr>
                <w:rFonts w:ascii="Times New Roman" w:hAnsi="Times New Roman" w:eastAsia="Times New Roman" w:cs="Times New Roman"/>
                <w:color w:val="000000"/>
                <w:kern w:val="0"/>
                <w:sz w:val="20"/>
                <w:szCs w:val="20"/>
                <w:lang w:eastAsia="sv-SE"/>
                <w14:numSpacing w14:val="default"/>
              </w:rPr>
              <w:t>för</w:t>
            </w:r>
            <w:r w:rsidRPr="00FC2616">
              <w:rPr>
                <w:rFonts w:ascii="Times New Roman" w:hAnsi="Times New Roman" w:eastAsia="Times New Roman" w:cs="Times New Roman"/>
                <w:color w:val="000000"/>
                <w:kern w:val="0"/>
                <w:sz w:val="20"/>
                <w:szCs w:val="20"/>
                <w:lang w:eastAsia="sv-SE"/>
                <w14:numSpacing w14:val="default"/>
              </w:rPr>
              <w:t xml:space="preserve"> lokal förnybar elproduktion</w:t>
            </w:r>
          </w:p>
        </w:tc>
        <w:tc>
          <w:tcPr>
            <w:tcW w:w="1418" w:type="dxa"/>
            <w:shd w:val="clear" w:color="auto" w:fill="FFFFFF"/>
            <w:tcMar>
              <w:top w:w="68" w:type="dxa"/>
              <w:left w:w="28" w:type="dxa"/>
              <w:bottom w:w="0" w:type="dxa"/>
              <w:right w:w="28" w:type="dxa"/>
            </w:tcMar>
            <w:hideMark/>
          </w:tcPr>
          <w:p w:rsidRPr="00FC2616" w:rsidR="00FC14DC" w:rsidP="00FC14DC" w:rsidRDefault="00FC14DC" w14:paraId="58399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351FA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hideMark/>
          </w:tcPr>
          <w:p w:rsidRPr="00FC2616" w:rsidR="00FC14DC" w:rsidP="00FC14DC" w:rsidRDefault="00FC14DC" w14:paraId="19D015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3 000</w:t>
            </w:r>
          </w:p>
        </w:tc>
      </w:tr>
      <w:tr w:rsidRPr="00FC2616" w:rsidR="00FC14DC" w:rsidTr="00FC14DC" w14:paraId="4297ECD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927A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99:3</w:t>
            </w:r>
          </w:p>
        </w:tc>
        <w:tc>
          <w:tcPr>
            <w:tcW w:w="4139" w:type="dxa"/>
            <w:shd w:val="clear" w:color="auto" w:fill="FFFFFF"/>
            <w:tcMar>
              <w:top w:w="68" w:type="dxa"/>
              <w:left w:w="28" w:type="dxa"/>
              <w:bottom w:w="0" w:type="dxa"/>
              <w:right w:w="28" w:type="dxa"/>
            </w:tcMar>
            <w:hideMark/>
          </w:tcPr>
          <w:p w:rsidRPr="00FC2616" w:rsidR="00FC14DC" w:rsidP="00FC14DC" w:rsidRDefault="00FC14DC" w14:paraId="109B0E25" w14:textId="3179A1B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Vindkraft</w:t>
            </w:r>
            <w:r w:rsidR="00725CE0">
              <w:rPr>
                <w:rFonts w:ascii="Times New Roman" w:hAnsi="Times New Roman" w:eastAsia="Times New Roman" w:cs="Times New Roman"/>
                <w:color w:val="000000"/>
                <w:kern w:val="0"/>
                <w:sz w:val="20"/>
                <w:szCs w:val="20"/>
                <w:lang w:eastAsia="sv-SE"/>
                <w14:numSpacing w14:val="default"/>
              </w:rPr>
              <w:t>s</w:t>
            </w:r>
            <w:r w:rsidRPr="00FC2616">
              <w:rPr>
                <w:rFonts w:ascii="Times New Roman" w:hAnsi="Times New Roman" w:eastAsia="Times New Roman" w:cs="Times New Roman"/>
                <w:color w:val="000000"/>
                <w:kern w:val="0"/>
                <w:sz w:val="20"/>
                <w:szCs w:val="20"/>
                <w:lang w:eastAsia="sv-SE"/>
                <w14:numSpacing w14:val="default"/>
              </w:rPr>
              <w:t xml:space="preserve">ersättningsmodell </w:t>
            </w:r>
            <w:r w:rsidR="00725CE0">
              <w:rPr>
                <w:rFonts w:ascii="Times New Roman" w:hAnsi="Times New Roman" w:eastAsia="Times New Roman" w:cs="Times New Roman"/>
                <w:color w:val="000000"/>
                <w:kern w:val="0"/>
                <w:sz w:val="20"/>
                <w:szCs w:val="20"/>
                <w:lang w:eastAsia="sv-SE"/>
                <w14:numSpacing w14:val="default"/>
              </w:rPr>
              <w:t>för</w:t>
            </w:r>
            <w:r w:rsidRPr="00FC2616">
              <w:rPr>
                <w:rFonts w:ascii="Times New Roman" w:hAnsi="Times New Roman" w:eastAsia="Times New Roman" w:cs="Times New Roman"/>
                <w:color w:val="000000"/>
                <w:kern w:val="0"/>
                <w:sz w:val="20"/>
                <w:szCs w:val="20"/>
                <w:lang w:eastAsia="sv-SE"/>
                <w14:numSpacing w14:val="default"/>
              </w:rPr>
              <w:t xml:space="preserve"> kommuner</w:t>
            </w:r>
          </w:p>
        </w:tc>
        <w:tc>
          <w:tcPr>
            <w:tcW w:w="1418" w:type="dxa"/>
            <w:shd w:val="clear" w:color="auto" w:fill="FFFFFF"/>
            <w:tcMar>
              <w:top w:w="68" w:type="dxa"/>
              <w:left w:w="28" w:type="dxa"/>
              <w:bottom w:w="0" w:type="dxa"/>
              <w:right w:w="28" w:type="dxa"/>
            </w:tcMar>
            <w:hideMark/>
          </w:tcPr>
          <w:p w:rsidRPr="00FC2616" w:rsidR="00FC14DC" w:rsidP="00FC14DC" w:rsidRDefault="00FC14DC" w14:paraId="277A6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275</w:t>
            </w:r>
          </w:p>
        </w:tc>
        <w:tc>
          <w:tcPr>
            <w:tcW w:w="1418" w:type="dxa"/>
            <w:shd w:val="clear" w:color="auto" w:fill="FFFFFF"/>
            <w:tcMar>
              <w:top w:w="68" w:type="dxa"/>
              <w:left w:w="28" w:type="dxa"/>
              <w:bottom w:w="0" w:type="dxa"/>
              <w:right w:w="28" w:type="dxa"/>
            </w:tcMar>
            <w:hideMark/>
          </w:tcPr>
          <w:p w:rsidRPr="00FC2616" w:rsidR="00FC14DC" w:rsidP="00FC14DC" w:rsidRDefault="00FC14DC" w14:paraId="1CE758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275</w:t>
            </w:r>
          </w:p>
        </w:tc>
        <w:tc>
          <w:tcPr>
            <w:tcW w:w="1418" w:type="dxa"/>
            <w:shd w:val="clear" w:color="auto" w:fill="FFFFFF"/>
            <w:tcMar>
              <w:top w:w="68" w:type="dxa"/>
              <w:left w:w="28" w:type="dxa"/>
              <w:bottom w:w="0" w:type="dxa"/>
              <w:right w:w="28" w:type="dxa"/>
            </w:tcMar>
            <w:hideMark/>
          </w:tcPr>
          <w:p w:rsidRPr="00FC2616" w:rsidR="00FC14DC" w:rsidP="00FC14DC" w:rsidRDefault="00FC14DC" w14:paraId="72305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4D60D10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5965A2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B061A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42E85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4 675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7D5BA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6 900</w:t>
            </w:r>
          </w:p>
        </w:tc>
      </w:tr>
    </w:tbl>
    <w:p w:rsidRPr="00A63447" w:rsidR="00FC14DC" w:rsidP="00A63447" w:rsidRDefault="00FC14DC" w14:paraId="3C2187DA" w14:textId="6397E7B0">
      <w:pPr>
        <w:pStyle w:val="Tabellrubrik"/>
      </w:pPr>
      <w:r w:rsidRPr="00A63447">
        <w:lastRenderedPageBreak/>
        <w:t>Avvikelser gentemot regeringen för utgiftsområde 22 Kommunikationer</w:t>
      </w:r>
    </w:p>
    <w:p w:rsidRPr="00A63447" w:rsidR="00FC14DC" w:rsidP="00A63447" w:rsidRDefault="00FC14DC" w14:paraId="6D659221" w14:textId="77777777">
      <w:pPr>
        <w:pStyle w:val="Tabellunderrubrik"/>
      </w:pPr>
      <w:r w:rsidRPr="00A6344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8"/>
        <w:gridCol w:w="1365"/>
        <w:gridCol w:w="1365"/>
        <w:gridCol w:w="1365"/>
      </w:tblGrid>
      <w:tr w:rsidRPr="00FC2616" w:rsidR="00FC14DC" w:rsidTr="00BF5F83" w14:paraId="40F9C708"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6CA3F75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6953DE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51799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BF5F83" w14:paraId="5CC8DE09"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49554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6745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D5C0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F4BD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B9C7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52147C98"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20FAD6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22 Kommunikationer</w:t>
            </w:r>
          </w:p>
        </w:tc>
      </w:tr>
      <w:tr w:rsidRPr="00FC2616" w:rsidR="00FC14DC" w:rsidTr="00FC14DC" w14:paraId="04095A24"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6FCB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572043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hideMark/>
          </w:tcPr>
          <w:p w:rsidRPr="00FC2616" w:rsidR="00FC14DC" w:rsidP="00FC14DC" w:rsidRDefault="00FC14DC" w14:paraId="0BC16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4 590</w:t>
            </w:r>
          </w:p>
        </w:tc>
        <w:tc>
          <w:tcPr>
            <w:tcW w:w="1418" w:type="dxa"/>
            <w:shd w:val="clear" w:color="auto" w:fill="FFFFFF"/>
            <w:tcMar>
              <w:top w:w="68" w:type="dxa"/>
              <w:left w:w="28" w:type="dxa"/>
              <w:bottom w:w="0" w:type="dxa"/>
              <w:right w:w="28" w:type="dxa"/>
            </w:tcMar>
            <w:hideMark/>
          </w:tcPr>
          <w:p w:rsidRPr="00FC2616" w:rsidR="00FC14DC" w:rsidP="00FC14DC" w:rsidRDefault="00FC14DC" w14:paraId="167CC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13 111</w:t>
            </w:r>
          </w:p>
        </w:tc>
        <w:tc>
          <w:tcPr>
            <w:tcW w:w="1418" w:type="dxa"/>
            <w:shd w:val="clear" w:color="auto" w:fill="FFFFFF"/>
            <w:tcMar>
              <w:top w:w="68" w:type="dxa"/>
              <w:left w:w="28" w:type="dxa"/>
              <w:bottom w:w="0" w:type="dxa"/>
              <w:right w:w="28" w:type="dxa"/>
            </w:tcMar>
            <w:hideMark/>
          </w:tcPr>
          <w:p w:rsidRPr="00FC2616" w:rsidR="00FC14DC" w:rsidP="00FC14DC" w:rsidRDefault="00FC14DC" w14:paraId="4D31A1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13 601</w:t>
            </w:r>
          </w:p>
        </w:tc>
      </w:tr>
      <w:tr w:rsidRPr="00FC2616" w:rsidR="00FC14DC" w:rsidTr="00A63447" w14:paraId="5ACE45F4"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5D3B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57371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FC2616" w:rsidR="00FC14DC" w:rsidP="00A63447" w:rsidRDefault="00FC14DC" w14:paraId="767F96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1 770</w:t>
            </w:r>
          </w:p>
        </w:tc>
        <w:tc>
          <w:tcPr>
            <w:tcW w:w="1418" w:type="dxa"/>
            <w:shd w:val="clear" w:color="auto" w:fill="FFFFFF"/>
            <w:tcMar>
              <w:top w:w="68" w:type="dxa"/>
              <w:left w:w="28" w:type="dxa"/>
              <w:bottom w:w="0" w:type="dxa"/>
              <w:right w:w="28" w:type="dxa"/>
            </w:tcMar>
            <w:vAlign w:val="bottom"/>
            <w:hideMark/>
          </w:tcPr>
          <w:p w:rsidRPr="00FC2616" w:rsidR="00FC14DC" w:rsidP="00A63447" w:rsidRDefault="00FC14DC" w14:paraId="17BB7E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7 400</w:t>
            </w:r>
          </w:p>
        </w:tc>
        <w:tc>
          <w:tcPr>
            <w:tcW w:w="1418" w:type="dxa"/>
            <w:shd w:val="clear" w:color="auto" w:fill="FFFFFF"/>
            <w:tcMar>
              <w:top w:w="68" w:type="dxa"/>
              <w:left w:w="28" w:type="dxa"/>
              <w:bottom w:w="0" w:type="dxa"/>
              <w:right w:w="28" w:type="dxa"/>
            </w:tcMar>
            <w:vAlign w:val="bottom"/>
            <w:hideMark/>
          </w:tcPr>
          <w:p w:rsidRPr="00FC2616" w:rsidR="00FC14DC" w:rsidP="00A63447" w:rsidRDefault="00FC14DC" w14:paraId="0EFEAA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7 400</w:t>
            </w:r>
          </w:p>
        </w:tc>
      </w:tr>
      <w:tr w:rsidRPr="00FC2616" w:rsidR="00FC14DC" w:rsidTr="00FC14DC" w14:paraId="4D189EA3"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65E9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C2616" w:rsidR="00FC14DC" w:rsidP="00FC14DC" w:rsidRDefault="00FC14DC" w14:paraId="662BF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Halverade biljettpriser i kollektivtrafiken</w:t>
            </w:r>
          </w:p>
        </w:tc>
        <w:tc>
          <w:tcPr>
            <w:tcW w:w="1418" w:type="dxa"/>
            <w:shd w:val="clear" w:color="auto" w:fill="FFFFFF"/>
            <w:tcMar>
              <w:top w:w="68" w:type="dxa"/>
              <w:left w:w="28" w:type="dxa"/>
              <w:bottom w:w="0" w:type="dxa"/>
              <w:right w:w="28" w:type="dxa"/>
            </w:tcMar>
            <w:hideMark/>
          </w:tcPr>
          <w:p w:rsidRPr="00FC2616" w:rsidR="00FC14DC" w:rsidP="00FC14DC" w:rsidRDefault="00FC14DC" w14:paraId="406AE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12 000</w:t>
            </w:r>
          </w:p>
        </w:tc>
        <w:tc>
          <w:tcPr>
            <w:tcW w:w="1418" w:type="dxa"/>
            <w:shd w:val="clear" w:color="auto" w:fill="FFFFFF"/>
            <w:tcMar>
              <w:top w:w="68" w:type="dxa"/>
              <w:left w:w="28" w:type="dxa"/>
              <w:bottom w:w="0" w:type="dxa"/>
              <w:right w:w="28" w:type="dxa"/>
            </w:tcMar>
            <w:hideMark/>
          </w:tcPr>
          <w:p w:rsidRPr="00FC2616" w:rsidR="00FC14DC" w:rsidP="00FC14DC" w:rsidRDefault="00FC14DC" w14:paraId="61836D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12 000</w:t>
            </w:r>
          </w:p>
        </w:tc>
        <w:tc>
          <w:tcPr>
            <w:tcW w:w="1418" w:type="dxa"/>
            <w:shd w:val="clear" w:color="auto" w:fill="FFFFFF"/>
            <w:tcMar>
              <w:top w:w="68" w:type="dxa"/>
              <w:left w:w="28" w:type="dxa"/>
              <w:bottom w:w="0" w:type="dxa"/>
              <w:right w:w="28" w:type="dxa"/>
            </w:tcMar>
            <w:hideMark/>
          </w:tcPr>
          <w:p w:rsidRPr="00FC2616" w:rsidR="00FC14DC" w:rsidP="00FC14DC" w:rsidRDefault="00FC14DC" w14:paraId="0A146F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3493096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48AC4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FC2616" w:rsidR="00FC14DC" w:rsidP="00FC14DC" w:rsidRDefault="00FC14DC" w14:paraId="1AAA1AE5" w14:textId="65AD21C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Anslagsstöd</w:t>
            </w:r>
            <w:r w:rsidR="00725CE0">
              <w:rPr>
                <w:rFonts w:ascii="Times New Roman" w:hAnsi="Times New Roman" w:eastAsia="Times New Roman" w:cs="Times New Roman"/>
                <w:color w:val="000000"/>
                <w:kern w:val="0"/>
                <w:sz w:val="20"/>
                <w:szCs w:val="20"/>
                <w:lang w:eastAsia="sv-SE"/>
                <w14:numSpacing w14:val="default"/>
              </w:rPr>
              <w:t xml:space="preserve"> till</w:t>
            </w:r>
            <w:r w:rsidRPr="00FC2616">
              <w:rPr>
                <w:rFonts w:ascii="Times New Roman" w:hAnsi="Times New Roman" w:eastAsia="Times New Roman" w:cs="Times New Roman"/>
                <w:color w:val="000000"/>
                <w:kern w:val="0"/>
                <w:sz w:val="20"/>
                <w:szCs w:val="20"/>
                <w:lang w:eastAsia="sv-SE"/>
                <w14:numSpacing w14:val="default"/>
              </w:rPr>
              <w:t xml:space="preserve"> Sjöfartsverket</w:t>
            </w:r>
          </w:p>
        </w:tc>
        <w:tc>
          <w:tcPr>
            <w:tcW w:w="1418" w:type="dxa"/>
            <w:shd w:val="clear" w:color="auto" w:fill="FFFFFF"/>
            <w:tcMar>
              <w:top w:w="68" w:type="dxa"/>
              <w:left w:w="28" w:type="dxa"/>
              <w:bottom w:w="0" w:type="dxa"/>
              <w:right w:w="28" w:type="dxa"/>
            </w:tcMar>
            <w:hideMark/>
          </w:tcPr>
          <w:p w:rsidRPr="00FC2616" w:rsidR="00FC14DC" w:rsidP="00FC14DC" w:rsidRDefault="00FC14DC" w14:paraId="0AD678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700</w:t>
            </w:r>
          </w:p>
        </w:tc>
        <w:tc>
          <w:tcPr>
            <w:tcW w:w="1418" w:type="dxa"/>
            <w:shd w:val="clear" w:color="auto" w:fill="FFFFFF"/>
            <w:tcMar>
              <w:top w:w="68" w:type="dxa"/>
              <w:left w:w="28" w:type="dxa"/>
              <w:bottom w:w="0" w:type="dxa"/>
              <w:right w:w="28" w:type="dxa"/>
            </w:tcMar>
            <w:hideMark/>
          </w:tcPr>
          <w:p w:rsidRPr="00FC2616" w:rsidR="00FC14DC" w:rsidP="00FC14DC" w:rsidRDefault="00FC14DC" w14:paraId="60D28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925</w:t>
            </w:r>
          </w:p>
        </w:tc>
        <w:tc>
          <w:tcPr>
            <w:tcW w:w="1418" w:type="dxa"/>
            <w:shd w:val="clear" w:color="auto" w:fill="FFFFFF"/>
            <w:tcMar>
              <w:top w:w="68" w:type="dxa"/>
              <w:left w:w="28" w:type="dxa"/>
              <w:bottom w:w="0" w:type="dxa"/>
              <w:right w:w="28" w:type="dxa"/>
            </w:tcMar>
            <w:hideMark/>
          </w:tcPr>
          <w:p w:rsidRPr="00FC2616" w:rsidR="00FC14DC" w:rsidP="00FC14DC" w:rsidRDefault="00FC14DC" w14:paraId="087611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745</w:t>
            </w:r>
          </w:p>
        </w:tc>
      </w:tr>
      <w:tr w:rsidRPr="00FC2616" w:rsidR="00FC14DC" w:rsidTr="00FC14DC" w14:paraId="10CE2060"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7DC7F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99:3</w:t>
            </w:r>
          </w:p>
        </w:tc>
        <w:tc>
          <w:tcPr>
            <w:tcW w:w="4139" w:type="dxa"/>
            <w:shd w:val="clear" w:color="auto" w:fill="FFFFFF"/>
            <w:tcMar>
              <w:top w:w="68" w:type="dxa"/>
              <w:left w:w="28" w:type="dxa"/>
              <w:bottom w:w="0" w:type="dxa"/>
              <w:right w:w="28" w:type="dxa"/>
            </w:tcMar>
            <w:hideMark/>
          </w:tcPr>
          <w:p w:rsidRPr="00FC2616" w:rsidR="00FC14DC" w:rsidP="00FC14DC" w:rsidRDefault="00FC14DC" w14:paraId="31112542" w14:textId="3C0903D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Utbildningssatsning</w:t>
            </w:r>
            <w:r w:rsidR="00725CE0">
              <w:rPr>
                <w:rFonts w:ascii="Times New Roman" w:hAnsi="Times New Roman" w:eastAsia="Times New Roman" w:cs="Times New Roman"/>
                <w:color w:val="000000"/>
                <w:kern w:val="0"/>
                <w:sz w:val="20"/>
                <w:szCs w:val="20"/>
                <w:lang w:eastAsia="sv-SE"/>
                <w14:numSpacing w14:val="default"/>
              </w:rPr>
              <w:t xml:space="preserve"> för</w:t>
            </w:r>
            <w:r w:rsidRPr="00FC2616">
              <w:rPr>
                <w:rFonts w:ascii="Times New Roman" w:hAnsi="Times New Roman" w:eastAsia="Times New Roman" w:cs="Times New Roman"/>
                <w:color w:val="000000"/>
                <w:kern w:val="0"/>
                <w:sz w:val="20"/>
                <w:szCs w:val="20"/>
                <w:lang w:eastAsia="sv-SE"/>
                <w14:numSpacing w14:val="default"/>
              </w:rPr>
              <w:t xml:space="preserve"> järnväg och sjöfart</w:t>
            </w:r>
          </w:p>
        </w:tc>
        <w:tc>
          <w:tcPr>
            <w:tcW w:w="1418" w:type="dxa"/>
            <w:shd w:val="clear" w:color="auto" w:fill="FFFFFF"/>
            <w:tcMar>
              <w:top w:w="68" w:type="dxa"/>
              <w:left w:w="28" w:type="dxa"/>
              <w:bottom w:w="0" w:type="dxa"/>
              <w:right w:w="28" w:type="dxa"/>
            </w:tcMar>
            <w:hideMark/>
          </w:tcPr>
          <w:p w:rsidRPr="00FC2616" w:rsidR="00FC14DC" w:rsidP="00FC14DC" w:rsidRDefault="00FC14DC" w14:paraId="79CF12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120</w:t>
            </w:r>
          </w:p>
        </w:tc>
        <w:tc>
          <w:tcPr>
            <w:tcW w:w="1418" w:type="dxa"/>
            <w:shd w:val="clear" w:color="auto" w:fill="FFFFFF"/>
            <w:tcMar>
              <w:top w:w="68" w:type="dxa"/>
              <w:left w:w="28" w:type="dxa"/>
              <w:bottom w:w="0" w:type="dxa"/>
              <w:right w:w="28" w:type="dxa"/>
            </w:tcMar>
            <w:hideMark/>
          </w:tcPr>
          <w:p w:rsidRPr="00FC2616" w:rsidR="00FC14DC" w:rsidP="00FC14DC" w:rsidRDefault="00FC14DC" w14:paraId="17FF8A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120</w:t>
            </w:r>
          </w:p>
        </w:tc>
        <w:tc>
          <w:tcPr>
            <w:tcW w:w="1418" w:type="dxa"/>
            <w:shd w:val="clear" w:color="auto" w:fill="FFFFFF"/>
            <w:tcMar>
              <w:top w:w="68" w:type="dxa"/>
              <w:left w:w="28" w:type="dxa"/>
              <w:bottom w:w="0" w:type="dxa"/>
              <w:right w:w="28" w:type="dxa"/>
            </w:tcMar>
            <w:hideMark/>
          </w:tcPr>
          <w:p w:rsidRPr="00FC2616" w:rsidR="00FC14DC" w:rsidP="00FC14DC" w:rsidRDefault="00FC14DC" w14:paraId="417A6D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120</w:t>
            </w:r>
          </w:p>
        </w:tc>
      </w:tr>
      <w:tr w:rsidRPr="00FC2616" w:rsidR="00FC14DC" w:rsidTr="00FC14DC" w14:paraId="30AB1DEB"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EBCC1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99:4</w:t>
            </w:r>
          </w:p>
        </w:tc>
        <w:tc>
          <w:tcPr>
            <w:tcW w:w="4139" w:type="dxa"/>
            <w:shd w:val="clear" w:color="auto" w:fill="FFFFFF"/>
            <w:tcMar>
              <w:top w:w="68" w:type="dxa"/>
              <w:left w:w="28" w:type="dxa"/>
              <w:bottom w:w="0" w:type="dxa"/>
              <w:right w:w="28" w:type="dxa"/>
            </w:tcMar>
            <w:hideMark/>
          </w:tcPr>
          <w:p w:rsidRPr="00FC2616" w:rsidR="00FC14DC" w:rsidP="00FC14DC" w:rsidRDefault="00FC14DC" w14:paraId="3A6718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Godspendlar</w:t>
            </w:r>
          </w:p>
        </w:tc>
        <w:tc>
          <w:tcPr>
            <w:tcW w:w="1418" w:type="dxa"/>
            <w:shd w:val="clear" w:color="auto" w:fill="FFFFFF"/>
            <w:tcMar>
              <w:top w:w="68" w:type="dxa"/>
              <w:left w:w="28" w:type="dxa"/>
              <w:bottom w:w="0" w:type="dxa"/>
              <w:right w:w="28" w:type="dxa"/>
            </w:tcMar>
            <w:hideMark/>
          </w:tcPr>
          <w:p w:rsidRPr="00FC2616" w:rsidR="00FC14DC" w:rsidP="00FC14DC" w:rsidRDefault="00FC14DC" w14:paraId="2021D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FC2616" w:rsidR="00FC14DC" w:rsidP="00FC14DC" w:rsidRDefault="00FC14DC" w14:paraId="4E695A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3AC4F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1AC1A738"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FA78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99:5</w:t>
            </w:r>
          </w:p>
        </w:tc>
        <w:tc>
          <w:tcPr>
            <w:tcW w:w="4139" w:type="dxa"/>
            <w:shd w:val="clear" w:color="auto" w:fill="FFFFFF"/>
            <w:tcMar>
              <w:top w:w="68" w:type="dxa"/>
              <w:left w:w="28" w:type="dxa"/>
              <w:bottom w:w="0" w:type="dxa"/>
              <w:right w:w="28" w:type="dxa"/>
            </w:tcMar>
            <w:hideMark/>
          </w:tcPr>
          <w:p w:rsidRPr="00FC2616" w:rsidR="00FC14DC" w:rsidP="00FC14DC" w:rsidRDefault="00FC14DC" w14:paraId="4A1EE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Klimatomställningsstöd för personbilar</w:t>
            </w:r>
          </w:p>
        </w:tc>
        <w:tc>
          <w:tcPr>
            <w:tcW w:w="1418" w:type="dxa"/>
            <w:shd w:val="clear" w:color="auto" w:fill="FFFFFF"/>
            <w:tcMar>
              <w:top w:w="68" w:type="dxa"/>
              <w:left w:w="28" w:type="dxa"/>
              <w:bottom w:w="0" w:type="dxa"/>
              <w:right w:w="28" w:type="dxa"/>
            </w:tcMar>
            <w:hideMark/>
          </w:tcPr>
          <w:p w:rsidRPr="00FC2616" w:rsidR="00FC14DC" w:rsidP="00FC14DC" w:rsidRDefault="00FC14DC" w14:paraId="1FC19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hideMark/>
          </w:tcPr>
          <w:p w:rsidRPr="00FC2616" w:rsidR="00FC14DC" w:rsidP="00FC14DC" w:rsidRDefault="00FC14DC" w14:paraId="621FCF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550</w:t>
            </w:r>
          </w:p>
        </w:tc>
        <w:tc>
          <w:tcPr>
            <w:tcW w:w="1418" w:type="dxa"/>
            <w:shd w:val="clear" w:color="auto" w:fill="FFFFFF"/>
            <w:tcMar>
              <w:top w:w="68" w:type="dxa"/>
              <w:left w:w="28" w:type="dxa"/>
              <w:bottom w:w="0" w:type="dxa"/>
              <w:right w:w="28" w:type="dxa"/>
            </w:tcMar>
            <w:hideMark/>
          </w:tcPr>
          <w:p w:rsidRPr="00FC2616" w:rsidR="00FC14DC" w:rsidP="00FC14DC" w:rsidRDefault="00FC14DC" w14:paraId="79750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550</w:t>
            </w:r>
          </w:p>
        </w:tc>
      </w:tr>
      <w:tr w:rsidRPr="00FC2616" w:rsidR="00FC14DC" w:rsidTr="00FC14DC" w14:paraId="7097A2C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1238E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AFD9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19 530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CBAB2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34 156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16DE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22 416</w:t>
            </w:r>
          </w:p>
        </w:tc>
      </w:tr>
    </w:tbl>
    <w:p w:rsidRPr="00A63447" w:rsidR="00FC14DC" w:rsidP="00A63447" w:rsidRDefault="00FC14DC" w14:paraId="6A710AE8" w14:textId="22134989">
      <w:pPr>
        <w:pStyle w:val="Tabellrubrik"/>
        <w:spacing w:before="300"/>
      </w:pPr>
      <w:r w:rsidRPr="00A63447">
        <w:t>Avvikelser gentemot regeringen för utgiftsområde 23 Areella näringar, landsbygd och livsmedel</w:t>
      </w:r>
    </w:p>
    <w:p w:rsidRPr="00A63447" w:rsidR="00FC14DC" w:rsidP="00A63447" w:rsidRDefault="00FC14DC" w14:paraId="0DBC5375" w14:textId="77777777">
      <w:pPr>
        <w:pStyle w:val="Tabellunderrubrik"/>
      </w:pPr>
      <w:r w:rsidRPr="00A6344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5"/>
        <w:gridCol w:w="1366"/>
        <w:gridCol w:w="1366"/>
        <w:gridCol w:w="1366"/>
      </w:tblGrid>
      <w:tr w:rsidRPr="00FC2616" w:rsidR="00FC14DC" w:rsidTr="00FC14DC" w14:paraId="3E4A2E3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0CDA559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2F1180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4D6888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6CDEB822"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3EDB83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065323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E774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0EFD7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C351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5186B306"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374AF4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23 Areella näringar, landsbygd och livsmedel</w:t>
            </w:r>
          </w:p>
        </w:tc>
      </w:tr>
      <w:tr w:rsidRPr="00FC2616" w:rsidR="00FC14DC" w:rsidTr="00FC14DC" w14:paraId="1AE131B0"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78EC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7AB545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FC2616" w:rsidR="00FC14DC" w:rsidP="00FC14DC" w:rsidRDefault="00FC14DC" w14:paraId="172AC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55</w:t>
            </w:r>
          </w:p>
        </w:tc>
        <w:tc>
          <w:tcPr>
            <w:tcW w:w="1418" w:type="dxa"/>
            <w:shd w:val="clear" w:color="auto" w:fill="FFFFFF"/>
            <w:tcMar>
              <w:top w:w="68" w:type="dxa"/>
              <w:left w:w="28" w:type="dxa"/>
              <w:bottom w:w="0" w:type="dxa"/>
              <w:right w:w="28" w:type="dxa"/>
            </w:tcMar>
            <w:hideMark/>
          </w:tcPr>
          <w:p w:rsidRPr="00FC2616" w:rsidR="00FC14DC" w:rsidP="00FC14DC" w:rsidRDefault="00FC14DC" w14:paraId="5F9909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55</w:t>
            </w:r>
          </w:p>
        </w:tc>
        <w:tc>
          <w:tcPr>
            <w:tcW w:w="1418" w:type="dxa"/>
            <w:shd w:val="clear" w:color="auto" w:fill="FFFFFF"/>
            <w:tcMar>
              <w:top w:w="68" w:type="dxa"/>
              <w:left w:w="28" w:type="dxa"/>
              <w:bottom w:w="0" w:type="dxa"/>
              <w:right w:w="28" w:type="dxa"/>
            </w:tcMar>
            <w:hideMark/>
          </w:tcPr>
          <w:p w:rsidRPr="00FC2616" w:rsidR="00FC14DC" w:rsidP="00FC14DC" w:rsidRDefault="00FC14DC" w14:paraId="0D052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78</w:t>
            </w:r>
          </w:p>
        </w:tc>
      </w:tr>
      <w:tr w:rsidRPr="00FC2616" w:rsidR="00FC14DC" w:rsidTr="00FC14DC" w14:paraId="75A96969"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C3BD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C2616" w:rsidR="00FC14DC" w:rsidP="00FC14DC" w:rsidRDefault="00FC14DC" w14:paraId="2FB878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FC2616" w:rsidR="00FC14DC" w:rsidP="00FC14DC" w:rsidRDefault="00FC14DC" w14:paraId="52FB8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1 560</w:t>
            </w:r>
          </w:p>
        </w:tc>
        <w:tc>
          <w:tcPr>
            <w:tcW w:w="1418" w:type="dxa"/>
            <w:shd w:val="clear" w:color="auto" w:fill="FFFFFF"/>
            <w:tcMar>
              <w:top w:w="68" w:type="dxa"/>
              <w:left w:w="28" w:type="dxa"/>
              <w:bottom w:w="0" w:type="dxa"/>
              <w:right w:w="28" w:type="dxa"/>
            </w:tcMar>
            <w:hideMark/>
          </w:tcPr>
          <w:p w:rsidRPr="00FC2616" w:rsidR="00FC14DC" w:rsidP="00FC14DC" w:rsidRDefault="00FC14DC" w14:paraId="169A7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1 560</w:t>
            </w:r>
          </w:p>
        </w:tc>
        <w:tc>
          <w:tcPr>
            <w:tcW w:w="1418" w:type="dxa"/>
            <w:shd w:val="clear" w:color="auto" w:fill="FFFFFF"/>
            <w:tcMar>
              <w:top w:w="68" w:type="dxa"/>
              <w:left w:w="28" w:type="dxa"/>
              <w:bottom w:w="0" w:type="dxa"/>
              <w:right w:w="28" w:type="dxa"/>
            </w:tcMar>
            <w:hideMark/>
          </w:tcPr>
          <w:p w:rsidRPr="00FC2616" w:rsidR="00FC14DC" w:rsidP="00FC14DC" w:rsidRDefault="00FC14DC" w14:paraId="3EC3B9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1 035</w:t>
            </w:r>
          </w:p>
        </w:tc>
      </w:tr>
      <w:tr w:rsidRPr="00FC2616" w:rsidR="00FC14DC" w:rsidTr="00FC14DC" w14:paraId="5D754DAA"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F3DCD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C2616" w:rsidR="00FC14DC" w:rsidP="00FC14DC" w:rsidRDefault="00FC14DC" w14:paraId="00F5A7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FC2616" w:rsidR="00FC14DC" w:rsidP="00FC14DC" w:rsidRDefault="00FC14DC" w14:paraId="6B38AB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w:t>
            </w:r>
          </w:p>
        </w:tc>
        <w:tc>
          <w:tcPr>
            <w:tcW w:w="1418" w:type="dxa"/>
            <w:shd w:val="clear" w:color="auto" w:fill="FFFFFF"/>
            <w:tcMar>
              <w:top w:w="68" w:type="dxa"/>
              <w:left w:w="28" w:type="dxa"/>
              <w:bottom w:w="0" w:type="dxa"/>
              <w:right w:w="28" w:type="dxa"/>
            </w:tcMar>
            <w:hideMark/>
          </w:tcPr>
          <w:p w:rsidRPr="00FC2616" w:rsidR="00FC14DC" w:rsidP="00FC14DC" w:rsidRDefault="00FC14DC" w14:paraId="782A97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w:t>
            </w:r>
          </w:p>
        </w:tc>
        <w:tc>
          <w:tcPr>
            <w:tcW w:w="1418" w:type="dxa"/>
            <w:shd w:val="clear" w:color="auto" w:fill="FFFFFF"/>
            <w:tcMar>
              <w:top w:w="68" w:type="dxa"/>
              <w:left w:w="28" w:type="dxa"/>
              <w:bottom w:w="0" w:type="dxa"/>
              <w:right w:w="28" w:type="dxa"/>
            </w:tcMar>
            <w:hideMark/>
          </w:tcPr>
          <w:p w:rsidRPr="00FC2616" w:rsidR="00FC14DC" w:rsidP="00FC14DC" w:rsidRDefault="00FC14DC" w14:paraId="1500DE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23</w:t>
            </w:r>
          </w:p>
        </w:tc>
      </w:tr>
      <w:tr w:rsidRPr="00FC2616" w:rsidR="00FC14DC" w:rsidTr="00FC14DC" w14:paraId="463252F2"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8316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C2616" w:rsidR="00FC14DC" w:rsidP="00FC14DC" w:rsidRDefault="00FC14DC" w14:paraId="1953D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FC2616" w:rsidR="00FC14DC" w:rsidP="00FC14DC" w:rsidRDefault="00FC14DC" w14:paraId="40AE16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71B0C8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C2616" w:rsidR="00FC14DC" w:rsidP="00FC14DC" w:rsidRDefault="00FC14DC" w14:paraId="260C7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50</w:t>
            </w:r>
          </w:p>
        </w:tc>
      </w:tr>
      <w:tr w:rsidRPr="00FC2616" w:rsidR="00FC14DC" w:rsidTr="00FC14DC" w14:paraId="24E9CCC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3A4F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C2616" w:rsidR="00FC14DC" w:rsidP="00FC14DC" w:rsidRDefault="00FC14DC" w14:paraId="3A24B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FC2616" w:rsidR="00FC14DC" w:rsidP="00FC14DC" w:rsidRDefault="00FC14DC" w14:paraId="2D22C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FC2616" w:rsidR="00FC14DC" w:rsidP="00FC14DC" w:rsidRDefault="00FC14DC" w14:paraId="29ED5A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FC2616" w:rsidR="00FC14DC" w:rsidP="00FC14DC" w:rsidRDefault="00FC14DC" w14:paraId="11B9ED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40</w:t>
            </w:r>
          </w:p>
        </w:tc>
      </w:tr>
      <w:tr w:rsidRPr="00FC2616" w:rsidR="00FC14DC" w:rsidTr="00FC14DC" w14:paraId="7CD9B68F"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862D2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C2616" w:rsidR="00FC14DC" w:rsidP="00FC14DC" w:rsidRDefault="00FC14DC" w14:paraId="42382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FC2616" w:rsidR="00FC14DC" w:rsidP="00FC14DC" w:rsidRDefault="00FC14DC" w14:paraId="7F171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33CD1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C2616" w:rsidR="00FC14DC" w:rsidP="00FC14DC" w:rsidRDefault="00FC14DC" w14:paraId="5DBED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w:t>
            </w:r>
          </w:p>
        </w:tc>
      </w:tr>
      <w:tr w:rsidRPr="00FC2616" w:rsidR="00FC14DC" w:rsidTr="00FC14DC" w14:paraId="22DDC815"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73D82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1:14</w:t>
            </w:r>
          </w:p>
        </w:tc>
        <w:tc>
          <w:tcPr>
            <w:tcW w:w="4139" w:type="dxa"/>
            <w:shd w:val="clear" w:color="auto" w:fill="FFFFFF"/>
            <w:tcMar>
              <w:top w:w="68" w:type="dxa"/>
              <w:left w:w="28" w:type="dxa"/>
              <w:bottom w:w="0" w:type="dxa"/>
              <w:right w:w="28" w:type="dxa"/>
            </w:tcMar>
            <w:hideMark/>
          </w:tcPr>
          <w:p w:rsidRPr="00FC2616" w:rsidR="00FC14DC" w:rsidP="00FC14DC" w:rsidRDefault="00FC14DC" w14:paraId="1DD215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FC2616" w:rsidR="00FC14DC" w:rsidP="00FC14DC" w:rsidRDefault="00FC14DC" w14:paraId="1FA0F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w:t>
            </w:r>
          </w:p>
        </w:tc>
        <w:tc>
          <w:tcPr>
            <w:tcW w:w="1418" w:type="dxa"/>
            <w:shd w:val="clear" w:color="auto" w:fill="FFFFFF"/>
            <w:tcMar>
              <w:top w:w="68" w:type="dxa"/>
              <w:left w:w="28" w:type="dxa"/>
              <w:bottom w:w="0" w:type="dxa"/>
              <w:right w:w="28" w:type="dxa"/>
            </w:tcMar>
            <w:hideMark/>
          </w:tcPr>
          <w:p w:rsidRPr="00FC2616" w:rsidR="00FC14DC" w:rsidP="00FC14DC" w:rsidRDefault="00FC14DC" w14:paraId="7D5401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FC2616" w:rsidR="00FC14DC" w:rsidP="00FC14DC" w:rsidRDefault="00FC14DC" w14:paraId="1ABB69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68</w:t>
            </w:r>
          </w:p>
        </w:tc>
      </w:tr>
      <w:tr w:rsidRPr="00FC2616" w:rsidR="00FC14DC" w:rsidTr="00FC14DC" w14:paraId="2D037FA7"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15197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1:23</w:t>
            </w:r>
          </w:p>
        </w:tc>
        <w:tc>
          <w:tcPr>
            <w:tcW w:w="4139" w:type="dxa"/>
            <w:shd w:val="clear" w:color="auto" w:fill="FFFFFF"/>
            <w:tcMar>
              <w:top w:w="68" w:type="dxa"/>
              <w:left w:w="28" w:type="dxa"/>
              <w:bottom w:w="0" w:type="dxa"/>
              <w:right w:w="28" w:type="dxa"/>
            </w:tcMar>
            <w:hideMark/>
          </w:tcPr>
          <w:p w:rsidRPr="00FC2616" w:rsidR="00FC14DC" w:rsidP="00FC14DC" w:rsidRDefault="00FC14DC" w14:paraId="2239B3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FC2616" w:rsidR="00FC14DC" w:rsidP="00FC14DC" w:rsidRDefault="00FC14DC" w14:paraId="1AA02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85</w:t>
            </w:r>
          </w:p>
        </w:tc>
        <w:tc>
          <w:tcPr>
            <w:tcW w:w="1418" w:type="dxa"/>
            <w:shd w:val="clear" w:color="auto" w:fill="FFFFFF"/>
            <w:tcMar>
              <w:top w:w="68" w:type="dxa"/>
              <w:left w:w="28" w:type="dxa"/>
              <w:bottom w:w="0" w:type="dxa"/>
              <w:right w:w="28" w:type="dxa"/>
            </w:tcMar>
            <w:hideMark/>
          </w:tcPr>
          <w:p w:rsidRPr="00FC2616" w:rsidR="00FC14DC" w:rsidP="00FC14DC" w:rsidRDefault="00FC14DC" w14:paraId="0E35C6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85</w:t>
            </w:r>
          </w:p>
        </w:tc>
        <w:tc>
          <w:tcPr>
            <w:tcW w:w="1418" w:type="dxa"/>
            <w:shd w:val="clear" w:color="auto" w:fill="FFFFFF"/>
            <w:tcMar>
              <w:top w:w="68" w:type="dxa"/>
              <w:left w:w="28" w:type="dxa"/>
              <w:bottom w:w="0" w:type="dxa"/>
              <w:right w:w="28" w:type="dxa"/>
            </w:tcMar>
            <w:hideMark/>
          </w:tcPr>
          <w:p w:rsidRPr="00FC2616" w:rsidR="00FC14DC" w:rsidP="00FC14DC" w:rsidRDefault="00FC14DC" w14:paraId="400F7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85</w:t>
            </w:r>
          </w:p>
        </w:tc>
      </w:tr>
      <w:tr w:rsidRPr="00FC2616" w:rsidR="00FC14DC" w:rsidTr="00A63447" w14:paraId="09171CAB"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A4502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1:30</w:t>
            </w:r>
          </w:p>
        </w:tc>
        <w:tc>
          <w:tcPr>
            <w:tcW w:w="4139" w:type="dxa"/>
            <w:shd w:val="clear" w:color="auto" w:fill="FFFFFF"/>
            <w:tcMar>
              <w:top w:w="68" w:type="dxa"/>
              <w:left w:w="28" w:type="dxa"/>
              <w:bottom w:w="0" w:type="dxa"/>
              <w:right w:w="28" w:type="dxa"/>
            </w:tcMar>
            <w:hideMark/>
          </w:tcPr>
          <w:p w:rsidRPr="00FC2616" w:rsidR="00FC14DC" w:rsidP="00FC14DC" w:rsidRDefault="00FC14DC" w14:paraId="4484C552" w14:textId="0889485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w:t>
            </w:r>
            <w:r w:rsidR="00DA22C2">
              <w:rPr>
                <w:rFonts w:ascii="Times New Roman" w:hAnsi="Times New Roman" w:eastAsia="Times New Roman" w:cs="Times New Roman"/>
                <w:color w:val="000000"/>
                <w:kern w:val="0"/>
                <w:sz w:val="20"/>
                <w:szCs w:val="20"/>
                <w:lang w:eastAsia="sv-SE"/>
                <w14:numSpacing w14:val="default"/>
              </w:rPr>
              <w:t>–</w:t>
            </w:r>
            <w:r w:rsidRPr="00FC2616">
              <w:rPr>
                <w:rFonts w:ascii="Times New Roman" w:hAnsi="Times New Roman" w:eastAsia="Times New Roman" w:cs="Times New Roman"/>
                <w:color w:val="000000"/>
                <w:kern w:val="0"/>
                <w:sz w:val="20"/>
                <w:szCs w:val="20"/>
                <w:lang w:eastAsia="sv-SE"/>
                <w14:numSpacing w14:val="default"/>
              </w:rPr>
              <w:t>2027</w:t>
            </w:r>
          </w:p>
        </w:tc>
        <w:tc>
          <w:tcPr>
            <w:tcW w:w="1418" w:type="dxa"/>
            <w:shd w:val="clear" w:color="auto" w:fill="FFFFFF"/>
            <w:tcMar>
              <w:top w:w="68" w:type="dxa"/>
              <w:left w:w="28" w:type="dxa"/>
              <w:bottom w:w="0" w:type="dxa"/>
              <w:right w:w="28" w:type="dxa"/>
            </w:tcMar>
            <w:vAlign w:val="bottom"/>
            <w:hideMark/>
          </w:tcPr>
          <w:p w:rsidRPr="00FC2616" w:rsidR="00FC14DC" w:rsidP="00A63447" w:rsidRDefault="00FC14DC" w14:paraId="3492BB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1 522</w:t>
            </w:r>
          </w:p>
        </w:tc>
        <w:tc>
          <w:tcPr>
            <w:tcW w:w="1418" w:type="dxa"/>
            <w:shd w:val="clear" w:color="auto" w:fill="FFFFFF"/>
            <w:tcMar>
              <w:top w:w="68" w:type="dxa"/>
              <w:left w:w="28" w:type="dxa"/>
              <w:bottom w:w="0" w:type="dxa"/>
              <w:right w:w="28" w:type="dxa"/>
            </w:tcMar>
            <w:vAlign w:val="bottom"/>
            <w:hideMark/>
          </w:tcPr>
          <w:p w:rsidRPr="00FC2616" w:rsidR="00FC14DC" w:rsidP="00A63447" w:rsidRDefault="00FC14DC" w14:paraId="7C254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1 652</w:t>
            </w:r>
          </w:p>
        </w:tc>
        <w:tc>
          <w:tcPr>
            <w:tcW w:w="1418" w:type="dxa"/>
            <w:shd w:val="clear" w:color="auto" w:fill="FFFFFF"/>
            <w:tcMar>
              <w:top w:w="68" w:type="dxa"/>
              <w:left w:w="28" w:type="dxa"/>
              <w:bottom w:w="0" w:type="dxa"/>
              <w:right w:w="28" w:type="dxa"/>
            </w:tcMar>
            <w:vAlign w:val="bottom"/>
            <w:hideMark/>
          </w:tcPr>
          <w:p w:rsidRPr="00FC2616" w:rsidR="00FC14DC" w:rsidP="00A63447" w:rsidRDefault="00FC14DC" w14:paraId="3DB2A2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1 662</w:t>
            </w:r>
          </w:p>
        </w:tc>
      </w:tr>
      <w:tr w:rsidRPr="00FC2616" w:rsidR="00FC14DC" w:rsidTr="00FC14DC" w14:paraId="3A0476D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56B37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DAED3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3 364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6FCD9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3 499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D3AF6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3 061</w:t>
            </w:r>
          </w:p>
        </w:tc>
      </w:tr>
    </w:tbl>
    <w:p w:rsidRPr="009D771F" w:rsidR="00FC14DC" w:rsidP="009D771F" w:rsidRDefault="00FC14DC" w14:paraId="02C2C382" w14:textId="25F0B0DF">
      <w:pPr>
        <w:pStyle w:val="Tabellrubrik"/>
        <w:spacing w:before="300"/>
      </w:pPr>
      <w:r w:rsidRPr="009D771F">
        <w:t>Avvikelser gentemot regeringen för utgiftsområde 24 Näringsliv</w:t>
      </w:r>
    </w:p>
    <w:p w:rsidRPr="009D771F" w:rsidR="00FC14DC" w:rsidP="009D771F" w:rsidRDefault="00FC14DC" w14:paraId="04D30495" w14:textId="77777777">
      <w:pPr>
        <w:pStyle w:val="Tabellunderrubrik"/>
      </w:pPr>
      <w:r w:rsidRPr="009D771F">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01"/>
        <w:gridCol w:w="1370"/>
        <w:gridCol w:w="1361"/>
        <w:gridCol w:w="1361"/>
      </w:tblGrid>
      <w:tr w:rsidRPr="00FC2616" w:rsidR="00FC14DC" w:rsidTr="00FC14DC" w14:paraId="35A34F56"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2E637E0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39E5C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40166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33C65337"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552762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62F87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226C6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490C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26625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12B68A88"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5A7341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24 Näringsliv</w:t>
            </w:r>
          </w:p>
        </w:tc>
      </w:tr>
      <w:tr w:rsidRPr="00FC2616" w:rsidR="00FC14DC" w:rsidTr="00FC14DC" w14:paraId="37F221CF"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FED49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C2616" w:rsidR="00FC14DC" w:rsidP="00FC14DC" w:rsidRDefault="00FC14DC" w14:paraId="4D1CA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hideMark/>
          </w:tcPr>
          <w:p w:rsidRPr="00FC2616" w:rsidR="00FC14DC" w:rsidP="00FC14DC" w:rsidRDefault="00FC14DC" w14:paraId="60546B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21B80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C2616" w:rsidR="00FC14DC" w:rsidP="00FC14DC" w:rsidRDefault="00FC14DC" w14:paraId="2D2D25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w:t>
            </w:r>
          </w:p>
        </w:tc>
      </w:tr>
      <w:tr w:rsidRPr="00FC2616" w:rsidR="00FC14DC" w:rsidTr="00FC14DC" w14:paraId="44728261"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F07D8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C2616" w:rsidR="00FC14DC" w:rsidP="00FC14DC" w:rsidRDefault="00FC14DC" w14:paraId="4B12C2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hideMark/>
          </w:tcPr>
          <w:p w:rsidRPr="00FC2616" w:rsidR="00FC14DC" w:rsidP="00FC14DC" w:rsidRDefault="00FC14DC" w14:paraId="29CF7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122</w:t>
            </w:r>
          </w:p>
        </w:tc>
        <w:tc>
          <w:tcPr>
            <w:tcW w:w="1418" w:type="dxa"/>
            <w:shd w:val="clear" w:color="auto" w:fill="FFFFFF"/>
            <w:tcMar>
              <w:top w:w="68" w:type="dxa"/>
              <w:left w:w="28" w:type="dxa"/>
              <w:bottom w:w="0" w:type="dxa"/>
              <w:right w:w="28" w:type="dxa"/>
            </w:tcMar>
            <w:hideMark/>
          </w:tcPr>
          <w:p w:rsidRPr="00FC2616" w:rsidR="00FC14DC" w:rsidP="00FC14DC" w:rsidRDefault="00FC14DC" w14:paraId="185C8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122</w:t>
            </w:r>
          </w:p>
        </w:tc>
        <w:tc>
          <w:tcPr>
            <w:tcW w:w="1418" w:type="dxa"/>
            <w:shd w:val="clear" w:color="auto" w:fill="FFFFFF"/>
            <w:tcMar>
              <w:top w:w="68" w:type="dxa"/>
              <w:left w:w="28" w:type="dxa"/>
              <w:bottom w:w="0" w:type="dxa"/>
              <w:right w:w="28" w:type="dxa"/>
            </w:tcMar>
            <w:hideMark/>
          </w:tcPr>
          <w:p w:rsidRPr="00FC2616" w:rsidR="00FC14DC" w:rsidP="00FC14DC" w:rsidRDefault="00FC14DC" w14:paraId="31E1F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122</w:t>
            </w:r>
          </w:p>
        </w:tc>
      </w:tr>
      <w:tr w:rsidRPr="00FC2616" w:rsidR="00FC14DC" w:rsidTr="00FC14DC" w14:paraId="5810C4D6"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8009E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C2616" w:rsidR="00FC14DC" w:rsidP="00FC14DC" w:rsidRDefault="00FC14DC" w14:paraId="4ACA9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hideMark/>
          </w:tcPr>
          <w:p w:rsidRPr="00FC2616" w:rsidR="00FC14DC" w:rsidP="00FC14DC" w:rsidRDefault="00FC14DC" w14:paraId="59271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76</w:t>
            </w:r>
          </w:p>
        </w:tc>
        <w:tc>
          <w:tcPr>
            <w:tcW w:w="1418" w:type="dxa"/>
            <w:shd w:val="clear" w:color="auto" w:fill="FFFFFF"/>
            <w:tcMar>
              <w:top w:w="68" w:type="dxa"/>
              <w:left w:w="28" w:type="dxa"/>
              <w:bottom w:w="0" w:type="dxa"/>
              <w:right w:w="28" w:type="dxa"/>
            </w:tcMar>
            <w:hideMark/>
          </w:tcPr>
          <w:p w:rsidRPr="00FC2616" w:rsidR="00FC14DC" w:rsidP="00FC14DC" w:rsidRDefault="00FC14DC" w14:paraId="4BC19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78</w:t>
            </w:r>
          </w:p>
        </w:tc>
        <w:tc>
          <w:tcPr>
            <w:tcW w:w="1418" w:type="dxa"/>
            <w:shd w:val="clear" w:color="auto" w:fill="FFFFFF"/>
            <w:tcMar>
              <w:top w:w="68" w:type="dxa"/>
              <w:left w:w="28" w:type="dxa"/>
              <w:bottom w:w="0" w:type="dxa"/>
              <w:right w:w="28" w:type="dxa"/>
            </w:tcMar>
            <w:hideMark/>
          </w:tcPr>
          <w:p w:rsidRPr="00FC2616" w:rsidR="00FC14DC" w:rsidP="00FC14DC" w:rsidRDefault="00FC14DC" w14:paraId="5BD6BC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78</w:t>
            </w:r>
          </w:p>
        </w:tc>
      </w:tr>
      <w:tr w:rsidRPr="00FC2616" w:rsidR="00FC14DC" w:rsidTr="00FC14DC" w14:paraId="10E4FAF5"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65C21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1:24</w:t>
            </w:r>
          </w:p>
        </w:tc>
        <w:tc>
          <w:tcPr>
            <w:tcW w:w="4139" w:type="dxa"/>
            <w:shd w:val="clear" w:color="auto" w:fill="FFFFFF"/>
            <w:tcMar>
              <w:top w:w="68" w:type="dxa"/>
              <w:left w:w="28" w:type="dxa"/>
              <w:bottom w:w="0" w:type="dxa"/>
              <w:right w:w="28" w:type="dxa"/>
            </w:tcMar>
            <w:hideMark/>
          </w:tcPr>
          <w:p w:rsidRPr="00FC2616" w:rsidR="00FC14DC" w:rsidP="00FC14DC" w:rsidRDefault="00FC14DC" w14:paraId="679064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Elstöd</w:t>
            </w:r>
          </w:p>
        </w:tc>
        <w:tc>
          <w:tcPr>
            <w:tcW w:w="1418" w:type="dxa"/>
            <w:shd w:val="clear" w:color="auto" w:fill="FFFFFF"/>
            <w:tcMar>
              <w:top w:w="68" w:type="dxa"/>
              <w:left w:w="28" w:type="dxa"/>
              <w:bottom w:w="0" w:type="dxa"/>
              <w:right w:w="28" w:type="dxa"/>
            </w:tcMar>
            <w:hideMark/>
          </w:tcPr>
          <w:p w:rsidRPr="00FC2616" w:rsidR="00FC14DC" w:rsidP="00FC14DC" w:rsidRDefault="00FC14DC" w14:paraId="2972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−2 400</w:t>
            </w:r>
          </w:p>
        </w:tc>
        <w:tc>
          <w:tcPr>
            <w:tcW w:w="1418" w:type="dxa"/>
            <w:shd w:val="clear" w:color="auto" w:fill="FFFFFF"/>
            <w:tcMar>
              <w:top w:w="68" w:type="dxa"/>
              <w:left w:w="28" w:type="dxa"/>
              <w:bottom w:w="0" w:type="dxa"/>
              <w:right w:w="28" w:type="dxa"/>
            </w:tcMar>
            <w:hideMark/>
          </w:tcPr>
          <w:p w:rsidRPr="00FC2616" w:rsidR="00FC14DC" w:rsidP="00FC14DC" w:rsidRDefault="00FC14DC" w14:paraId="2BFF48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C14DC" w:rsidP="00FC14DC" w:rsidRDefault="00FC14DC" w14:paraId="7B79F6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9D771F" w14:paraId="4F42D2DA"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3B7C32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C2616" w:rsidR="00FC14DC" w:rsidP="00FC14DC" w:rsidRDefault="00FC14DC" w14:paraId="26B91C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Program för grön omställning inom pappersindustrin</w:t>
            </w:r>
          </w:p>
        </w:tc>
        <w:tc>
          <w:tcPr>
            <w:tcW w:w="1418" w:type="dxa"/>
            <w:shd w:val="clear" w:color="auto" w:fill="FFFFFF"/>
            <w:tcMar>
              <w:top w:w="68" w:type="dxa"/>
              <w:left w:w="28" w:type="dxa"/>
              <w:bottom w:w="0" w:type="dxa"/>
              <w:right w:w="28" w:type="dxa"/>
            </w:tcMar>
            <w:vAlign w:val="bottom"/>
            <w:hideMark/>
          </w:tcPr>
          <w:p w:rsidRPr="00FC2616" w:rsidR="00FC14DC" w:rsidP="009D771F" w:rsidRDefault="00FC14DC" w14:paraId="2696E6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vAlign w:val="bottom"/>
            <w:hideMark/>
          </w:tcPr>
          <w:p w:rsidRPr="00FC2616" w:rsidR="00FC14DC" w:rsidP="009D771F" w:rsidRDefault="00FC14DC" w14:paraId="061368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vAlign w:val="bottom"/>
            <w:hideMark/>
          </w:tcPr>
          <w:p w:rsidRPr="00FC2616" w:rsidR="00FC14DC" w:rsidP="009D771F" w:rsidRDefault="00FC14DC" w14:paraId="318B7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300</w:t>
            </w:r>
          </w:p>
        </w:tc>
      </w:tr>
      <w:tr w:rsidRPr="00FC2616" w:rsidR="00FC14DC" w:rsidTr="00FC14DC" w14:paraId="6C5F395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519FCC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A74A2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−2 022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784AF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853A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530</w:t>
            </w:r>
          </w:p>
        </w:tc>
      </w:tr>
    </w:tbl>
    <w:p w:rsidRPr="0095526A" w:rsidR="00FC14DC" w:rsidP="0095526A" w:rsidRDefault="00FC14DC" w14:paraId="4E863F7E" w14:textId="1421B1BE">
      <w:pPr>
        <w:pStyle w:val="Tabellrubrik"/>
        <w:spacing w:before="300"/>
      </w:pPr>
      <w:r w:rsidRPr="0095526A">
        <w:lastRenderedPageBreak/>
        <w:t>Avvikelser gentemot regeringen för utgiftsområde 25 Allmänna bidrag till kommuner</w:t>
      </w:r>
    </w:p>
    <w:p w:rsidRPr="0095526A" w:rsidR="00FC14DC" w:rsidP="0095526A" w:rsidRDefault="00FC14DC" w14:paraId="0F3EA6EF" w14:textId="77777777">
      <w:pPr>
        <w:pStyle w:val="Tabellunderrubrik"/>
      </w:pPr>
      <w:r w:rsidRPr="0095526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9"/>
        <w:gridCol w:w="1379"/>
        <w:gridCol w:w="1379"/>
        <w:gridCol w:w="1379"/>
      </w:tblGrid>
      <w:tr w:rsidRPr="00FC2616" w:rsidR="00FC14DC" w:rsidTr="00FC14DC" w14:paraId="7E2259D4"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7196D05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41C3E9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3CEC3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7C00AF27"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06DD1A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6B6066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C547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0640A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8F7F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284F9CCF"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414C5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25 Allmänna bidrag till kommuner</w:t>
            </w:r>
          </w:p>
        </w:tc>
      </w:tr>
      <w:tr w:rsidRPr="00FC2616" w:rsidR="00FC14DC" w:rsidTr="00FC14DC" w14:paraId="241BDF8A"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113F88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4D613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FC2616" w:rsidR="00FC14DC" w:rsidP="00FC14DC" w:rsidRDefault="00FC14DC" w14:paraId="25349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18 241</w:t>
            </w:r>
          </w:p>
        </w:tc>
        <w:tc>
          <w:tcPr>
            <w:tcW w:w="1418" w:type="dxa"/>
            <w:shd w:val="clear" w:color="auto" w:fill="FFFFFF"/>
            <w:tcMar>
              <w:top w:w="68" w:type="dxa"/>
              <w:left w:w="28" w:type="dxa"/>
              <w:bottom w:w="0" w:type="dxa"/>
              <w:right w:w="28" w:type="dxa"/>
            </w:tcMar>
            <w:hideMark/>
          </w:tcPr>
          <w:p w:rsidRPr="00FC2616" w:rsidR="00FC14DC" w:rsidP="00FC14DC" w:rsidRDefault="00FC14DC" w14:paraId="6ED9CB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24 051</w:t>
            </w:r>
          </w:p>
        </w:tc>
        <w:tc>
          <w:tcPr>
            <w:tcW w:w="1418" w:type="dxa"/>
            <w:shd w:val="clear" w:color="auto" w:fill="FFFFFF"/>
            <w:tcMar>
              <w:top w:w="68" w:type="dxa"/>
              <w:left w:w="28" w:type="dxa"/>
              <w:bottom w:w="0" w:type="dxa"/>
              <w:right w:w="28" w:type="dxa"/>
            </w:tcMar>
            <w:hideMark/>
          </w:tcPr>
          <w:p w:rsidRPr="00FC2616" w:rsidR="00FC14DC" w:rsidP="00FC14DC" w:rsidRDefault="00FC14DC" w14:paraId="346865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42 361</w:t>
            </w:r>
          </w:p>
        </w:tc>
      </w:tr>
      <w:tr w:rsidRPr="00FC2616" w:rsidR="00FC14DC" w:rsidTr="00FC14DC" w14:paraId="1898A4B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5C5B76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BEA0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18 241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C183A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24 051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8943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42 361</w:t>
            </w:r>
          </w:p>
        </w:tc>
      </w:tr>
    </w:tbl>
    <w:p w:rsidRPr="0095526A" w:rsidR="00FC14DC" w:rsidP="0095526A" w:rsidRDefault="00FC14DC" w14:paraId="55F799CF" w14:textId="1410174E">
      <w:pPr>
        <w:pStyle w:val="Tabellrubrik"/>
        <w:spacing w:before="300"/>
      </w:pPr>
      <w:r w:rsidRPr="0095526A">
        <w:t>Avvikelser gentemot regeringen för utgiftsområde 26 Statsskuldsräntor m.m.</w:t>
      </w:r>
    </w:p>
    <w:p w:rsidRPr="0095526A" w:rsidR="00FC14DC" w:rsidP="0095526A" w:rsidRDefault="00FC14DC" w14:paraId="16D46D5F" w14:textId="77777777">
      <w:pPr>
        <w:pStyle w:val="Tabellunderrubrik"/>
      </w:pPr>
      <w:r w:rsidRPr="0095526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40"/>
        <w:gridCol w:w="4021"/>
        <w:gridCol w:w="1382"/>
        <w:gridCol w:w="1381"/>
        <w:gridCol w:w="1381"/>
      </w:tblGrid>
      <w:tr w:rsidRPr="00FC2616" w:rsidR="00FC14DC" w:rsidTr="00FC14DC" w14:paraId="66CC310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6E74A0D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0B4A3A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39B16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3D48D948"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428177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7BD5A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FB9AA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0BE4A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F47B7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43B2F12D"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2EC48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26 Statsskuldsräntor m.m.</w:t>
            </w:r>
          </w:p>
        </w:tc>
      </w:tr>
      <w:tr w:rsidRPr="00FC2616" w:rsidR="00FC14DC" w:rsidTr="00FC14DC" w14:paraId="760ED353"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42DB3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C2616" w:rsidR="00FC14DC" w:rsidP="00FC14DC" w:rsidRDefault="00FC14DC" w14:paraId="6E987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Räntor på statsskulden</w:t>
            </w:r>
          </w:p>
        </w:tc>
        <w:tc>
          <w:tcPr>
            <w:tcW w:w="1418" w:type="dxa"/>
            <w:shd w:val="clear" w:color="auto" w:fill="FFFFFF"/>
            <w:tcMar>
              <w:top w:w="68" w:type="dxa"/>
              <w:left w:w="28" w:type="dxa"/>
              <w:bottom w:w="0" w:type="dxa"/>
              <w:right w:w="28" w:type="dxa"/>
            </w:tcMar>
            <w:hideMark/>
          </w:tcPr>
          <w:p w:rsidRPr="00FC2616" w:rsidR="00FC14DC" w:rsidP="00FC14DC" w:rsidRDefault="00FC14DC" w14:paraId="6A4C1E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0529D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C2616" w:rsidR="00FC14DC" w:rsidP="00FC14DC" w:rsidRDefault="00FC14DC" w14:paraId="3048D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r>
      <w:tr w:rsidRPr="00FC2616" w:rsidR="00FC14DC" w:rsidTr="00FC14DC" w14:paraId="1D71DBD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31CE0B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88E44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14F2A6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BDCB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10</w:t>
            </w:r>
          </w:p>
        </w:tc>
      </w:tr>
    </w:tbl>
    <w:p w:rsidRPr="0095526A" w:rsidR="00FC14DC" w:rsidP="0095526A" w:rsidRDefault="00FC14DC" w14:paraId="7ACA7B4B" w14:textId="000A6247">
      <w:pPr>
        <w:pStyle w:val="Tabellrubrik"/>
        <w:spacing w:before="300"/>
      </w:pPr>
      <w:r w:rsidRPr="0095526A">
        <w:t>Avvikelser gentemot regeringen för utgiftsområde 27 Avgiften till Europeiska unionen</w:t>
      </w:r>
    </w:p>
    <w:p w:rsidRPr="0095526A" w:rsidR="00FC14DC" w:rsidP="0095526A" w:rsidRDefault="00FC14DC" w14:paraId="44E8DF1C" w14:textId="77777777">
      <w:pPr>
        <w:pStyle w:val="Tabellunderrubrik"/>
      </w:pPr>
      <w:r w:rsidRPr="0095526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FC2616" w:rsidR="00FC14DC" w:rsidTr="00FC14DC" w14:paraId="10F62E1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34C4208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63215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C14DC" w:rsidP="00FC14DC" w:rsidRDefault="00FC14DC" w14:paraId="11735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C14DC" w:rsidTr="00FC14DC" w14:paraId="340D5863"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4F53A1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C14DC" w:rsidP="00FC14DC" w:rsidRDefault="00FC14DC" w14:paraId="56673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0B19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477B6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3F7C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709ADC06" w14:textId="77777777">
        <w:trPr>
          <w:trHeight w:val="170"/>
        </w:trPr>
        <w:tc>
          <w:tcPr>
            <w:tcW w:w="4139" w:type="dxa"/>
            <w:gridSpan w:val="5"/>
            <w:shd w:val="clear" w:color="auto" w:fill="FFFFFF"/>
            <w:tcMar>
              <w:top w:w="68" w:type="dxa"/>
              <w:left w:w="28" w:type="dxa"/>
              <w:bottom w:w="0" w:type="dxa"/>
              <w:right w:w="28" w:type="dxa"/>
            </w:tcMar>
            <w:hideMark/>
          </w:tcPr>
          <w:p w:rsidRPr="00FC2616" w:rsidR="00FC14DC" w:rsidP="00FC14DC" w:rsidRDefault="00FC14DC" w14:paraId="7F04A7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Utgiftsområde 27 Avgiften till Europeiska unionen</w:t>
            </w:r>
          </w:p>
        </w:tc>
      </w:tr>
      <w:tr w:rsidRPr="00FC2616" w:rsidR="00FC14DC" w:rsidTr="00FC14DC" w14:paraId="4426339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C14DC" w:rsidP="00FC14DC" w:rsidRDefault="00FC14DC" w14:paraId="7FF7BC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DFBF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57186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0F337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bl>
    <w:p w:rsidRPr="00FC2616" w:rsidR="00DC3C92" w:rsidP="00DC3C92" w:rsidRDefault="00DC3C92" w14:paraId="5EB818C0" w14:textId="7C5F8457">
      <w:pPr>
        <w:pStyle w:val="Rubrik1numrerat"/>
      </w:pPr>
      <w:bookmarkStart w:name="_Toc149814607" w:id="235"/>
      <w:r w:rsidRPr="00FC2616">
        <w:t>Den offentliga sektorns finanser m.m.</w:t>
      </w:r>
      <w:bookmarkEnd w:id="235"/>
    </w:p>
    <w:p w:rsidRPr="00DA3325" w:rsidR="001E5D65" w:rsidP="00DA3325" w:rsidRDefault="00DC3C92" w14:paraId="499B95AD" w14:textId="574B1B01">
      <w:pPr>
        <w:pStyle w:val="Tabellrubrik"/>
        <w:spacing w:before="300"/>
      </w:pPr>
      <w:r w:rsidRPr="00DA3325">
        <w:t xml:space="preserve">Tabell </w:t>
      </w:r>
      <w:r w:rsidRPr="00DA3325" w:rsidR="0008121C">
        <w:t>12</w:t>
      </w:r>
      <w:r w:rsidRPr="00DA3325" w:rsidR="001E5D65">
        <w:t xml:space="preserve"> Den offentliga sektorns finanser</w:t>
      </w:r>
    </w:p>
    <w:p w:rsidRPr="00DA3325" w:rsidR="00FC14DC" w:rsidP="00DA3325" w:rsidRDefault="00FC14DC" w14:paraId="70C9F2A0" w14:textId="5388BC2E">
      <w:pPr>
        <w:pStyle w:val="Tabellunderrubrik"/>
      </w:pPr>
      <w:r w:rsidRPr="00DA3325">
        <w:t>Miljoner kronor </w:t>
      </w:r>
      <w:r w:rsidRPr="00DA3325" w:rsidR="008F1202">
        <w:t>–</w:t>
      </w:r>
      <w:r w:rsidRPr="00DA3325">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FC2616" w:rsidR="00FC14DC" w:rsidTr="00FC14DC" w14:paraId="71D6875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FC2616" w:rsidR="00FC14DC" w:rsidP="00FC14DC" w:rsidRDefault="00FC14DC" w14:paraId="5BE4C6A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2A640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EF5D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972B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030A8D51"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FC14DC" w:rsidP="00FC14DC" w:rsidRDefault="00FC14DC" w14:paraId="4E134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hideMark/>
          </w:tcPr>
          <w:p w:rsidRPr="00FC2616" w:rsidR="00FC14DC" w:rsidP="00FC14DC" w:rsidRDefault="00FC14DC" w14:paraId="5552DB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75 725</w:t>
            </w:r>
          </w:p>
        </w:tc>
        <w:tc>
          <w:tcPr>
            <w:tcW w:w="1134" w:type="dxa"/>
            <w:shd w:val="clear" w:color="auto" w:fill="FFFFFF"/>
            <w:tcMar>
              <w:top w:w="68" w:type="dxa"/>
              <w:left w:w="28" w:type="dxa"/>
              <w:bottom w:w="0" w:type="dxa"/>
              <w:right w:w="28" w:type="dxa"/>
            </w:tcMar>
            <w:hideMark/>
          </w:tcPr>
          <w:p w:rsidRPr="00FC2616" w:rsidR="00FC14DC" w:rsidP="00FC14DC" w:rsidRDefault="00FC14DC" w14:paraId="66CD7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76 570</w:t>
            </w:r>
          </w:p>
        </w:tc>
        <w:tc>
          <w:tcPr>
            <w:tcW w:w="1134" w:type="dxa"/>
            <w:shd w:val="clear" w:color="auto" w:fill="FFFFFF"/>
            <w:tcMar>
              <w:top w:w="68" w:type="dxa"/>
              <w:left w:w="28" w:type="dxa"/>
              <w:bottom w:w="0" w:type="dxa"/>
              <w:right w:w="28" w:type="dxa"/>
            </w:tcMar>
            <w:hideMark/>
          </w:tcPr>
          <w:p w:rsidRPr="00FC2616" w:rsidR="00FC14DC" w:rsidP="00FC14DC" w:rsidRDefault="00FC14DC" w14:paraId="74127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79 610</w:t>
            </w:r>
          </w:p>
        </w:tc>
      </w:tr>
      <w:tr w:rsidRPr="00FC2616" w:rsidR="00FC14DC" w:rsidTr="00FC14DC" w14:paraId="1C2A4AB6"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FC14DC" w:rsidP="00FC14DC" w:rsidRDefault="00FC14DC" w14:paraId="46DC03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hideMark/>
          </w:tcPr>
          <w:p w:rsidRPr="00FC2616" w:rsidR="00FC14DC" w:rsidP="00FC14DC" w:rsidRDefault="00FC14DC" w14:paraId="018377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86 643</w:t>
            </w:r>
          </w:p>
        </w:tc>
        <w:tc>
          <w:tcPr>
            <w:tcW w:w="1134" w:type="dxa"/>
            <w:shd w:val="clear" w:color="auto" w:fill="FFFFFF"/>
            <w:tcMar>
              <w:top w:w="68" w:type="dxa"/>
              <w:left w:w="28" w:type="dxa"/>
              <w:bottom w:w="0" w:type="dxa"/>
              <w:right w:w="28" w:type="dxa"/>
            </w:tcMar>
            <w:hideMark/>
          </w:tcPr>
          <w:p w:rsidRPr="00FC2616" w:rsidR="00FC14DC" w:rsidP="00FC14DC" w:rsidRDefault="00FC14DC" w14:paraId="2B97D5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158 933</w:t>
            </w:r>
          </w:p>
        </w:tc>
        <w:tc>
          <w:tcPr>
            <w:tcW w:w="1134" w:type="dxa"/>
            <w:shd w:val="clear" w:color="auto" w:fill="FFFFFF"/>
            <w:tcMar>
              <w:top w:w="68" w:type="dxa"/>
              <w:left w:w="28" w:type="dxa"/>
              <w:bottom w:w="0" w:type="dxa"/>
              <w:right w:w="28" w:type="dxa"/>
            </w:tcMar>
            <w:hideMark/>
          </w:tcPr>
          <w:p w:rsidRPr="00FC2616" w:rsidR="00FC14DC" w:rsidP="00FC14DC" w:rsidRDefault="00FC14DC" w14:paraId="7ADA1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195 909</w:t>
            </w:r>
          </w:p>
        </w:tc>
      </w:tr>
      <w:tr w:rsidRPr="00FC2616" w:rsidR="00FC14DC" w:rsidTr="00FC14DC" w14:paraId="73D20B96"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FC14DC" w:rsidP="00FC14DC" w:rsidRDefault="00FC14DC" w14:paraId="1D80D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hideMark/>
          </w:tcPr>
          <w:p w:rsidRPr="00FC2616" w:rsidR="00FC14DC" w:rsidP="00FC14DC" w:rsidRDefault="00FC14DC" w14:paraId="741060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−10 918</w:t>
            </w:r>
          </w:p>
        </w:tc>
        <w:tc>
          <w:tcPr>
            <w:tcW w:w="1134" w:type="dxa"/>
            <w:shd w:val="clear" w:color="auto" w:fill="FFFFFF"/>
            <w:tcMar>
              <w:top w:w="68" w:type="dxa"/>
              <w:left w:w="28" w:type="dxa"/>
              <w:bottom w:w="0" w:type="dxa"/>
              <w:right w:w="28" w:type="dxa"/>
            </w:tcMar>
            <w:hideMark/>
          </w:tcPr>
          <w:p w:rsidRPr="00FC2616" w:rsidR="00FC14DC" w:rsidP="00FC14DC" w:rsidRDefault="00FC14DC" w14:paraId="336285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−82 363</w:t>
            </w:r>
          </w:p>
        </w:tc>
        <w:tc>
          <w:tcPr>
            <w:tcW w:w="1134" w:type="dxa"/>
            <w:shd w:val="clear" w:color="auto" w:fill="FFFFFF"/>
            <w:tcMar>
              <w:top w:w="68" w:type="dxa"/>
              <w:left w:w="28" w:type="dxa"/>
              <w:bottom w:w="0" w:type="dxa"/>
              <w:right w:w="28" w:type="dxa"/>
            </w:tcMar>
            <w:hideMark/>
          </w:tcPr>
          <w:p w:rsidRPr="00FC2616" w:rsidR="00FC14DC" w:rsidP="00FC14DC" w:rsidRDefault="00FC14DC" w14:paraId="65A130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−116 299</w:t>
            </w:r>
          </w:p>
        </w:tc>
      </w:tr>
      <w:tr w:rsidRPr="00FC2616" w:rsidR="00FC14DC" w:rsidTr="00FC14DC" w14:paraId="67B3EECD"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5C136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C2616" w:rsidR="00FC14DC" w:rsidP="00FC14DC" w:rsidRDefault="00FC14DC" w14:paraId="6F78D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hideMark/>
          </w:tcPr>
          <w:p w:rsidRPr="00FC2616" w:rsidR="00FC14DC" w:rsidP="00FC14DC" w:rsidRDefault="00FC14DC" w14:paraId="093849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−25 298</w:t>
            </w:r>
          </w:p>
        </w:tc>
        <w:tc>
          <w:tcPr>
            <w:tcW w:w="1134" w:type="dxa"/>
            <w:shd w:val="clear" w:color="auto" w:fill="FFFFFF"/>
            <w:tcMar>
              <w:top w:w="68" w:type="dxa"/>
              <w:left w:w="28" w:type="dxa"/>
              <w:bottom w:w="0" w:type="dxa"/>
              <w:right w:w="28" w:type="dxa"/>
            </w:tcMar>
            <w:hideMark/>
          </w:tcPr>
          <w:p w:rsidRPr="00FC2616" w:rsidR="00FC14DC" w:rsidP="00FC14DC" w:rsidRDefault="00FC14DC" w14:paraId="4F7A44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−90 563</w:t>
            </w:r>
          </w:p>
        </w:tc>
        <w:tc>
          <w:tcPr>
            <w:tcW w:w="1134" w:type="dxa"/>
            <w:shd w:val="clear" w:color="auto" w:fill="FFFFFF"/>
            <w:tcMar>
              <w:top w:w="68" w:type="dxa"/>
              <w:left w:w="28" w:type="dxa"/>
              <w:bottom w:w="0" w:type="dxa"/>
              <w:right w:w="28" w:type="dxa"/>
            </w:tcMar>
            <w:hideMark/>
          </w:tcPr>
          <w:p w:rsidRPr="00FC2616" w:rsidR="00FC14DC" w:rsidP="00FC14DC" w:rsidRDefault="00FC14DC" w14:paraId="20B1F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−135 899</w:t>
            </w:r>
          </w:p>
        </w:tc>
      </w:tr>
      <w:tr w:rsidRPr="00FC2616" w:rsidR="00FC14DC" w:rsidTr="00FC14DC" w14:paraId="7388CA81"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7CDD2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C2616" w:rsidR="00FC14DC" w:rsidP="00FC14DC" w:rsidRDefault="00FC14DC" w14:paraId="4B5A5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hideMark/>
          </w:tcPr>
          <w:p w:rsidRPr="00FC2616" w:rsidR="00FC14DC" w:rsidP="00FC14DC" w:rsidRDefault="00FC14DC" w14:paraId="6518E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16 400</w:t>
            </w:r>
          </w:p>
        </w:tc>
        <w:tc>
          <w:tcPr>
            <w:tcW w:w="1134" w:type="dxa"/>
            <w:shd w:val="clear" w:color="auto" w:fill="FFFFFF"/>
            <w:tcMar>
              <w:top w:w="68" w:type="dxa"/>
              <w:left w:w="28" w:type="dxa"/>
              <w:bottom w:w="0" w:type="dxa"/>
              <w:right w:w="28" w:type="dxa"/>
            </w:tcMar>
            <w:hideMark/>
          </w:tcPr>
          <w:p w:rsidRPr="00FC2616" w:rsidR="00FC14DC" w:rsidP="00FC14DC" w:rsidRDefault="00FC14DC" w14:paraId="08A0EB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10 020</w:t>
            </w:r>
          </w:p>
        </w:tc>
        <w:tc>
          <w:tcPr>
            <w:tcW w:w="1134" w:type="dxa"/>
            <w:shd w:val="clear" w:color="auto" w:fill="FFFFFF"/>
            <w:tcMar>
              <w:top w:w="68" w:type="dxa"/>
              <w:left w:w="28" w:type="dxa"/>
              <w:bottom w:w="0" w:type="dxa"/>
              <w:right w:w="28" w:type="dxa"/>
            </w:tcMar>
            <w:hideMark/>
          </w:tcPr>
          <w:p w:rsidRPr="00FC2616" w:rsidR="00FC14DC" w:rsidP="00FC14DC" w:rsidRDefault="00FC14DC" w14:paraId="206C3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21 220</w:t>
            </w:r>
          </w:p>
        </w:tc>
      </w:tr>
      <w:tr w:rsidRPr="00FC2616" w:rsidR="00FC14DC" w:rsidTr="00FC14DC" w14:paraId="207BBA78"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61CDB1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C2616" w:rsidR="00FC14DC" w:rsidP="00FC14DC" w:rsidRDefault="00FC14DC" w14:paraId="2B0EE3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hideMark/>
          </w:tcPr>
          <w:p w:rsidRPr="00FC2616" w:rsidR="00FC14DC" w:rsidP="00FC14DC" w:rsidRDefault="00FC14DC" w14:paraId="75319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−2 020</w:t>
            </w:r>
          </w:p>
        </w:tc>
        <w:tc>
          <w:tcPr>
            <w:tcW w:w="1134" w:type="dxa"/>
            <w:shd w:val="clear" w:color="auto" w:fill="FFFFFF"/>
            <w:tcMar>
              <w:top w:w="68" w:type="dxa"/>
              <w:left w:w="28" w:type="dxa"/>
              <w:bottom w:w="0" w:type="dxa"/>
              <w:right w:w="28" w:type="dxa"/>
            </w:tcMar>
            <w:hideMark/>
          </w:tcPr>
          <w:p w:rsidRPr="00FC2616" w:rsidR="00FC14DC" w:rsidP="00FC14DC" w:rsidRDefault="00FC14DC" w14:paraId="0BA77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−1 820</w:t>
            </w:r>
          </w:p>
        </w:tc>
        <w:tc>
          <w:tcPr>
            <w:tcW w:w="1134" w:type="dxa"/>
            <w:shd w:val="clear" w:color="auto" w:fill="FFFFFF"/>
            <w:tcMar>
              <w:top w:w="68" w:type="dxa"/>
              <w:left w:w="28" w:type="dxa"/>
              <w:bottom w:w="0" w:type="dxa"/>
              <w:right w:w="28" w:type="dxa"/>
            </w:tcMar>
            <w:hideMark/>
          </w:tcPr>
          <w:p w:rsidRPr="00FC2616" w:rsidR="00FC14DC" w:rsidP="00FC14DC" w:rsidRDefault="00FC14DC" w14:paraId="31979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−1 620</w:t>
            </w:r>
          </w:p>
        </w:tc>
      </w:tr>
      <w:tr w:rsidRPr="00FC2616" w:rsidR="00FC14DC" w:rsidTr="00FC14DC" w14:paraId="76C53FF2"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FC2616" w:rsidR="00FC14DC" w:rsidP="00FC14DC" w:rsidRDefault="00FC14DC" w14:paraId="45AD59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64977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−0,00 %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6B72F2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−0,92 %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3D112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−0,34 %</w:t>
            </w:r>
          </w:p>
        </w:tc>
      </w:tr>
    </w:tbl>
    <w:p w:rsidRPr="00DA3325" w:rsidR="001E5D65" w:rsidP="00DA3325" w:rsidRDefault="001E5D65" w14:paraId="622C810F" w14:textId="41C3B0BA">
      <w:pPr>
        <w:pStyle w:val="Tabellrubrik"/>
        <w:spacing w:before="300"/>
      </w:pPr>
      <w:r w:rsidRPr="00DA3325">
        <w:t xml:space="preserve">Tabell </w:t>
      </w:r>
      <w:r w:rsidRPr="00DA3325" w:rsidR="0008121C">
        <w:t>13</w:t>
      </w:r>
      <w:r w:rsidRPr="00DA3325">
        <w:t xml:space="preserve"> Kommunsektorns finanser</w:t>
      </w:r>
    </w:p>
    <w:p w:rsidRPr="00DA3325" w:rsidR="001E5D65" w:rsidP="00DA3325" w:rsidRDefault="001E5D65" w14:paraId="605FF65D" w14:textId="304CEAFF">
      <w:pPr>
        <w:pStyle w:val="Tabellunderrubrik"/>
      </w:pPr>
      <w:r w:rsidRPr="00DA3325">
        <w:t>Miljoner kronor </w:t>
      </w:r>
      <w:r w:rsidRPr="00DA3325" w:rsidR="008F1202">
        <w:t>–</w:t>
      </w:r>
      <w:r w:rsidRPr="00DA3325">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FC2616" w:rsidR="001E5D65" w:rsidTr="005C58D3" w14:paraId="07C6724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FC2616" w:rsidR="001E5D65" w:rsidP="001E5D65" w:rsidRDefault="001E5D65" w14:paraId="5C7B266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7B7DF8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2AC12B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4FA4F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1E5D65" w:rsidTr="001E5D65" w14:paraId="3EFFA659"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631B5F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Kommunernas inkomster</w:t>
            </w:r>
          </w:p>
        </w:tc>
        <w:tc>
          <w:tcPr>
            <w:tcW w:w="1134" w:type="dxa"/>
            <w:shd w:val="clear" w:color="auto" w:fill="FFFFFF"/>
            <w:tcMar>
              <w:top w:w="68" w:type="dxa"/>
              <w:left w:w="28" w:type="dxa"/>
              <w:bottom w:w="0" w:type="dxa"/>
              <w:right w:w="28" w:type="dxa"/>
            </w:tcMar>
            <w:hideMark/>
          </w:tcPr>
          <w:p w:rsidRPr="00FC2616" w:rsidR="001E5D65" w:rsidP="001E5D65" w:rsidRDefault="001E5D65" w14:paraId="2C2C3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34 201</w:t>
            </w:r>
          </w:p>
        </w:tc>
        <w:tc>
          <w:tcPr>
            <w:tcW w:w="1134" w:type="dxa"/>
            <w:shd w:val="clear" w:color="auto" w:fill="FFFFFF"/>
            <w:tcMar>
              <w:top w:w="68" w:type="dxa"/>
              <w:left w:w="28" w:type="dxa"/>
              <w:bottom w:w="0" w:type="dxa"/>
              <w:right w:w="28" w:type="dxa"/>
            </w:tcMar>
            <w:hideMark/>
          </w:tcPr>
          <w:p w:rsidRPr="00FC2616" w:rsidR="001E5D65" w:rsidP="001E5D65" w:rsidRDefault="001E5D65" w14:paraId="36EAD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51 611</w:t>
            </w:r>
          </w:p>
        </w:tc>
        <w:tc>
          <w:tcPr>
            <w:tcW w:w="1134" w:type="dxa"/>
            <w:shd w:val="clear" w:color="auto" w:fill="FFFFFF"/>
            <w:tcMar>
              <w:top w:w="68" w:type="dxa"/>
              <w:left w:w="28" w:type="dxa"/>
              <w:bottom w:w="0" w:type="dxa"/>
              <w:right w:w="28" w:type="dxa"/>
            </w:tcMar>
            <w:hideMark/>
          </w:tcPr>
          <w:p w:rsidRPr="00FC2616" w:rsidR="001E5D65" w:rsidP="001E5D65" w:rsidRDefault="001E5D65" w14:paraId="6A2596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78 846</w:t>
            </w:r>
          </w:p>
        </w:tc>
      </w:tr>
      <w:tr w:rsidRPr="00FC2616" w:rsidR="001E5D65" w:rsidTr="001E5D65" w14:paraId="57440153"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709D8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hideMark/>
          </w:tcPr>
          <w:p w:rsidRPr="00FC2616" w:rsidR="001E5D65" w:rsidP="001E5D65" w:rsidRDefault="001E5D65" w14:paraId="66823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12 600</w:t>
            </w:r>
          </w:p>
        </w:tc>
        <w:tc>
          <w:tcPr>
            <w:tcW w:w="1134" w:type="dxa"/>
            <w:shd w:val="clear" w:color="auto" w:fill="FFFFFF"/>
            <w:tcMar>
              <w:top w:w="68" w:type="dxa"/>
              <w:left w:w="28" w:type="dxa"/>
              <w:bottom w:w="0" w:type="dxa"/>
              <w:right w:w="28" w:type="dxa"/>
            </w:tcMar>
            <w:hideMark/>
          </w:tcPr>
          <w:p w:rsidRPr="00FC2616" w:rsidR="001E5D65" w:rsidP="001E5D65" w:rsidRDefault="001E5D65" w14:paraId="2D98F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21 010</w:t>
            </w:r>
          </w:p>
        </w:tc>
        <w:tc>
          <w:tcPr>
            <w:tcW w:w="1134" w:type="dxa"/>
            <w:shd w:val="clear" w:color="auto" w:fill="FFFFFF"/>
            <w:tcMar>
              <w:top w:w="68" w:type="dxa"/>
              <w:left w:w="28" w:type="dxa"/>
              <w:bottom w:w="0" w:type="dxa"/>
              <w:right w:w="28" w:type="dxa"/>
            </w:tcMar>
            <w:hideMark/>
          </w:tcPr>
          <w:p w:rsidRPr="00FC2616" w:rsidR="001E5D65" w:rsidP="001E5D65" w:rsidRDefault="001E5D65" w14:paraId="5F583D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25 210</w:t>
            </w:r>
          </w:p>
        </w:tc>
      </w:tr>
      <w:tr w:rsidRPr="00FC2616" w:rsidR="001E5D65" w:rsidTr="001E5D65" w14:paraId="3ACB9144"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66F3AC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hideMark/>
          </w:tcPr>
          <w:p w:rsidRPr="00FC2616" w:rsidR="001E5D65" w:rsidP="001E5D65" w:rsidRDefault="001E5D65" w14:paraId="2D264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1E5D65" w:rsidP="001E5D65" w:rsidRDefault="001E5D65" w14:paraId="30758E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1E5D65" w:rsidP="001E5D65" w:rsidRDefault="001E5D65" w14:paraId="28EA2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1E5D65" w:rsidTr="001E5D65" w14:paraId="09A04467"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2E90A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hideMark/>
          </w:tcPr>
          <w:p w:rsidRPr="00FC2616" w:rsidR="001E5D65" w:rsidP="001E5D65" w:rsidRDefault="001E5D65" w14:paraId="7E0402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18 241</w:t>
            </w:r>
          </w:p>
        </w:tc>
        <w:tc>
          <w:tcPr>
            <w:tcW w:w="1134" w:type="dxa"/>
            <w:shd w:val="clear" w:color="auto" w:fill="FFFFFF"/>
            <w:tcMar>
              <w:top w:w="68" w:type="dxa"/>
              <w:left w:w="28" w:type="dxa"/>
              <w:bottom w:w="0" w:type="dxa"/>
              <w:right w:w="28" w:type="dxa"/>
            </w:tcMar>
            <w:hideMark/>
          </w:tcPr>
          <w:p w:rsidRPr="00FC2616" w:rsidR="001E5D65" w:rsidP="001E5D65" w:rsidRDefault="001E5D65" w14:paraId="7ACE3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24 051</w:t>
            </w:r>
          </w:p>
        </w:tc>
        <w:tc>
          <w:tcPr>
            <w:tcW w:w="1134" w:type="dxa"/>
            <w:shd w:val="clear" w:color="auto" w:fill="FFFFFF"/>
            <w:tcMar>
              <w:top w:w="68" w:type="dxa"/>
              <w:left w:w="28" w:type="dxa"/>
              <w:bottom w:w="0" w:type="dxa"/>
              <w:right w:w="28" w:type="dxa"/>
            </w:tcMar>
            <w:hideMark/>
          </w:tcPr>
          <w:p w:rsidRPr="00FC2616" w:rsidR="001E5D65" w:rsidP="001E5D65" w:rsidRDefault="001E5D65" w14:paraId="543ED5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42 361</w:t>
            </w:r>
          </w:p>
        </w:tc>
      </w:tr>
      <w:tr w:rsidRPr="00FC2616" w:rsidR="001E5D65" w:rsidTr="001E5D65" w14:paraId="0CF4813D" w14:textId="77777777">
        <w:trPr>
          <w:trHeight w:val="170"/>
        </w:trPr>
        <w:tc>
          <w:tcPr>
            <w:tcW w:w="340" w:type="dxa"/>
            <w:shd w:val="clear" w:color="auto" w:fill="FFFFFF"/>
            <w:tcMar>
              <w:top w:w="68" w:type="dxa"/>
              <w:left w:w="28" w:type="dxa"/>
              <w:bottom w:w="0" w:type="dxa"/>
              <w:right w:w="28" w:type="dxa"/>
            </w:tcMar>
            <w:hideMark/>
          </w:tcPr>
          <w:p w:rsidRPr="00FC2616" w:rsidR="001E5D65" w:rsidP="001E5D65" w:rsidRDefault="001E5D65" w14:paraId="646CD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C2616" w:rsidR="001E5D65" w:rsidP="001E5D65" w:rsidRDefault="001E5D65" w14:paraId="3F48F7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hideMark/>
          </w:tcPr>
          <w:p w:rsidRPr="00FC2616" w:rsidR="001E5D65" w:rsidP="001E5D65" w:rsidRDefault="001E5D65" w14:paraId="6D52B5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−11 000</w:t>
            </w:r>
          </w:p>
        </w:tc>
        <w:tc>
          <w:tcPr>
            <w:tcW w:w="1134" w:type="dxa"/>
            <w:shd w:val="clear" w:color="auto" w:fill="FFFFFF"/>
            <w:tcMar>
              <w:top w:w="68" w:type="dxa"/>
              <w:left w:w="28" w:type="dxa"/>
              <w:bottom w:w="0" w:type="dxa"/>
              <w:right w:w="28" w:type="dxa"/>
            </w:tcMar>
            <w:hideMark/>
          </w:tcPr>
          <w:p w:rsidRPr="00FC2616" w:rsidR="001E5D65" w:rsidP="001E5D65" w:rsidRDefault="001E5D65" w14:paraId="191994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−11 700</w:t>
            </w:r>
          </w:p>
        </w:tc>
        <w:tc>
          <w:tcPr>
            <w:tcW w:w="1134" w:type="dxa"/>
            <w:shd w:val="clear" w:color="auto" w:fill="FFFFFF"/>
            <w:tcMar>
              <w:top w:w="68" w:type="dxa"/>
              <w:left w:w="28" w:type="dxa"/>
              <w:bottom w:w="0" w:type="dxa"/>
              <w:right w:w="28" w:type="dxa"/>
            </w:tcMar>
            <w:hideMark/>
          </w:tcPr>
          <w:p w:rsidRPr="00FC2616" w:rsidR="001E5D65" w:rsidP="001E5D65" w:rsidRDefault="001E5D65" w14:paraId="05619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−12 000</w:t>
            </w:r>
          </w:p>
        </w:tc>
      </w:tr>
      <w:tr w:rsidRPr="00FC2616" w:rsidR="001E5D65" w:rsidTr="001E5D65" w14:paraId="028D3D5B"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1B0EC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hideMark/>
          </w:tcPr>
          <w:p w:rsidRPr="00FC2616" w:rsidR="001E5D65" w:rsidP="001E5D65" w:rsidRDefault="001E5D65" w14:paraId="2153BE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3 360</w:t>
            </w:r>
          </w:p>
        </w:tc>
        <w:tc>
          <w:tcPr>
            <w:tcW w:w="1134" w:type="dxa"/>
            <w:shd w:val="clear" w:color="auto" w:fill="FFFFFF"/>
            <w:tcMar>
              <w:top w:w="68" w:type="dxa"/>
              <w:left w:w="28" w:type="dxa"/>
              <w:bottom w:w="0" w:type="dxa"/>
              <w:right w:w="28" w:type="dxa"/>
            </w:tcMar>
            <w:hideMark/>
          </w:tcPr>
          <w:p w:rsidRPr="00FC2616" w:rsidR="001E5D65" w:rsidP="001E5D65" w:rsidRDefault="001E5D65" w14:paraId="24D0B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6 550</w:t>
            </w:r>
          </w:p>
        </w:tc>
        <w:tc>
          <w:tcPr>
            <w:tcW w:w="1134" w:type="dxa"/>
            <w:shd w:val="clear" w:color="auto" w:fill="FFFFFF"/>
            <w:tcMar>
              <w:top w:w="68" w:type="dxa"/>
              <w:left w:w="28" w:type="dxa"/>
              <w:bottom w:w="0" w:type="dxa"/>
              <w:right w:w="28" w:type="dxa"/>
            </w:tcMar>
            <w:hideMark/>
          </w:tcPr>
          <w:p w:rsidRPr="00FC2616" w:rsidR="001E5D65" w:rsidP="001E5D65" w:rsidRDefault="001E5D65" w14:paraId="75CE33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11 275</w:t>
            </w:r>
          </w:p>
        </w:tc>
      </w:tr>
      <w:tr w:rsidRPr="00FC2616" w:rsidR="001E5D65" w:rsidTr="001E5D65" w14:paraId="4BD69A46"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7F778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lastRenderedPageBreak/>
              <w:t>Utgifter</w:t>
            </w:r>
          </w:p>
        </w:tc>
        <w:tc>
          <w:tcPr>
            <w:tcW w:w="1134" w:type="dxa"/>
            <w:shd w:val="clear" w:color="auto" w:fill="FFFFFF"/>
            <w:tcMar>
              <w:top w:w="68" w:type="dxa"/>
              <w:left w:w="28" w:type="dxa"/>
              <w:bottom w:w="0" w:type="dxa"/>
              <w:right w:w="28" w:type="dxa"/>
            </w:tcMar>
            <w:hideMark/>
          </w:tcPr>
          <w:p w:rsidRPr="00FC2616" w:rsidR="001E5D65" w:rsidP="001E5D65" w:rsidRDefault="001E5D65" w14:paraId="2841A6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36 221</w:t>
            </w:r>
          </w:p>
        </w:tc>
        <w:tc>
          <w:tcPr>
            <w:tcW w:w="1134" w:type="dxa"/>
            <w:shd w:val="clear" w:color="auto" w:fill="FFFFFF"/>
            <w:tcMar>
              <w:top w:w="68" w:type="dxa"/>
              <w:left w:w="28" w:type="dxa"/>
              <w:bottom w:w="0" w:type="dxa"/>
              <w:right w:w="28" w:type="dxa"/>
            </w:tcMar>
            <w:hideMark/>
          </w:tcPr>
          <w:p w:rsidRPr="00FC2616" w:rsidR="001E5D65" w:rsidP="001E5D65" w:rsidRDefault="001E5D65" w14:paraId="79AF9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53 431</w:t>
            </w:r>
          </w:p>
        </w:tc>
        <w:tc>
          <w:tcPr>
            <w:tcW w:w="1134" w:type="dxa"/>
            <w:shd w:val="clear" w:color="auto" w:fill="FFFFFF"/>
            <w:tcMar>
              <w:top w:w="68" w:type="dxa"/>
              <w:left w:w="28" w:type="dxa"/>
              <w:bottom w:w="0" w:type="dxa"/>
              <w:right w:w="28" w:type="dxa"/>
            </w:tcMar>
            <w:hideMark/>
          </w:tcPr>
          <w:p w:rsidRPr="00FC2616" w:rsidR="001E5D65" w:rsidP="001E5D65" w:rsidRDefault="001E5D65" w14:paraId="60021B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80 466</w:t>
            </w:r>
          </w:p>
        </w:tc>
      </w:tr>
      <w:tr w:rsidRPr="00FC2616" w:rsidR="001E5D65" w:rsidTr="001E5D65" w14:paraId="257593EB"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FC2616" w:rsidR="001E5D65" w:rsidP="001E5D65" w:rsidRDefault="001E5D65" w14:paraId="02E943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49CF5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−2 020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32642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−1 820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47E489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−1 620</w:t>
            </w:r>
          </w:p>
        </w:tc>
      </w:tr>
    </w:tbl>
    <w:p w:rsidRPr="00DA3325" w:rsidR="001E5D65" w:rsidP="00BE12BD" w:rsidRDefault="001E5D65" w14:paraId="722F6D0A" w14:textId="69DB7261">
      <w:pPr>
        <w:pStyle w:val="Tabellrubrik"/>
        <w:spacing w:before="300"/>
      </w:pPr>
      <w:r w:rsidRPr="00DA3325">
        <w:t xml:space="preserve">Tabell </w:t>
      </w:r>
      <w:r w:rsidRPr="00DA3325" w:rsidR="0008121C">
        <w:t>14</w:t>
      </w:r>
      <w:r w:rsidRPr="00DA3325">
        <w:t xml:space="preserve"> Statens budgetsaldo och statsskulden</w:t>
      </w:r>
    </w:p>
    <w:p w:rsidRPr="00BE12BD" w:rsidR="00FC14DC" w:rsidP="00BE12BD" w:rsidRDefault="00FC14DC" w14:paraId="207703A2" w14:textId="57801A0D">
      <w:pPr>
        <w:pStyle w:val="Tabellunderrubrik"/>
      </w:pPr>
      <w:r w:rsidRPr="00BE12BD">
        <w:t>Miljoner kronor </w:t>
      </w:r>
      <w:r w:rsidRPr="00BE12BD" w:rsidR="008F1202">
        <w:t>–</w:t>
      </w:r>
      <w:r w:rsidRPr="00BE12BD">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FC2616" w:rsidR="00FC14DC" w:rsidTr="00787D6C" w14:paraId="7A623FE8"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FC2616" w:rsidR="00FC14DC" w:rsidP="00FC14DC" w:rsidRDefault="00FC14DC" w14:paraId="6E588A9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5C9A8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461B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3792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FC14DC" w14:paraId="1F342B44"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FC14DC" w:rsidP="00FC14DC" w:rsidRDefault="00FC14DC" w14:paraId="263A9B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hideMark/>
          </w:tcPr>
          <w:p w:rsidRPr="00FC2616" w:rsidR="00FC14DC" w:rsidP="00FC14DC" w:rsidRDefault="00FC14DC" w14:paraId="316F0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63 125</w:t>
            </w:r>
          </w:p>
        </w:tc>
        <w:tc>
          <w:tcPr>
            <w:tcW w:w="1134" w:type="dxa"/>
            <w:shd w:val="clear" w:color="auto" w:fill="FFFFFF"/>
            <w:tcMar>
              <w:top w:w="68" w:type="dxa"/>
              <w:left w:w="28" w:type="dxa"/>
              <w:bottom w:w="0" w:type="dxa"/>
              <w:right w:w="28" w:type="dxa"/>
            </w:tcMar>
            <w:hideMark/>
          </w:tcPr>
          <w:p w:rsidRPr="00FC2616" w:rsidR="00FC14DC" w:rsidP="00FC14DC" w:rsidRDefault="00FC14DC" w14:paraId="0B50D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55 560</w:t>
            </w:r>
          </w:p>
        </w:tc>
        <w:tc>
          <w:tcPr>
            <w:tcW w:w="1134" w:type="dxa"/>
            <w:shd w:val="clear" w:color="auto" w:fill="FFFFFF"/>
            <w:tcMar>
              <w:top w:w="68" w:type="dxa"/>
              <w:left w:w="28" w:type="dxa"/>
              <w:bottom w:w="0" w:type="dxa"/>
              <w:right w:w="28" w:type="dxa"/>
            </w:tcMar>
            <w:hideMark/>
          </w:tcPr>
          <w:p w:rsidRPr="00FC2616" w:rsidR="00FC14DC" w:rsidP="00FC14DC" w:rsidRDefault="00FC14DC" w14:paraId="36F99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54 400</w:t>
            </w:r>
          </w:p>
        </w:tc>
      </w:tr>
      <w:tr w:rsidRPr="00FC2616" w:rsidR="00FC14DC" w:rsidTr="00FC14DC" w14:paraId="62AED29C"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F6C84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C2616" w:rsidR="00FC14DC" w:rsidP="00FC14DC" w:rsidRDefault="00FC14DC" w14:paraId="712ACA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hideMark/>
          </w:tcPr>
          <w:p w:rsidRPr="00FC2616" w:rsidR="00FC14DC" w:rsidP="00FC14DC" w:rsidRDefault="00FC14DC" w14:paraId="11B2C7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C14DC" w:rsidP="00FC14DC" w:rsidRDefault="00FC14DC" w14:paraId="12A7FF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C14DC" w:rsidP="00FC14DC" w:rsidRDefault="00FC14DC" w14:paraId="52069C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710C63BF"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FC14DC" w:rsidP="00FC14DC" w:rsidRDefault="00FC14DC" w14:paraId="67D28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hideMark/>
          </w:tcPr>
          <w:p w:rsidRPr="00FC2616" w:rsidR="00FC14DC" w:rsidP="00FC14DC" w:rsidRDefault="00FC14DC" w14:paraId="132C7C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88 423</w:t>
            </w:r>
          </w:p>
        </w:tc>
        <w:tc>
          <w:tcPr>
            <w:tcW w:w="1134" w:type="dxa"/>
            <w:shd w:val="clear" w:color="auto" w:fill="FFFFFF"/>
            <w:tcMar>
              <w:top w:w="68" w:type="dxa"/>
              <w:left w:w="28" w:type="dxa"/>
              <w:bottom w:w="0" w:type="dxa"/>
              <w:right w:w="28" w:type="dxa"/>
            </w:tcMar>
            <w:hideMark/>
          </w:tcPr>
          <w:p w:rsidRPr="00FC2616" w:rsidR="00FC14DC" w:rsidP="00FC14DC" w:rsidRDefault="00FC14DC" w14:paraId="2C9E4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146 123</w:t>
            </w:r>
          </w:p>
        </w:tc>
        <w:tc>
          <w:tcPr>
            <w:tcW w:w="1134" w:type="dxa"/>
            <w:shd w:val="clear" w:color="auto" w:fill="FFFFFF"/>
            <w:tcMar>
              <w:top w:w="68" w:type="dxa"/>
              <w:left w:w="28" w:type="dxa"/>
              <w:bottom w:w="0" w:type="dxa"/>
              <w:right w:w="28" w:type="dxa"/>
            </w:tcMar>
            <w:hideMark/>
          </w:tcPr>
          <w:p w:rsidRPr="00FC2616" w:rsidR="00FC14DC" w:rsidP="00FC14DC" w:rsidRDefault="00FC14DC" w14:paraId="4FB86B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190 299</w:t>
            </w:r>
          </w:p>
        </w:tc>
      </w:tr>
      <w:tr w:rsidRPr="00FC2616" w:rsidR="00FC14DC" w:rsidTr="00FC14DC" w14:paraId="71A0149E"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035B93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C2616" w:rsidR="00FC14DC" w:rsidP="00FC14DC" w:rsidRDefault="00FC14DC" w14:paraId="6B28B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hideMark/>
          </w:tcPr>
          <w:p w:rsidRPr="00FC2616" w:rsidR="00FC14DC" w:rsidP="00FC14DC" w:rsidRDefault="00FC14DC" w14:paraId="13F01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134" w:type="dxa"/>
            <w:shd w:val="clear" w:color="auto" w:fill="FFFFFF"/>
            <w:tcMar>
              <w:top w:w="68" w:type="dxa"/>
              <w:left w:w="28" w:type="dxa"/>
              <w:bottom w:w="0" w:type="dxa"/>
              <w:right w:w="28" w:type="dxa"/>
            </w:tcMar>
            <w:hideMark/>
          </w:tcPr>
          <w:p w:rsidRPr="00FC2616" w:rsidR="00FC14DC" w:rsidP="00FC14DC" w:rsidRDefault="00FC14DC" w14:paraId="7DA225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c>
          <w:tcPr>
            <w:tcW w:w="1134" w:type="dxa"/>
            <w:shd w:val="clear" w:color="auto" w:fill="FFFFFF"/>
            <w:tcMar>
              <w:top w:w="68" w:type="dxa"/>
              <w:left w:w="28" w:type="dxa"/>
              <w:bottom w:w="0" w:type="dxa"/>
              <w:right w:w="28" w:type="dxa"/>
            </w:tcMar>
            <w:hideMark/>
          </w:tcPr>
          <w:p w:rsidRPr="00FC2616" w:rsidR="00FC14DC" w:rsidP="00FC14DC" w:rsidRDefault="00FC14DC" w14:paraId="50769E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w:t>
            </w:r>
          </w:p>
        </w:tc>
      </w:tr>
      <w:tr w:rsidRPr="00FC2616" w:rsidR="00FC14DC" w:rsidTr="00FC14DC" w14:paraId="6847C7A2"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543E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C2616" w:rsidR="00FC14DC" w:rsidP="00FC14DC" w:rsidRDefault="00FC14DC" w14:paraId="393CA2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hideMark/>
          </w:tcPr>
          <w:p w:rsidRPr="00FC2616" w:rsidR="00FC14DC" w:rsidP="00FC14DC" w:rsidRDefault="00FC14DC" w14:paraId="662FA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C14DC" w:rsidP="00FC14DC" w:rsidRDefault="00FC14DC" w14:paraId="4CAA2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C14DC" w:rsidP="00FC14DC" w:rsidRDefault="00FC14DC" w14:paraId="37D45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70E28F3B" w14:textId="77777777">
        <w:trPr>
          <w:trHeight w:val="170"/>
        </w:trPr>
        <w:tc>
          <w:tcPr>
            <w:tcW w:w="340" w:type="dxa"/>
            <w:shd w:val="clear" w:color="auto" w:fill="FFFFFF"/>
            <w:tcMar>
              <w:top w:w="68" w:type="dxa"/>
              <w:left w:w="28" w:type="dxa"/>
              <w:bottom w:w="0" w:type="dxa"/>
              <w:right w:w="28" w:type="dxa"/>
            </w:tcMar>
            <w:hideMark/>
          </w:tcPr>
          <w:p w:rsidRPr="00FC2616" w:rsidR="00FC14DC" w:rsidP="00FC14DC" w:rsidRDefault="00FC14DC" w14:paraId="24C27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C2616" w:rsidR="00FC14DC" w:rsidP="00FC14DC" w:rsidRDefault="00FC14DC" w14:paraId="52D249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hideMark/>
          </w:tcPr>
          <w:p w:rsidRPr="00FC2616" w:rsidR="00FC14DC" w:rsidP="00FC14DC" w:rsidRDefault="00FC14DC" w14:paraId="686062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C14DC" w:rsidP="00FC14DC" w:rsidRDefault="00FC14DC" w14:paraId="54B2E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C14DC" w:rsidP="00FC14DC" w:rsidRDefault="00FC14DC" w14:paraId="6DB91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C14DC" w:rsidTr="00FC14DC" w14:paraId="444870A3"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FC14DC" w:rsidP="00FC14DC" w:rsidRDefault="00FC14DC" w14:paraId="3E9DA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shd w:val="clear" w:color="auto" w:fill="FFFFFF"/>
            <w:tcMar>
              <w:top w:w="68" w:type="dxa"/>
              <w:left w:w="28" w:type="dxa"/>
              <w:bottom w:w="0" w:type="dxa"/>
              <w:right w:w="28" w:type="dxa"/>
            </w:tcMar>
            <w:hideMark/>
          </w:tcPr>
          <w:p w:rsidRPr="00FC2616" w:rsidR="00FC14DC" w:rsidP="00FC14DC" w:rsidRDefault="00FC14DC" w14:paraId="41F01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−25 298</w:t>
            </w:r>
          </w:p>
        </w:tc>
        <w:tc>
          <w:tcPr>
            <w:tcW w:w="1134" w:type="dxa"/>
            <w:shd w:val="clear" w:color="auto" w:fill="FFFFFF"/>
            <w:tcMar>
              <w:top w:w="68" w:type="dxa"/>
              <w:left w:w="28" w:type="dxa"/>
              <w:bottom w:w="0" w:type="dxa"/>
              <w:right w:w="28" w:type="dxa"/>
            </w:tcMar>
            <w:hideMark/>
          </w:tcPr>
          <w:p w:rsidRPr="00FC2616" w:rsidR="00FC14DC" w:rsidP="00FC14DC" w:rsidRDefault="00FC14DC" w14:paraId="32609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−90 563</w:t>
            </w:r>
          </w:p>
        </w:tc>
        <w:tc>
          <w:tcPr>
            <w:tcW w:w="1134" w:type="dxa"/>
            <w:shd w:val="clear" w:color="auto" w:fill="FFFFFF"/>
            <w:tcMar>
              <w:top w:w="68" w:type="dxa"/>
              <w:left w:w="28" w:type="dxa"/>
              <w:bottom w:w="0" w:type="dxa"/>
              <w:right w:w="28" w:type="dxa"/>
            </w:tcMar>
            <w:hideMark/>
          </w:tcPr>
          <w:p w:rsidRPr="00FC2616" w:rsidR="00FC14DC" w:rsidP="00FC14DC" w:rsidRDefault="00FC14DC" w14:paraId="3E5B01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−135 899</w:t>
            </w:r>
          </w:p>
        </w:tc>
      </w:tr>
      <w:tr w:rsidRPr="00FC2616" w:rsidR="00FC14DC" w:rsidTr="00FC14DC" w14:paraId="34F1DCF3"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FC2616" w:rsidR="00FC14DC" w:rsidP="00FC14DC" w:rsidRDefault="00FC14DC" w14:paraId="2A1608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Statsskuld vid årets slut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A5FC6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25 298</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7614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115 861</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2B1A8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251 760</w:t>
            </w:r>
          </w:p>
        </w:tc>
      </w:tr>
    </w:tbl>
    <w:p w:rsidRPr="00BE12BD" w:rsidR="00E8184B" w:rsidP="00BE12BD" w:rsidRDefault="001E5D65" w14:paraId="6F04920D" w14:textId="29EB73C0">
      <w:pPr>
        <w:pStyle w:val="Tabellrubrik"/>
        <w:spacing w:before="300"/>
      </w:pPr>
      <w:r w:rsidRPr="00BE12BD">
        <w:t xml:space="preserve">Tabell </w:t>
      </w:r>
      <w:r w:rsidRPr="00BE12BD" w:rsidR="0008121C">
        <w:t>15</w:t>
      </w:r>
      <w:r w:rsidRPr="00BE12BD" w:rsidR="00E8184B">
        <w:t xml:space="preserve"> </w:t>
      </w:r>
      <w:r w:rsidRPr="00BE12BD">
        <w:t>Inkomster i statens budget</w:t>
      </w:r>
    </w:p>
    <w:p w:rsidRPr="00BE12BD" w:rsidR="001E5D65" w:rsidP="00BE12BD" w:rsidRDefault="001E5D65" w14:paraId="203E6955" w14:textId="4DEFF33A">
      <w:pPr>
        <w:pStyle w:val="Tabellunderrubrik"/>
      </w:pPr>
      <w:r w:rsidRPr="00BE12BD">
        <w:t>Miljoner kronor </w:t>
      </w:r>
      <w:r w:rsidRPr="00BE12BD" w:rsidR="008F1202">
        <w:t>–</w:t>
      </w:r>
      <w:r w:rsidRPr="00BE12BD">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FC2616" w:rsidR="001E5D65" w:rsidTr="001E5D65" w14:paraId="5B25BB5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FC2616" w:rsidR="001E5D65" w:rsidP="001E5D65" w:rsidRDefault="001E5D65" w14:paraId="155BA57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77E799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0B08EE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70BE99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1E5D65" w:rsidTr="001E5D65" w14:paraId="5987B30F"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51903F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hideMark/>
          </w:tcPr>
          <w:p w:rsidRPr="00FC2616" w:rsidR="001E5D65" w:rsidP="001E5D65" w:rsidRDefault="001E5D65" w14:paraId="25D8A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177 720</w:t>
            </w:r>
          </w:p>
        </w:tc>
        <w:tc>
          <w:tcPr>
            <w:tcW w:w="1134" w:type="dxa"/>
            <w:shd w:val="clear" w:color="auto" w:fill="FFFFFF"/>
            <w:tcMar>
              <w:top w:w="68" w:type="dxa"/>
              <w:left w:w="28" w:type="dxa"/>
              <w:bottom w:w="0" w:type="dxa"/>
              <w:right w:w="28" w:type="dxa"/>
            </w:tcMar>
            <w:hideMark/>
          </w:tcPr>
          <w:p w:rsidRPr="00FC2616" w:rsidR="001E5D65" w:rsidP="001E5D65" w:rsidRDefault="001E5D65" w14:paraId="04C191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192 610</w:t>
            </w:r>
          </w:p>
        </w:tc>
        <w:tc>
          <w:tcPr>
            <w:tcW w:w="1134" w:type="dxa"/>
            <w:shd w:val="clear" w:color="auto" w:fill="FFFFFF"/>
            <w:tcMar>
              <w:top w:w="68" w:type="dxa"/>
              <w:left w:w="28" w:type="dxa"/>
              <w:bottom w:w="0" w:type="dxa"/>
              <w:right w:w="28" w:type="dxa"/>
            </w:tcMar>
            <w:hideMark/>
          </w:tcPr>
          <w:p w:rsidRPr="00FC2616" w:rsidR="001E5D65" w:rsidP="001E5D65" w:rsidRDefault="001E5D65" w14:paraId="10E91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205 155</w:t>
            </w:r>
          </w:p>
        </w:tc>
      </w:tr>
      <w:tr w:rsidRPr="00FC2616" w:rsidR="001E5D65" w:rsidTr="001E5D65" w14:paraId="26EA10A3"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45ED3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hideMark/>
          </w:tcPr>
          <w:p w:rsidRPr="00FC2616" w:rsidR="001E5D65" w:rsidP="001E5D65" w:rsidRDefault="001E5D65" w14:paraId="37FC06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−136 850</w:t>
            </w:r>
          </w:p>
        </w:tc>
        <w:tc>
          <w:tcPr>
            <w:tcW w:w="1134" w:type="dxa"/>
            <w:shd w:val="clear" w:color="auto" w:fill="FFFFFF"/>
            <w:tcMar>
              <w:top w:w="68" w:type="dxa"/>
              <w:left w:w="28" w:type="dxa"/>
              <w:bottom w:w="0" w:type="dxa"/>
              <w:right w:w="28" w:type="dxa"/>
            </w:tcMar>
            <w:hideMark/>
          </w:tcPr>
          <w:p w:rsidRPr="00FC2616" w:rsidR="001E5D65" w:rsidP="001E5D65" w:rsidRDefault="001E5D65" w14:paraId="5A7FF9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−152 130</w:t>
            </w:r>
          </w:p>
        </w:tc>
        <w:tc>
          <w:tcPr>
            <w:tcW w:w="1134" w:type="dxa"/>
            <w:shd w:val="clear" w:color="auto" w:fill="FFFFFF"/>
            <w:tcMar>
              <w:top w:w="68" w:type="dxa"/>
              <w:left w:w="28" w:type="dxa"/>
              <w:bottom w:w="0" w:type="dxa"/>
              <w:right w:w="28" w:type="dxa"/>
            </w:tcMar>
            <w:hideMark/>
          </w:tcPr>
          <w:p w:rsidRPr="00FC2616" w:rsidR="001E5D65" w:rsidP="001E5D65" w:rsidRDefault="001E5D65" w14:paraId="7A9E53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−166 030</w:t>
            </w:r>
          </w:p>
        </w:tc>
      </w:tr>
      <w:tr w:rsidRPr="00FC2616" w:rsidR="001E5D65" w:rsidTr="001E5D65" w14:paraId="02CDCE44"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7C8CF9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hideMark/>
          </w:tcPr>
          <w:p w:rsidRPr="00FC2616" w:rsidR="001E5D65" w:rsidP="001E5D65" w:rsidRDefault="001E5D65" w14:paraId="47537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26 265</w:t>
            </w:r>
          </w:p>
        </w:tc>
        <w:tc>
          <w:tcPr>
            <w:tcW w:w="1134" w:type="dxa"/>
            <w:shd w:val="clear" w:color="auto" w:fill="FFFFFF"/>
            <w:tcMar>
              <w:top w:w="68" w:type="dxa"/>
              <w:left w:w="28" w:type="dxa"/>
              <w:bottom w:w="0" w:type="dxa"/>
              <w:right w:w="28" w:type="dxa"/>
            </w:tcMar>
            <w:hideMark/>
          </w:tcPr>
          <w:p w:rsidRPr="00FC2616" w:rsidR="001E5D65" w:rsidP="001E5D65" w:rsidRDefault="001E5D65" w14:paraId="6840D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26 540</w:t>
            </w:r>
          </w:p>
        </w:tc>
        <w:tc>
          <w:tcPr>
            <w:tcW w:w="1134" w:type="dxa"/>
            <w:shd w:val="clear" w:color="auto" w:fill="FFFFFF"/>
            <w:tcMar>
              <w:top w:w="68" w:type="dxa"/>
              <w:left w:w="28" w:type="dxa"/>
              <w:bottom w:w="0" w:type="dxa"/>
              <w:right w:w="28" w:type="dxa"/>
            </w:tcMar>
            <w:hideMark/>
          </w:tcPr>
          <w:p w:rsidRPr="00FC2616" w:rsidR="001E5D65" w:rsidP="001E5D65" w:rsidRDefault="001E5D65" w14:paraId="1AA68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30 730</w:t>
            </w:r>
          </w:p>
        </w:tc>
      </w:tr>
      <w:tr w:rsidRPr="00FC2616" w:rsidR="001E5D65" w:rsidTr="001E5D65" w14:paraId="16CC226F"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2C6EC2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Skatt på konsumtion och insatsvaror</w:t>
            </w:r>
          </w:p>
        </w:tc>
        <w:tc>
          <w:tcPr>
            <w:tcW w:w="1134" w:type="dxa"/>
            <w:shd w:val="clear" w:color="auto" w:fill="FFFFFF"/>
            <w:tcMar>
              <w:top w:w="68" w:type="dxa"/>
              <w:left w:w="28" w:type="dxa"/>
              <w:bottom w:w="0" w:type="dxa"/>
              <w:right w:w="28" w:type="dxa"/>
            </w:tcMar>
            <w:hideMark/>
          </w:tcPr>
          <w:p w:rsidRPr="00FC2616" w:rsidR="001E5D65" w:rsidP="001E5D65" w:rsidRDefault="001E5D65" w14:paraId="30171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7 990</w:t>
            </w:r>
          </w:p>
        </w:tc>
        <w:tc>
          <w:tcPr>
            <w:tcW w:w="1134" w:type="dxa"/>
            <w:shd w:val="clear" w:color="auto" w:fill="FFFFFF"/>
            <w:tcMar>
              <w:top w:w="68" w:type="dxa"/>
              <w:left w:w="28" w:type="dxa"/>
              <w:bottom w:w="0" w:type="dxa"/>
              <w:right w:w="28" w:type="dxa"/>
            </w:tcMar>
            <w:hideMark/>
          </w:tcPr>
          <w:p w:rsidRPr="00FC2616" w:rsidR="001E5D65" w:rsidP="001E5D65" w:rsidRDefault="001E5D65" w14:paraId="016C3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8 800</w:t>
            </w:r>
          </w:p>
        </w:tc>
        <w:tc>
          <w:tcPr>
            <w:tcW w:w="1134" w:type="dxa"/>
            <w:shd w:val="clear" w:color="auto" w:fill="FFFFFF"/>
            <w:tcMar>
              <w:top w:w="68" w:type="dxa"/>
              <w:left w:w="28" w:type="dxa"/>
              <w:bottom w:w="0" w:type="dxa"/>
              <w:right w:w="28" w:type="dxa"/>
            </w:tcMar>
            <w:hideMark/>
          </w:tcPr>
          <w:p w:rsidRPr="00FC2616" w:rsidR="001E5D65" w:rsidP="001E5D65" w:rsidRDefault="001E5D65" w14:paraId="2F742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8 880</w:t>
            </w:r>
          </w:p>
        </w:tc>
      </w:tr>
      <w:tr w:rsidRPr="00FC2616" w:rsidR="001E5D65" w:rsidTr="001E5D65" w14:paraId="31977DA7"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3051C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hideMark/>
          </w:tcPr>
          <w:p w:rsidRPr="00FC2616" w:rsidR="001E5D65" w:rsidP="001E5D65" w:rsidRDefault="001E5D65" w14:paraId="4BECE9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75 125</w:t>
            </w:r>
          </w:p>
        </w:tc>
        <w:tc>
          <w:tcPr>
            <w:tcW w:w="1134" w:type="dxa"/>
            <w:shd w:val="clear" w:color="auto" w:fill="FFFFFF"/>
            <w:tcMar>
              <w:top w:w="68" w:type="dxa"/>
              <w:left w:w="28" w:type="dxa"/>
              <w:bottom w:w="0" w:type="dxa"/>
              <w:right w:w="28" w:type="dxa"/>
            </w:tcMar>
            <w:hideMark/>
          </w:tcPr>
          <w:p w:rsidRPr="00FC2616" w:rsidR="001E5D65" w:rsidP="001E5D65" w:rsidRDefault="001E5D65" w14:paraId="5AC24C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75 870</w:t>
            </w:r>
          </w:p>
        </w:tc>
        <w:tc>
          <w:tcPr>
            <w:tcW w:w="1134" w:type="dxa"/>
            <w:shd w:val="clear" w:color="auto" w:fill="FFFFFF"/>
            <w:tcMar>
              <w:top w:w="68" w:type="dxa"/>
              <w:left w:w="28" w:type="dxa"/>
              <w:bottom w:w="0" w:type="dxa"/>
              <w:right w:w="28" w:type="dxa"/>
            </w:tcMar>
            <w:hideMark/>
          </w:tcPr>
          <w:p w:rsidRPr="00FC2616" w:rsidR="001E5D65" w:rsidP="001E5D65" w:rsidRDefault="001E5D65" w14:paraId="6B0172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78 810</w:t>
            </w:r>
          </w:p>
        </w:tc>
      </w:tr>
      <w:tr w:rsidRPr="00FC2616" w:rsidR="001E5D65" w:rsidTr="001E5D65" w14:paraId="5E95CB4D" w14:textId="77777777">
        <w:trPr>
          <w:trHeight w:val="170"/>
        </w:trPr>
        <w:tc>
          <w:tcPr>
            <w:tcW w:w="340" w:type="dxa"/>
            <w:shd w:val="clear" w:color="auto" w:fill="FFFFFF"/>
            <w:tcMar>
              <w:top w:w="68" w:type="dxa"/>
              <w:left w:w="28" w:type="dxa"/>
              <w:bottom w:w="0" w:type="dxa"/>
              <w:right w:w="28" w:type="dxa"/>
            </w:tcMar>
            <w:hideMark/>
          </w:tcPr>
          <w:p w:rsidRPr="00FC2616" w:rsidR="001E5D65" w:rsidP="001E5D65" w:rsidRDefault="001E5D65" w14:paraId="1BBC50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C2616" w:rsidR="001E5D65" w:rsidP="001E5D65" w:rsidRDefault="001E5D65" w14:paraId="226B0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hideMark/>
          </w:tcPr>
          <w:p w:rsidRPr="00FC2616" w:rsidR="001E5D65" w:rsidP="001E5D65" w:rsidRDefault="001E5D65" w14:paraId="7EC81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−12 600</w:t>
            </w:r>
          </w:p>
        </w:tc>
        <w:tc>
          <w:tcPr>
            <w:tcW w:w="1134" w:type="dxa"/>
            <w:shd w:val="clear" w:color="auto" w:fill="FFFFFF"/>
            <w:tcMar>
              <w:top w:w="68" w:type="dxa"/>
              <w:left w:w="28" w:type="dxa"/>
              <w:bottom w:w="0" w:type="dxa"/>
              <w:right w:w="28" w:type="dxa"/>
            </w:tcMar>
            <w:hideMark/>
          </w:tcPr>
          <w:p w:rsidRPr="00FC2616" w:rsidR="001E5D65" w:rsidP="001E5D65" w:rsidRDefault="001E5D65" w14:paraId="5E73AE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−21 010</w:t>
            </w:r>
          </w:p>
        </w:tc>
        <w:tc>
          <w:tcPr>
            <w:tcW w:w="1134" w:type="dxa"/>
            <w:shd w:val="clear" w:color="auto" w:fill="FFFFFF"/>
            <w:tcMar>
              <w:top w:w="68" w:type="dxa"/>
              <w:left w:w="28" w:type="dxa"/>
              <w:bottom w:w="0" w:type="dxa"/>
              <w:right w:w="28" w:type="dxa"/>
            </w:tcMar>
            <w:hideMark/>
          </w:tcPr>
          <w:p w:rsidRPr="00FC2616" w:rsidR="001E5D65" w:rsidP="001E5D65" w:rsidRDefault="001E5D65" w14:paraId="16EEB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−25 210</w:t>
            </w:r>
          </w:p>
        </w:tc>
      </w:tr>
      <w:tr w:rsidRPr="00FC2616" w:rsidR="001E5D65" w:rsidTr="001E5D65" w14:paraId="64D8060B"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33A53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hideMark/>
          </w:tcPr>
          <w:p w:rsidRPr="00FC2616" w:rsidR="001E5D65" w:rsidP="001E5D65" w:rsidRDefault="001E5D65" w14:paraId="646B72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62 525</w:t>
            </w:r>
          </w:p>
        </w:tc>
        <w:tc>
          <w:tcPr>
            <w:tcW w:w="1134" w:type="dxa"/>
            <w:shd w:val="clear" w:color="auto" w:fill="FFFFFF"/>
            <w:tcMar>
              <w:top w:w="68" w:type="dxa"/>
              <w:left w:w="28" w:type="dxa"/>
              <w:bottom w:w="0" w:type="dxa"/>
              <w:right w:w="28" w:type="dxa"/>
            </w:tcMar>
            <w:hideMark/>
          </w:tcPr>
          <w:p w:rsidRPr="00FC2616" w:rsidR="001E5D65" w:rsidP="001E5D65" w:rsidRDefault="001E5D65" w14:paraId="090AB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54 860</w:t>
            </w:r>
          </w:p>
        </w:tc>
        <w:tc>
          <w:tcPr>
            <w:tcW w:w="1134" w:type="dxa"/>
            <w:shd w:val="clear" w:color="auto" w:fill="FFFFFF"/>
            <w:tcMar>
              <w:top w:w="68" w:type="dxa"/>
              <w:left w:w="28" w:type="dxa"/>
              <w:bottom w:w="0" w:type="dxa"/>
              <w:right w:w="28" w:type="dxa"/>
            </w:tcMar>
            <w:hideMark/>
          </w:tcPr>
          <w:p w:rsidRPr="00FC2616" w:rsidR="001E5D65" w:rsidP="001E5D65" w:rsidRDefault="001E5D65" w14:paraId="7C4B0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53 600</w:t>
            </w:r>
          </w:p>
        </w:tc>
      </w:tr>
      <w:tr w:rsidRPr="00FC2616" w:rsidR="001E5D65" w:rsidTr="001E5D65" w14:paraId="738B1B92"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4E6CAE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hideMark/>
          </w:tcPr>
          <w:p w:rsidRPr="00FC2616" w:rsidR="001E5D65" w:rsidP="001E5D65" w:rsidRDefault="001E5D65" w14:paraId="3A7DFA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1E5D65" w:rsidP="001E5D65" w:rsidRDefault="001E5D65" w14:paraId="0E03D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1E5D65" w:rsidP="001E5D65" w:rsidRDefault="001E5D65" w14:paraId="43AA3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1E5D65" w:rsidTr="001E5D65" w14:paraId="751D74D2"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3AADB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hideMark/>
          </w:tcPr>
          <w:p w:rsidRPr="00FC2616" w:rsidR="001E5D65" w:rsidP="001E5D65" w:rsidRDefault="001E5D65" w14:paraId="34FE6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62 525</w:t>
            </w:r>
          </w:p>
        </w:tc>
        <w:tc>
          <w:tcPr>
            <w:tcW w:w="1134" w:type="dxa"/>
            <w:shd w:val="clear" w:color="auto" w:fill="FFFFFF"/>
            <w:tcMar>
              <w:top w:w="68" w:type="dxa"/>
              <w:left w:w="28" w:type="dxa"/>
              <w:bottom w:w="0" w:type="dxa"/>
              <w:right w:w="28" w:type="dxa"/>
            </w:tcMar>
            <w:hideMark/>
          </w:tcPr>
          <w:p w:rsidRPr="00FC2616" w:rsidR="001E5D65" w:rsidP="001E5D65" w:rsidRDefault="001E5D65" w14:paraId="1E5AEE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54 860</w:t>
            </w:r>
          </w:p>
        </w:tc>
        <w:tc>
          <w:tcPr>
            <w:tcW w:w="1134" w:type="dxa"/>
            <w:shd w:val="clear" w:color="auto" w:fill="FFFFFF"/>
            <w:tcMar>
              <w:top w:w="68" w:type="dxa"/>
              <w:left w:w="28" w:type="dxa"/>
              <w:bottom w:w="0" w:type="dxa"/>
              <w:right w:w="28" w:type="dxa"/>
            </w:tcMar>
            <w:hideMark/>
          </w:tcPr>
          <w:p w:rsidRPr="00FC2616" w:rsidR="001E5D65" w:rsidP="001E5D65" w:rsidRDefault="001E5D65" w14:paraId="218B39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53 600</w:t>
            </w:r>
          </w:p>
        </w:tc>
      </w:tr>
      <w:tr w:rsidRPr="00FC2616" w:rsidR="001E5D65" w:rsidTr="001E5D65" w14:paraId="13683C28" w14:textId="77777777">
        <w:trPr>
          <w:trHeight w:val="170"/>
        </w:trPr>
        <w:tc>
          <w:tcPr>
            <w:tcW w:w="4253" w:type="dxa"/>
            <w:gridSpan w:val="2"/>
            <w:shd w:val="clear" w:color="auto" w:fill="FFFFFF"/>
            <w:tcMar>
              <w:top w:w="68" w:type="dxa"/>
              <w:left w:w="75" w:type="dxa"/>
              <w:bottom w:w="0" w:type="dxa"/>
              <w:right w:w="28" w:type="dxa"/>
            </w:tcMar>
            <w:vAlign w:val="center"/>
            <w:hideMark/>
          </w:tcPr>
          <w:p w:rsidRPr="00FC2616" w:rsidR="001E5D65" w:rsidP="001E5D65" w:rsidRDefault="001E5D65" w14:paraId="06179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hideMark/>
          </w:tcPr>
          <w:p w:rsidRPr="00FC2616" w:rsidR="001E5D65" w:rsidP="001E5D65" w:rsidRDefault="001E5D65" w14:paraId="522367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600</w:t>
            </w:r>
          </w:p>
        </w:tc>
        <w:tc>
          <w:tcPr>
            <w:tcW w:w="1134" w:type="dxa"/>
            <w:shd w:val="clear" w:color="auto" w:fill="FFFFFF"/>
            <w:tcMar>
              <w:top w:w="68" w:type="dxa"/>
              <w:left w:w="28" w:type="dxa"/>
              <w:bottom w:w="0" w:type="dxa"/>
              <w:right w:w="28" w:type="dxa"/>
            </w:tcMar>
            <w:hideMark/>
          </w:tcPr>
          <w:p w:rsidRPr="00FC2616" w:rsidR="001E5D65" w:rsidP="001E5D65" w:rsidRDefault="001E5D65" w14:paraId="3351D8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700</w:t>
            </w:r>
          </w:p>
        </w:tc>
        <w:tc>
          <w:tcPr>
            <w:tcW w:w="1134" w:type="dxa"/>
            <w:shd w:val="clear" w:color="auto" w:fill="FFFFFF"/>
            <w:tcMar>
              <w:top w:w="68" w:type="dxa"/>
              <w:left w:w="28" w:type="dxa"/>
              <w:bottom w:w="0" w:type="dxa"/>
              <w:right w:w="28" w:type="dxa"/>
            </w:tcMar>
            <w:hideMark/>
          </w:tcPr>
          <w:p w:rsidRPr="00FC2616" w:rsidR="001E5D65" w:rsidP="001E5D65" w:rsidRDefault="001E5D65" w14:paraId="65F21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800</w:t>
            </w:r>
          </w:p>
        </w:tc>
      </w:tr>
      <w:tr w:rsidRPr="00FC2616" w:rsidR="001E5D65" w:rsidTr="001E5D65" w14:paraId="73E45591"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FC2616" w:rsidR="001E5D65" w:rsidP="001E5D65" w:rsidRDefault="001E5D65" w14:paraId="20D87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2BF3E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63 125</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47546A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55 560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1E5D65" w:rsidP="001E5D65" w:rsidRDefault="001E5D65" w14:paraId="0C92B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54 400</w:t>
            </w:r>
          </w:p>
        </w:tc>
      </w:tr>
    </w:tbl>
    <w:p w:rsidRPr="00BE12BD" w:rsidR="00F35463" w:rsidP="00BE12BD" w:rsidRDefault="00F35463" w14:paraId="61553DD9" w14:textId="3555EE26">
      <w:pPr>
        <w:pStyle w:val="Tabellrubrik"/>
        <w:spacing w:before="300"/>
      </w:pPr>
      <w:r w:rsidRPr="00BE12BD">
        <w:t xml:space="preserve">Tabell </w:t>
      </w:r>
      <w:r w:rsidRPr="00BE12BD" w:rsidR="0008121C">
        <w:t>16</w:t>
      </w:r>
      <w:r w:rsidRPr="00BE12BD">
        <w:t xml:space="preserve"> Utgiftstak för staten</w:t>
      </w:r>
    </w:p>
    <w:p w:rsidRPr="00BE12BD" w:rsidR="00FC14DC" w:rsidP="00BE12BD" w:rsidRDefault="00FC14DC" w14:paraId="1E329F33" w14:textId="4951690F">
      <w:pPr>
        <w:pStyle w:val="Tabellunderrubrik"/>
      </w:pPr>
      <w:r w:rsidRPr="00BE12BD">
        <w:t>Miljoner kronor </w:t>
      </w:r>
      <w:r w:rsidRPr="00BE12BD" w:rsidR="008F1202">
        <w:t>–</w:t>
      </w:r>
      <w:r w:rsidRPr="00BE12BD">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900"/>
        <w:gridCol w:w="1189"/>
        <w:gridCol w:w="1218"/>
        <w:gridCol w:w="1198"/>
      </w:tblGrid>
      <w:tr w:rsidRPr="00FC2616" w:rsidR="00FC14DC" w:rsidTr="0047226E" w14:paraId="6CB5DC74" w14:textId="77777777">
        <w:trPr>
          <w:trHeight w:val="170"/>
        </w:trPr>
        <w:tc>
          <w:tcPr>
            <w:tcW w:w="4900"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FC2616" w:rsidR="00FC14DC" w:rsidP="00FC14DC" w:rsidRDefault="00FC14DC" w14:paraId="47AC19F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8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306DA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2023</w:t>
            </w:r>
          </w:p>
        </w:tc>
        <w:tc>
          <w:tcPr>
            <w:tcW w:w="12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79700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19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C14DC" w:rsidP="00FC14DC" w:rsidRDefault="00FC14DC" w14:paraId="59F024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C14DC" w:rsidTr="0047226E" w14:paraId="02C7D225" w14:textId="77777777">
        <w:trPr>
          <w:trHeight w:val="170"/>
        </w:trPr>
        <w:tc>
          <w:tcPr>
            <w:tcW w:w="4900" w:type="dxa"/>
            <w:shd w:val="clear" w:color="auto" w:fill="FFFFFF"/>
            <w:tcMar>
              <w:top w:w="68" w:type="dxa"/>
              <w:left w:w="75" w:type="dxa"/>
              <w:bottom w:w="0" w:type="dxa"/>
              <w:right w:w="28" w:type="dxa"/>
            </w:tcMar>
            <w:vAlign w:val="center"/>
            <w:hideMark/>
          </w:tcPr>
          <w:p w:rsidRPr="00FC2616" w:rsidR="00FC14DC" w:rsidP="00FC14DC" w:rsidRDefault="00FC14DC" w14:paraId="17D73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Takbegränsade utgifter</w:t>
            </w:r>
          </w:p>
        </w:tc>
        <w:tc>
          <w:tcPr>
            <w:tcW w:w="1189" w:type="dxa"/>
            <w:shd w:val="clear" w:color="auto" w:fill="FFFFFF"/>
            <w:tcMar>
              <w:top w:w="68" w:type="dxa"/>
              <w:left w:w="28" w:type="dxa"/>
              <w:bottom w:w="0" w:type="dxa"/>
              <w:right w:w="28" w:type="dxa"/>
            </w:tcMar>
            <w:hideMark/>
          </w:tcPr>
          <w:p w:rsidRPr="00FC2616" w:rsidR="00FC14DC" w:rsidP="00FC14DC" w:rsidRDefault="00FC14DC" w14:paraId="37199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88 413</w:t>
            </w:r>
          </w:p>
        </w:tc>
        <w:tc>
          <w:tcPr>
            <w:tcW w:w="1218" w:type="dxa"/>
            <w:shd w:val="clear" w:color="auto" w:fill="FFFFFF"/>
            <w:tcMar>
              <w:top w:w="68" w:type="dxa"/>
              <w:left w:w="28" w:type="dxa"/>
              <w:bottom w:w="0" w:type="dxa"/>
              <w:right w:w="28" w:type="dxa"/>
            </w:tcMar>
            <w:hideMark/>
          </w:tcPr>
          <w:p w:rsidRPr="00FC2616" w:rsidR="00FC14DC" w:rsidP="00FC14DC" w:rsidRDefault="00FC14DC" w14:paraId="6BE8C8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164 538</w:t>
            </w:r>
          </w:p>
        </w:tc>
        <w:tc>
          <w:tcPr>
            <w:tcW w:w="1198" w:type="dxa"/>
            <w:shd w:val="clear" w:color="auto" w:fill="FFFFFF"/>
            <w:tcMar>
              <w:top w:w="68" w:type="dxa"/>
              <w:left w:w="28" w:type="dxa"/>
              <w:bottom w:w="0" w:type="dxa"/>
              <w:right w:w="28" w:type="dxa"/>
            </w:tcMar>
            <w:hideMark/>
          </w:tcPr>
          <w:p w:rsidRPr="00FC2616" w:rsidR="00FC14DC" w:rsidP="00FC14DC" w:rsidRDefault="00FC14DC" w14:paraId="5C715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229 764</w:t>
            </w:r>
          </w:p>
        </w:tc>
      </w:tr>
      <w:tr w:rsidRPr="00FC2616" w:rsidR="00FC14DC" w:rsidTr="0047226E" w14:paraId="3752FE34" w14:textId="77777777">
        <w:trPr>
          <w:trHeight w:val="170"/>
        </w:trPr>
        <w:tc>
          <w:tcPr>
            <w:tcW w:w="4900" w:type="dxa"/>
            <w:shd w:val="clear" w:color="auto" w:fill="FFFFFF"/>
            <w:tcMar>
              <w:top w:w="68" w:type="dxa"/>
              <w:left w:w="75" w:type="dxa"/>
              <w:bottom w:w="0" w:type="dxa"/>
              <w:right w:w="28" w:type="dxa"/>
            </w:tcMar>
            <w:vAlign w:val="center"/>
            <w:hideMark/>
          </w:tcPr>
          <w:p w:rsidRPr="00FC2616" w:rsidR="00FC14DC" w:rsidP="00FC14DC" w:rsidRDefault="00FC14DC" w14:paraId="46D59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Budgeteringsmarginal</w:t>
            </w:r>
          </w:p>
        </w:tc>
        <w:tc>
          <w:tcPr>
            <w:tcW w:w="1189" w:type="dxa"/>
            <w:shd w:val="clear" w:color="auto" w:fill="FFFFFF"/>
            <w:tcMar>
              <w:top w:w="68" w:type="dxa"/>
              <w:left w:w="28" w:type="dxa"/>
              <w:bottom w:w="0" w:type="dxa"/>
              <w:right w:w="28" w:type="dxa"/>
            </w:tcMar>
            <w:hideMark/>
          </w:tcPr>
          <w:p w:rsidRPr="00FC2616" w:rsidR="00FC14DC" w:rsidP="00FC14DC" w:rsidRDefault="00FC14DC" w14:paraId="0B1D3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587</w:t>
            </w:r>
          </w:p>
        </w:tc>
        <w:tc>
          <w:tcPr>
            <w:tcW w:w="1218" w:type="dxa"/>
            <w:shd w:val="clear" w:color="auto" w:fill="FFFFFF"/>
            <w:tcMar>
              <w:top w:w="68" w:type="dxa"/>
              <w:left w:w="28" w:type="dxa"/>
              <w:bottom w:w="0" w:type="dxa"/>
              <w:right w:w="28" w:type="dxa"/>
            </w:tcMar>
            <w:hideMark/>
          </w:tcPr>
          <w:p w:rsidRPr="00FC2616" w:rsidR="00FC14DC" w:rsidP="00FC14DC" w:rsidRDefault="00FC14DC" w14:paraId="7AFD7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462</w:t>
            </w:r>
          </w:p>
        </w:tc>
        <w:tc>
          <w:tcPr>
            <w:tcW w:w="1198" w:type="dxa"/>
            <w:shd w:val="clear" w:color="auto" w:fill="FFFFFF"/>
            <w:tcMar>
              <w:top w:w="68" w:type="dxa"/>
              <w:left w:w="28" w:type="dxa"/>
              <w:bottom w:w="0" w:type="dxa"/>
              <w:right w:w="28" w:type="dxa"/>
            </w:tcMar>
            <w:hideMark/>
          </w:tcPr>
          <w:p w:rsidRPr="00FC2616" w:rsidR="00FC14DC" w:rsidP="00FC14DC" w:rsidRDefault="00FC14DC" w14:paraId="68FC6F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1 236</w:t>
            </w:r>
          </w:p>
        </w:tc>
      </w:tr>
      <w:tr w:rsidRPr="00FC2616" w:rsidR="00FC14DC" w:rsidTr="002C29A8" w14:paraId="7F883E91" w14:textId="77777777">
        <w:trPr>
          <w:trHeight w:val="170"/>
        </w:trPr>
        <w:tc>
          <w:tcPr>
            <w:tcW w:w="4900" w:type="dxa"/>
            <w:tcBorders>
              <w:top w:val="nil"/>
              <w:left w:val="nil"/>
              <w:bottom w:val="nil"/>
              <w:right w:val="nil"/>
            </w:tcBorders>
            <w:shd w:val="clear" w:color="auto" w:fill="FFFFFF"/>
            <w:tcMar>
              <w:top w:w="68" w:type="dxa"/>
              <w:left w:w="75" w:type="dxa"/>
              <w:bottom w:w="20" w:type="dxa"/>
              <w:right w:w="85" w:type="dxa"/>
            </w:tcMar>
            <w:vAlign w:val="center"/>
            <w:hideMark/>
          </w:tcPr>
          <w:p w:rsidRPr="00FC2616" w:rsidR="00FC14DC" w:rsidP="00FC14DC" w:rsidRDefault="00FC14DC" w14:paraId="05EEE9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Utgiftstak för staten</w:t>
            </w:r>
          </w:p>
        </w:tc>
        <w:tc>
          <w:tcPr>
            <w:tcW w:w="1189" w:type="dxa"/>
            <w:tcBorders>
              <w:top w:val="nil"/>
              <w:left w:val="nil"/>
              <w:bottom w:val="nil"/>
              <w:right w:val="nil"/>
            </w:tcBorders>
            <w:shd w:val="clear" w:color="auto" w:fill="FFFFFF"/>
            <w:tcMar>
              <w:top w:w="68" w:type="dxa"/>
              <w:left w:w="28" w:type="dxa"/>
              <w:bottom w:w="20" w:type="dxa"/>
              <w:right w:w="28" w:type="dxa"/>
            </w:tcMar>
            <w:hideMark/>
          </w:tcPr>
          <w:p w:rsidRPr="00FC2616" w:rsidR="00FC14DC" w:rsidP="00FC14DC" w:rsidRDefault="00FC14DC" w14:paraId="398A7B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89 000</w:t>
            </w:r>
          </w:p>
        </w:tc>
        <w:tc>
          <w:tcPr>
            <w:tcW w:w="1218" w:type="dxa"/>
            <w:tcBorders>
              <w:top w:val="nil"/>
              <w:left w:val="nil"/>
              <w:bottom w:val="nil"/>
              <w:right w:val="nil"/>
            </w:tcBorders>
            <w:shd w:val="clear" w:color="auto" w:fill="FFFFFF"/>
            <w:tcMar>
              <w:top w:w="68" w:type="dxa"/>
              <w:left w:w="28" w:type="dxa"/>
              <w:bottom w:w="20" w:type="dxa"/>
              <w:right w:w="28" w:type="dxa"/>
            </w:tcMar>
            <w:hideMark/>
          </w:tcPr>
          <w:p w:rsidRPr="00FC2616" w:rsidR="00FC14DC" w:rsidP="00FC14DC" w:rsidRDefault="00FC14DC" w14:paraId="10A88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165 000</w:t>
            </w:r>
          </w:p>
        </w:tc>
        <w:tc>
          <w:tcPr>
            <w:tcW w:w="1198" w:type="dxa"/>
            <w:tcBorders>
              <w:top w:val="nil"/>
              <w:left w:val="nil"/>
              <w:bottom w:val="nil"/>
              <w:right w:val="nil"/>
            </w:tcBorders>
            <w:shd w:val="clear" w:color="auto" w:fill="FFFFFF"/>
            <w:tcMar>
              <w:top w:w="68" w:type="dxa"/>
              <w:left w:w="28" w:type="dxa"/>
              <w:bottom w:w="20" w:type="dxa"/>
              <w:right w:w="28" w:type="dxa"/>
            </w:tcMar>
            <w:hideMark/>
          </w:tcPr>
          <w:p w:rsidRPr="00FC2616" w:rsidR="00FC14DC" w:rsidP="00FC14DC" w:rsidRDefault="00FC14DC" w14:paraId="2C7AD6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231 000</w:t>
            </w:r>
          </w:p>
        </w:tc>
      </w:tr>
    </w:tbl>
    <w:p w:rsidR="002C29A8" w:rsidP="002C29A8" w:rsidRDefault="002C29A8" w14:paraId="7FF7ED25" w14:textId="2C70C7F6">
      <w:pPr>
        <w:pStyle w:val="Normalutanindragellerluft"/>
        <w:rPr>
          <w:rFonts w:eastAsia="Times New Roman"/>
          <w:lang w:eastAsia="sv-SE"/>
        </w:rPr>
      </w:pPr>
    </w:p>
    <w:p w:rsidR="002C29A8" w:rsidRDefault="002C29A8" w14:paraId="7DB3E282" w14:textId="470408D0">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lang w:eastAsia="sv-SE"/>
        </w:rPr>
      </w:pPr>
      <w:r>
        <w:rPr>
          <w:rFonts w:eastAsia="Times New Roman"/>
          <w:lang w:eastAsia="sv-SE"/>
        </w:rPr>
        <w:br w:type="page"/>
      </w:r>
    </w:p>
    <w:p w:rsidRPr="00FC2616" w:rsidR="00DC3C92" w:rsidP="00470EC7" w:rsidRDefault="00C95E5C" w14:paraId="49D6AD8C" w14:textId="77777777">
      <w:pPr>
        <w:pStyle w:val="Rubrik1numrerat"/>
      </w:pPr>
      <w:bookmarkStart w:name="_Toc149814608" w:id="236"/>
      <w:r w:rsidRPr="00FC2616">
        <w:lastRenderedPageBreak/>
        <w:t>Beräkning av statsbudgetens inkomster</w:t>
      </w:r>
      <w:bookmarkEnd w:id="236"/>
    </w:p>
    <w:p w:rsidRPr="00BE12BD" w:rsidR="00F35463" w:rsidP="00BE12BD" w:rsidRDefault="00F35463" w14:paraId="3737564A" w14:textId="4336340D">
      <w:pPr>
        <w:pStyle w:val="Tabellrubrik"/>
        <w:spacing w:before="300"/>
      </w:pPr>
      <w:r w:rsidRPr="00BE12BD">
        <w:t xml:space="preserve">Tabell </w:t>
      </w:r>
      <w:r w:rsidRPr="00BE12BD" w:rsidR="0008121C">
        <w:t>17</w:t>
      </w:r>
      <w:r w:rsidRPr="00BE12BD">
        <w:t xml:space="preserve"> Beräkning av statsbudgetens inkomster 2023</w:t>
      </w:r>
    </w:p>
    <w:p w:rsidRPr="00BE12BD" w:rsidR="00F35463" w:rsidP="00BE12BD" w:rsidRDefault="00F35463" w14:paraId="60F63769" w14:textId="77777777">
      <w:pPr>
        <w:pStyle w:val="Tabellunderrubrik"/>
      </w:pPr>
      <w:r w:rsidRPr="00BE12B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FC2616" w:rsidR="00F35463" w:rsidTr="00787D6C" w14:paraId="629E7989" w14:textId="77777777">
        <w:trPr>
          <w:trHeight w:val="170"/>
          <w:tblHeader/>
        </w:trPr>
        <w:tc>
          <w:tcPr>
            <w:tcW w:w="413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C2616" w:rsidR="00F35463" w:rsidP="00F35463" w:rsidRDefault="00F35463" w14:paraId="60B8B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Inkomsttitel</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C2616" w:rsidR="00F35463" w:rsidP="00F35463" w:rsidRDefault="00F35463" w14:paraId="288CCC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C2616" w:rsidR="00F35463" w:rsidP="00F35463" w:rsidRDefault="00F35463" w14:paraId="3C8C04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35463" w:rsidTr="00F35463" w14:paraId="4FB63F31"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4A963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418" w:type="dxa"/>
            <w:shd w:val="clear" w:color="auto" w:fill="FFFFFF"/>
            <w:tcMar>
              <w:top w:w="68" w:type="dxa"/>
              <w:left w:w="28" w:type="dxa"/>
              <w:bottom w:w="0" w:type="dxa"/>
              <w:right w:w="28" w:type="dxa"/>
            </w:tcMar>
            <w:hideMark/>
          </w:tcPr>
          <w:p w:rsidRPr="00FC2616" w:rsidR="00F35463" w:rsidP="00F35463" w:rsidRDefault="00F35463" w14:paraId="2157F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738 820 481</w:t>
            </w:r>
          </w:p>
        </w:tc>
        <w:tc>
          <w:tcPr>
            <w:tcW w:w="1418" w:type="dxa"/>
            <w:shd w:val="clear" w:color="auto" w:fill="FFFFFF"/>
            <w:tcMar>
              <w:top w:w="68" w:type="dxa"/>
              <w:left w:w="28" w:type="dxa"/>
              <w:bottom w:w="0" w:type="dxa"/>
              <w:right w:w="28" w:type="dxa"/>
            </w:tcMar>
            <w:hideMark/>
          </w:tcPr>
          <w:p w:rsidRPr="00FC2616" w:rsidR="00F35463" w:rsidP="00F35463" w:rsidRDefault="00F35463" w14:paraId="47277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177 720 000</w:t>
            </w:r>
          </w:p>
        </w:tc>
      </w:tr>
      <w:tr w:rsidRPr="00FC2616" w:rsidR="00F35463" w:rsidTr="00F35463" w14:paraId="636D30F5"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1DA30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1111 Statlig inkomstskatt</w:t>
            </w:r>
          </w:p>
        </w:tc>
        <w:tc>
          <w:tcPr>
            <w:tcW w:w="1418" w:type="dxa"/>
            <w:shd w:val="clear" w:color="auto" w:fill="FFFFFF"/>
            <w:tcMar>
              <w:top w:w="68" w:type="dxa"/>
              <w:left w:w="28" w:type="dxa"/>
              <w:bottom w:w="0" w:type="dxa"/>
              <w:right w:w="28" w:type="dxa"/>
            </w:tcMar>
            <w:hideMark/>
          </w:tcPr>
          <w:p w:rsidRPr="00FC2616" w:rsidR="00F35463" w:rsidP="00F35463" w:rsidRDefault="00F35463" w14:paraId="135EB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53 723 921</w:t>
            </w:r>
          </w:p>
        </w:tc>
        <w:tc>
          <w:tcPr>
            <w:tcW w:w="1418" w:type="dxa"/>
            <w:shd w:val="clear" w:color="auto" w:fill="FFFFFF"/>
            <w:tcMar>
              <w:top w:w="68" w:type="dxa"/>
              <w:left w:w="28" w:type="dxa"/>
              <w:bottom w:w="0" w:type="dxa"/>
              <w:right w:w="28" w:type="dxa"/>
            </w:tcMar>
            <w:hideMark/>
          </w:tcPr>
          <w:p w:rsidRPr="00FC2616" w:rsidR="00F35463" w:rsidP="00F35463" w:rsidRDefault="00F35463" w14:paraId="33446F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21 520 000</w:t>
            </w:r>
          </w:p>
        </w:tc>
      </w:tr>
      <w:tr w:rsidRPr="00FC2616" w:rsidR="00F35463" w:rsidTr="00F35463" w14:paraId="6451C95E"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6EFC1C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1115 Kommunal inkomstskatt</w:t>
            </w:r>
          </w:p>
        </w:tc>
        <w:tc>
          <w:tcPr>
            <w:tcW w:w="1418" w:type="dxa"/>
            <w:shd w:val="clear" w:color="auto" w:fill="FFFFFF"/>
            <w:tcMar>
              <w:top w:w="68" w:type="dxa"/>
              <w:left w:w="28" w:type="dxa"/>
              <w:bottom w:w="0" w:type="dxa"/>
              <w:right w:w="28" w:type="dxa"/>
            </w:tcMar>
            <w:hideMark/>
          </w:tcPr>
          <w:p w:rsidRPr="00FC2616" w:rsidR="00F35463" w:rsidP="00F35463" w:rsidRDefault="00F35463" w14:paraId="58CF81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881 308 597</w:t>
            </w:r>
          </w:p>
        </w:tc>
        <w:tc>
          <w:tcPr>
            <w:tcW w:w="1418" w:type="dxa"/>
            <w:shd w:val="clear" w:color="auto" w:fill="FFFFFF"/>
            <w:tcMar>
              <w:top w:w="68" w:type="dxa"/>
              <w:left w:w="28" w:type="dxa"/>
              <w:bottom w:w="0" w:type="dxa"/>
              <w:right w:w="28" w:type="dxa"/>
            </w:tcMar>
            <w:hideMark/>
          </w:tcPr>
          <w:p w:rsidRPr="00FC2616" w:rsidR="00F35463" w:rsidP="00F35463" w:rsidRDefault="00F35463" w14:paraId="2B973E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12 600 000</w:t>
            </w:r>
          </w:p>
        </w:tc>
      </w:tr>
      <w:tr w:rsidRPr="00FC2616" w:rsidR="00F35463" w:rsidTr="00F35463" w14:paraId="07F54CF3"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0A6F5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1120 Allmän pensionsavgift</w:t>
            </w:r>
          </w:p>
        </w:tc>
        <w:tc>
          <w:tcPr>
            <w:tcW w:w="1418" w:type="dxa"/>
            <w:shd w:val="clear" w:color="auto" w:fill="FFFFFF"/>
            <w:tcMar>
              <w:top w:w="68" w:type="dxa"/>
              <w:left w:w="28" w:type="dxa"/>
              <w:bottom w:w="0" w:type="dxa"/>
              <w:right w:w="28" w:type="dxa"/>
            </w:tcMar>
            <w:hideMark/>
          </w:tcPr>
          <w:p w:rsidRPr="00FC2616" w:rsidR="00F35463" w:rsidP="00F35463" w:rsidRDefault="00F35463" w14:paraId="10171F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151 593 946</w:t>
            </w:r>
          </w:p>
        </w:tc>
        <w:tc>
          <w:tcPr>
            <w:tcW w:w="1418" w:type="dxa"/>
            <w:shd w:val="clear" w:color="auto" w:fill="FFFFFF"/>
            <w:tcMar>
              <w:top w:w="68" w:type="dxa"/>
              <w:left w:w="28" w:type="dxa"/>
              <w:bottom w:w="0" w:type="dxa"/>
              <w:right w:w="28" w:type="dxa"/>
            </w:tcMar>
            <w:hideMark/>
          </w:tcPr>
          <w:p w:rsidRPr="00FC2616" w:rsidR="00F35463" w:rsidP="00F35463" w:rsidRDefault="00F35463" w14:paraId="621984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76DBB301"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6895C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1130 Artistskatt</w:t>
            </w:r>
          </w:p>
        </w:tc>
        <w:tc>
          <w:tcPr>
            <w:tcW w:w="1418" w:type="dxa"/>
            <w:shd w:val="clear" w:color="auto" w:fill="FFFFFF"/>
            <w:tcMar>
              <w:top w:w="68" w:type="dxa"/>
              <w:left w:w="28" w:type="dxa"/>
              <w:bottom w:w="0" w:type="dxa"/>
              <w:right w:w="28" w:type="dxa"/>
            </w:tcMar>
            <w:hideMark/>
          </w:tcPr>
          <w:p w:rsidRPr="00FC2616" w:rsidR="00F35463" w:rsidP="00F35463" w:rsidRDefault="00F35463" w14:paraId="55991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C2616" w:rsidR="00F35463" w:rsidP="00F35463" w:rsidRDefault="00F35463" w14:paraId="6CC905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50FF5FFF"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656F1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1140 Skattereduktioner</w:t>
            </w:r>
          </w:p>
        </w:tc>
        <w:tc>
          <w:tcPr>
            <w:tcW w:w="1418" w:type="dxa"/>
            <w:shd w:val="clear" w:color="auto" w:fill="FFFFFF"/>
            <w:tcMar>
              <w:top w:w="68" w:type="dxa"/>
              <w:left w:w="28" w:type="dxa"/>
              <w:bottom w:w="0" w:type="dxa"/>
              <w:right w:w="28" w:type="dxa"/>
            </w:tcMar>
            <w:hideMark/>
          </w:tcPr>
          <w:p w:rsidRPr="00FC2616" w:rsidR="00F35463" w:rsidP="00F35463" w:rsidRDefault="00F35463" w14:paraId="72768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−347 805 983</w:t>
            </w:r>
          </w:p>
        </w:tc>
        <w:tc>
          <w:tcPr>
            <w:tcW w:w="1418" w:type="dxa"/>
            <w:shd w:val="clear" w:color="auto" w:fill="FFFFFF"/>
            <w:tcMar>
              <w:top w:w="68" w:type="dxa"/>
              <w:left w:w="28" w:type="dxa"/>
              <w:bottom w:w="0" w:type="dxa"/>
              <w:right w:w="28" w:type="dxa"/>
            </w:tcMar>
            <w:hideMark/>
          </w:tcPr>
          <w:p w:rsidRPr="00FC2616" w:rsidR="00F35463" w:rsidP="00F35463" w:rsidRDefault="00F35463" w14:paraId="47D853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143 600 000</w:t>
            </w:r>
          </w:p>
        </w:tc>
      </w:tr>
      <w:tr w:rsidRPr="00FC2616" w:rsidR="00F35463" w:rsidTr="00F35463" w14:paraId="16038639"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7012A2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07C47EDD"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20410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418" w:type="dxa"/>
            <w:shd w:val="clear" w:color="auto" w:fill="FFFFFF"/>
            <w:tcMar>
              <w:top w:w="68" w:type="dxa"/>
              <w:left w:w="28" w:type="dxa"/>
              <w:bottom w:w="0" w:type="dxa"/>
              <w:right w:w="28" w:type="dxa"/>
            </w:tcMar>
            <w:hideMark/>
          </w:tcPr>
          <w:p w:rsidRPr="00FC2616" w:rsidR="00F35463" w:rsidP="00F35463" w:rsidRDefault="00F35463" w14:paraId="7A0726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711 505 613</w:t>
            </w:r>
          </w:p>
        </w:tc>
        <w:tc>
          <w:tcPr>
            <w:tcW w:w="1418" w:type="dxa"/>
            <w:shd w:val="clear" w:color="auto" w:fill="FFFFFF"/>
            <w:tcMar>
              <w:top w:w="68" w:type="dxa"/>
              <w:left w:w="28" w:type="dxa"/>
              <w:bottom w:w="0" w:type="dxa"/>
              <w:right w:w="28" w:type="dxa"/>
            </w:tcMar>
            <w:hideMark/>
          </w:tcPr>
          <w:p w:rsidRPr="00FC2616" w:rsidR="00F35463" w:rsidP="00F35463" w:rsidRDefault="00F35463" w14:paraId="7F695A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−136 850 000</w:t>
            </w:r>
          </w:p>
        </w:tc>
      </w:tr>
      <w:tr w:rsidRPr="00FC2616" w:rsidR="00F35463" w:rsidTr="00F35463" w14:paraId="5E35F23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1843A6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1210 Arbetsgivaravgifter</w:t>
            </w:r>
          </w:p>
        </w:tc>
        <w:tc>
          <w:tcPr>
            <w:tcW w:w="1418" w:type="dxa"/>
            <w:shd w:val="clear" w:color="auto" w:fill="FFFFFF"/>
            <w:tcMar>
              <w:top w:w="68" w:type="dxa"/>
              <w:left w:w="28" w:type="dxa"/>
              <w:bottom w:w="0" w:type="dxa"/>
              <w:right w:w="28" w:type="dxa"/>
            </w:tcMar>
            <w:hideMark/>
          </w:tcPr>
          <w:p w:rsidRPr="00FC2616" w:rsidR="00F35463" w:rsidP="00F35463" w:rsidRDefault="00F35463" w14:paraId="76554C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697 492 373</w:t>
            </w:r>
          </w:p>
        </w:tc>
        <w:tc>
          <w:tcPr>
            <w:tcW w:w="1418" w:type="dxa"/>
            <w:shd w:val="clear" w:color="auto" w:fill="FFFFFF"/>
            <w:tcMar>
              <w:top w:w="68" w:type="dxa"/>
              <w:left w:w="28" w:type="dxa"/>
              <w:bottom w:w="0" w:type="dxa"/>
              <w:right w:w="28" w:type="dxa"/>
            </w:tcMar>
            <w:hideMark/>
          </w:tcPr>
          <w:p w:rsidRPr="00FC2616" w:rsidR="00F35463" w:rsidP="00F35463" w:rsidRDefault="00F35463" w14:paraId="4157B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−136 650 000</w:t>
            </w:r>
          </w:p>
        </w:tc>
      </w:tr>
      <w:tr w:rsidRPr="00FC2616" w:rsidR="00F35463" w:rsidTr="00F35463" w14:paraId="4E7209D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569A6E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1240 Egenavgifter</w:t>
            </w:r>
          </w:p>
        </w:tc>
        <w:tc>
          <w:tcPr>
            <w:tcW w:w="1418" w:type="dxa"/>
            <w:shd w:val="clear" w:color="auto" w:fill="FFFFFF"/>
            <w:tcMar>
              <w:top w:w="68" w:type="dxa"/>
              <w:left w:w="28" w:type="dxa"/>
              <w:bottom w:w="0" w:type="dxa"/>
              <w:right w:w="28" w:type="dxa"/>
            </w:tcMar>
            <w:hideMark/>
          </w:tcPr>
          <w:p w:rsidRPr="00FC2616" w:rsidR="00F35463" w:rsidP="00F35463" w:rsidRDefault="00F35463" w14:paraId="7D7E4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12 664 870</w:t>
            </w:r>
          </w:p>
        </w:tc>
        <w:tc>
          <w:tcPr>
            <w:tcW w:w="1418" w:type="dxa"/>
            <w:shd w:val="clear" w:color="auto" w:fill="FFFFFF"/>
            <w:tcMar>
              <w:top w:w="68" w:type="dxa"/>
              <w:left w:w="28" w:type="dxa"/>
              <w:bottom w:w="0" w:type="dxa"/>
              <w:right w:w="28" w:type="dxa"/>
            </w:tcMar>
            <w:hideMark/>
          </w:tcPr>
          <w:p w:rsidRPr="00FC2616" w:rsidR="00F35463" w:rsidP="00F35463" w:rsidRDefault="00F35463" w14:paraId="7139B8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462B3275"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7F0B1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418" w:type="dxa"/>
            <w:shd w:val="clear" w:color="auto" w:fill="FFFFFF"/>
            <w:tcMar>
              <w:top w:w="68" w:type="dxa"/>
              <w:left w:w="28" w:type="dxa"/>
              <w:bottom w:w="0" w:type="dxa"/>
              <w:right w:w="28" w:type="dxa"/>
            </w:tcMar>
            <w:hideMark/>
          </w:tcPr>
          <w:p w:rsidRPr="00FC2616" w:rsidR="00F35463" w:rsidP="00F35463" w:rsidRDefault="00F35463" w14:paraId="37C937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−48 492 443</w:t>
            </w:r>
          </w:p>
        </w:tc>
        <w:tc>
          <w:tcPr>
            <w:tcW w:w="1418" w:type="dxa"/>
            <w:shd w:val="clear" w:color="auto" w:fill="FFFFFF"/>
            <w:tcMar>
              <w:top w:w="68" w:type="dxa"/>
              <w:left w:w="28" w:type="dxa"/>
              <w:bottom w:w="0" w:type="dxa"/>
              <w:right w:w="28" w:type="dxa"/>
            </w:tcMar>
            <w:hideMark/>
          </w:tcPr>
          <w:p w:rsidRPr="00FC2616" w:rsidR="00F35463" w:rsidP="00F35463" w:rsidRDefault="00F35463" w14:paraId="3D717F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−200 000</w:t>
            </w:r>
          </w:p>
        </w:tc>
      </w:tr>
      <w:tr w:rsidRPr="00FC2616" w:rsidR="00F35463" w:rsidTr="00F35463" w14:paraId="6C355BAD"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23B9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1270 Särskild löneskatt</w:t>
            </w:r>
          </w:p>
        </w:tc>
        <w:tc>
          <w:tcPr>
            <w:tcW w:w="1418" w:type="dxa"/>
            <w:shd w:val="clear" w:color="auto" w:fill="FFFFFF"/>
            <w:tcMar>
              <w:top w:w="68" w:type="dxa"/>
              <w:left w:w="28" w:type="dxa"/>
              <w:bottom w:w="0" w:type="dxa"/>
              <w:right w:w="28" w:type="dxa"/>
            </w:tcMar>
            <w:hideMark/>
          </w:tcPr>
          <w:p w:rsidRPr="00FC2616" w:rsidR="00F35463" w:rsidP="00F35463" w:rsidRDefault="00F35463" w14:paraId="4224D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57 769 404</w:t>
            </w:r>
          </w:p>
        </w:tc>
        <w:tc>
          <w:tcPr>
            <w:tcW w:w="1418" w:type="dxa"/>
            <w:shd w:val="clear" w:color="auto" w:fill="FFFFFF"/>
            <w:tcMar>
              <w:top w:w="68" w:type="dxa"/>
              <w:left w:w="28" w:type="dxa"/>
              <w:bottom w:w="0" w:type="dxa"/>
              <w:right w:w="28" w:type="dxa"/>
            </w:tcMar>
            <w:hideMark/>
          </w:tcPr>
          <w:p w:rsidRPr="00FC2616" w:rsidR="00F35463" w:rsidP="00F35463" w:rsidRDefault="00F35463" w14:paraId="1A41DF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67FEC687"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560ADF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1280 Nedsättningar</w:t>
            </w:r>
          </w:p>
        </w:tc>
        <w:tc>
          <w:tcPr>
            <w:tcW w:w="1418" w:type="dxa"/>
            <w:shd w:val="clear" w:color="auto" w:fill="FFFFFF"/>
            <w:tcMar>
              <w:top w:w="68" w:type="dxa"/>
              <w:left w:w="28" w:type="dxa"/>
              <w:bottom w:w="0" w:type="dxa"/>
              <w:right w:w="28" w:type="dxa"/>
            </w:tcMar>
            <w:hideMark/>
          </w:tcPr>
          <w:p w:rsidRPr="00FC2616" w:rsidR="00F35463" w:rsidP="00F35463" w:rsidRDefault="00F35463" w14:paraId="7A2D2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−8 538 232</w:t>
            </w:r>
          </w:p>
        </w:tc>
        <w:tc>
          <w:tcPr>
            <w:tcW w:w="1418" w:type="dxa"/>
            <w:shd w:val="clear" w:color="auto" w:fill="FFFFFF"/>
            <w:tcMar>
              <w:top w:w="68" w:type="dxa"/>
              <w:left w:w="28" w:type="dxa"/>
              <w:bottom w:w="0" w:type="dxa"/>
              <w:right w:w="28" w:type="dxa"/>
            </w:tcMar>
            <w:hideMark/>
          </w:tcPr>
          <w:p w:rsidRPr="00FC2616" w:rsidR="00F35463" w:rsidP="00F35463" w:rsidRDefault="00F35463" w14:paraId="30773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3535B0D1"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4132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1290 Tjänstegruppliv</w:t>
            </w:r>
          </w:p>
        </w:tc>
        <w:tc>
          <w:tcPr>
            <w:tcW w:w="1418" w:type="dxa"/>
            <w:shd w:val="clear" w:color="auto" w:fill="FFFFFF"/>
            <w:tcMar>
              <w:top w:w="68" w:type="dxa"/>
              <w:left w:w="28" w:type="dxa"/>
              <w:bottom w:w="0" w:type="dxa"/>
              <w:right w:w="28" w:type="dxa"/>
            </w:tcMar>
            <w:hideMark/>
          </w:tcPr>
          <w:p w:rsidRPr="00FC2616" w:rsidR="00F35463" w:rsidP="00F35463" w:rsidRDefault="00F35463" w14:paraId="5E13C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609 641</w:t>
            </w:r>
          </w:p>
        </w:tc>
        <w:tc>
          <w:tcPr>
            <w:tcW w:w="1418" w:type="dxa"/>
            <w:shd w:val="clear" w:color="auto" w:fill="FFFFFF"/>
            <w:tcMar>
              <w:top w:w="68" w:type="dxa"/>
              <w:left w:w="28" w:type="dxa"/>
              <w:bottom w:w="0" w:type="dxa"/>
              <w:right w:w="28" w:type="dxa"/>
            </w:tcMar>
            <w:hideMark/>
          </w:tcPr>
          <w:p w:rsidRPr="00FC2616" w:rsidR="00F35463" w:rsidP="00F35463" w:rsidRDefault="00F35463" w14:paraId="37F460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433619CC"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67CD1F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04A0E210"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D887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1300 Skatt på kapital</w:t>
            </w:r>
          </w:p>
        </w:tc>
        <w:tc>
          <w:tcPr>
            <w:tcW w:w="1418" w:type="dxa"/>
            <w:shd w:val="clear" w:color="auto" w:fill="FFFFFF"/>
            <w:tcMar>
              <w:top w:w="68" w:type="dxa"/>
              <w:left w:w="28" w:type="dxa"/>
              <w:bottom w:w="0" w:type="dxa"/>
              <w:right w:w="28" w:type="dxa"/>
            </w:tcMar>
            <w:hideMark/>
          </w:tcPr>
          <w:p w:rsidRPr="00FC2616" w:rsidR="00F35463" w:rsidP="00F35463" w:rsidRDefault="00F35463" w14:paraId="486E9F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345 261 868</w:t>
            </w:r>
          </w:p>
        </w:tc>
        <w:tc>
          <w:tcPr>
            <w:tcW w:w="1418" w:type="dxa"/>
            <w:shd w:val="clear" w:color="auto" w:fill="FFFFFF"/>
            <w:tcMar>
              <w:top w:w="68" w:type="dxa"/>
              <w:left w:w="28" w:type="dxa"/>
              <w:bottom w:w="0" w:type="dxa"/>
              <w:right w:w="28" w:type="dxa"/>
            </w:tcMar>
            <w:hideMark/>
          </w:tcPr>
          <w:p w:rsidRPr="00FC2616" w:rsidR="00F35463" w:rsidP="00F35463" w:rsidRDefault="00F35463" w14:paraId="56FB6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26 265 000</w:t>
            </w:r>
          </w:p>
        </w:tc>
      </w:tr>
      <w:tr w:rsidRPr="00FC2616" w:rsidR="00F35463" w:rsidTr="00F35463" w14:paraId="6387CDB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2B0D45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1310 Skatt på kapital, hushåll</w:t>
            </w:r>
          </w:p>
        </w:tc>
        <w:tc>
          <w:tcPr>
            <w:tcW w:w="1418" w:type="dxa"/>
            <w:shd w:val="clear" w:color="auto" w:fill="FFFFFF"/>
            <w:tcMar>
              <w:top w:w="68" w:type="dxa"/>
              <w:left w:w="28" w:type="dxa"/>
              <w:bottom w:w="0" w:type="dxa"/>
              <w:right w:w="28" w:type="dxa"/>
            </w:tcMar>
            <w:hideMark/>
          </w:tcPr>
          <w:p w:rsidRPr="00FC2616" w:rsidR="00F35463" w:rsidP="00F35463" w:rsidRDefault="00F35463" w14:paraId="3735AF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77 585 859</w:t>
            </w:r>
          </w:p>
        </w:tc>
        <w:tc>
          <w:tcPr>
            <w:tcW w:w="1418" w:type="dxa"/>
            <w:shd w:val="clear" w:color="auto" w:fill="FFFFFF"/>
            <w:tcMar>
              <w:top w:w="68" w:type="dxa"/>
              <w:left w:w="28" w:type="dxa"/>
              <w:bottom w:w="0" w:type="dxa"/>
              <w:right w:w="28" w:type="dxa"/>
            </w:tcMar>
            <w:hideMark/>
          </w:tcPr>
          <w:p w:rsidRPr="00FC2616" w:rsidR="00F35463" w:rsidP="00F35463" w:rsidRDefault="00F35463" w14:paraId="21A8CB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23 250 000</w:t>
            </w:r>
          </w:p>
        </w:tc>
      </w:tr>
      <w:tr w:rsidRPr="00FC2616" w:rsidR="00F35463" w:rsidTr="00F35463" w14:paraId="49DC9682"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6BEC11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1320 Skatt på företagsvinster</w:t>
            </w:r>
          </w:p>
        </w:tc>
        <w:tc>
          <w:tcPr>
            <w:tcW w:w="1418" w:type="dxa"/>
            <w:shd w:val="clear" w:color="auto" w:fill="FFFFFF"/>
            <w:tcMar>
              <w:top w:w="68" w:type="dxa"/>
              <w:left w:w="28" w:type="dxa"/>
              <w:bottom w:w="0" w:type="dxa"/>
              <w:right w:w="28" w:type="dxa"/>
            </w:tcMar>
            <w:hideMark/>
          </w:tcPr>
          <w:p w:rsidRPr="00FC2616" w:rsidR="00F35463" w:rsidP="00F35463" w:rsidRDefault="00F35463" w14:paraId="5A68D0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178 077 471</w:t>
            </w:r>
          </w:p>
        </w:tc>
        <w:tc>
          <w:tcPr>
            <w:tcW w:w="1418" w:type="dxa"/>
            <w:shd w:val="clear" w:color="auto" w:fill="FFFFFF"/>
            <w:tcMar>
              <w:top w:w="68" w:type="dxa"/>
              <w:left w:w="28" w:type="dxa"/>
              <w:bottom w:w="0" w:type="dxa"/>
              <w:right w:w="28" w:type="dxa"/>
            </w:tcMar>
            <w:hideMark/>
          </w:tcPr>
          <w:p w:rsidRPr="00FC2616" w:rsidR="00F35463" w:rsidP="00F35463" w:rsidRDefault="00F35463" w14:paraId="02171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−3 085 000</w:t>
            </w:r>
          </w:p>
        </w:tc>
      </w:tr>
      <w:tr w:rsidRPr="00FC2616" w:rsidR="00F35463" w:rsidTr="00F35463" w14:paraId="6C546D1D"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2E86C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1330 Kupongskatt</w:t>
            </w:r>
          </w:p>
        </w:tc>
        <w:tc>
          <w:tcPr>
            <w:tcW w:w="1418" w:type="dxa"/>
            <w:shd w:val="clear" w:color="auto" w:fill="FFFFFF"/>
            <w:tcMar>
              <w:top w:w="68" w:type="dxa"/>
              <w:left w:w="28" w:type="dxa"/>
              <w:bottom w:w="0" w:type="dxa"/>
              <w:right w:w="28" w:type="dxa"/>
            </w:tcMar>
            <w:hideMark/>
          </w:tcPr>
          <w:p w:rsidRPr="00FC2616" w:rsidR="00F35463" w:rsidP="00F35463" w:rsidRDefault="00F35463" w14:paraId="04596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10 146 640</w:t>
            </w:r>
          </w:p>
        </w:tc>
        <w:tc>
          <w:tcPr>
            <w:tcW w:w="1418" w:type="dxa"/>
            <w:shd w:val="clear" w:color="auto" w:fill="FFFFFF"/>
            <w:tcMar>
              <w:top w:w="68" w:type="dxa"/>
              <w:left w:w="28" w:type="dxa"/>
              <w:bottom w:w="0" w:type="dxa"/>
              <w:right w:w="28" w:type="dxa"/>
            </w:tcMar>
            <w:hideMark/>
          </w:tcPr>
          <w:p w:rsidRPr="00FC2616" w:rsidR="00F35463" w:rsidP="00F35463" w:rsidRDefault="00F35463" w14:paraId="74E41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2F96FB1B"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DEAED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1340 Avkastningsskatt</w:t>
            </w:r>
          </w:p>
        </w:tc>
        <w:tc>
          <w:tcPr>
            <w:tcW w:w="1418" w:type="dxa"/>
            <w:shd w:val="clear" w:color="auto" w:fill="FFFFFF"/>
            <w:tcMar>
              <w:top w:w="68" w:type="dxa"/>
              <w:left w:w="28" w:type="dxa"/>
              <w:bottom w:w="0" w:type="dxa"/>
              <w:right w:w="28" w:type="dxa"/>
            </w:tcMar>
            <w:hideMark/>
          </w:tcPr>
          <w:p w:rsidRPr="00FC2616" w:rsidR="00F35463" w:rsidP="00F35463" w:rsidRDefault="00F35463" w14:paraId="38AD78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19 323 373</w:t>
            </w:r>
          </w:p>
        </w:tc>
        <w:tc>
          <w:tcPr>
            <w:tcW w:w="1418" w:type="dxa"/>
            <w:shd w:val="clear" w:color="auto" w:fill="FFFFFF"/>
            <w:tcMar>
              <w:top w:w="68" w:type="dxa"/>
              <w:left w:w="28" w:type="dxa"/>
              <w:bottom w:w="0" w:type="dxa"/>
              <w:right w:w="28" w:type="dxa"/>
            </w:tcMar>
            <w:hideMark/>
          </w:tcPr>
          <w:p w:rsidRPr="00FC2616" w:rsidR="00F35463" w:rsidP="00F35463" w:rsidRDefault="00F35463" w14:paraId="71F06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407BDE20"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E2C01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1350 Fastighetsskatt</w:t>
            </w:r>
          </w:p>
        </w:tc>
        <w:tc>
          <w:tcPr>
            <w:tcW w:w="1418" w:type="dxa"/>
            <w:shd w:val="clear" w:color="auto" w:fill="FFFFFF"/>
            <w:tcMar>
              <w:top w:w="68" w:type="dxa"/>
              <w:left w:w="28" w:type="dxa"/>
              <w:bottom w:w="0" w:type="dxa"/>
              <w:right w:w="28" w:type="dxa"/>
            </w:tcMar>
            <w:hideMark/>
          </w:tcPr>
          <w:p w:rsidRPr="00FC2616" w:rsidR="00F35463" w:rsidP="00F35463" w:rsidRDefault="00F35463" w14:paraId="09359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37 959 490</w:t>
            </w:r>
          </w:p>
        </w:tc>
        <w:tc>
          <w:tcPr>
            <w:tcW w:w="1418" w:type="dxa"/>
            <w:shd w:val="clear" w:color="auto" w:fill="FFFFFF"/>
            <w:tcMar>
              <w:top w:w="68" w:type="dxa"/>
              <w:left w:w="28" w:type="dxa"/>
              <w:bottom w:w="0" w:type="dxa"/>
              <w:right w:w="28" w:type="dxa"/>
            </w:tcMar>
            <w:hideMark/>
          </w:tcPr>
          <w:p w:rsidRPr="00FC2616" w:rsidR="00F35463" w:rsidP="00F35463" w:rsidRDefault="00F35463" w14:paraId="6805C5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6 100 000</w:t>
            </w:r>
          </w:p>
        </w:tc>
      </w:tr>
      <w:tr w:rsidRPr="00FC2616" w:rsidR="00F35463" w:rsidTr="00F35463" w14:paraId="0B0738C3"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6B053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1360 Stämpelskatt</w:t>
            </w:r>
          </w:p>
        </w:tc>
        <w:tc>
          <w:tcPr>
            <w:tcW w:w="1418" w:type="dxa"/>
            <w:shd w:val="clear" w:color="auto" w:fill="FFFFFF"/>
            <w:tcMar>
              <w:top w:w="68" w:type="dxa"/>
              <w:left w:w="28" w:type="dxa"/>
              <w:bottom w:w="0" w:type="dxa"/>
              <w:right w:w="28" w:type="dxa"/>
            </w:tcMar>
            <w:hideMark/>
          </w:tcPr>
          <w:p w:rsidRPr="00FC2616" w:rsidR="00F35463" w:rsidP="00F35463" w:rsidRDefault="00F35463" w14:paraId="424D0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14 612 035</w:t>
            </w:r>
          </w:p>
        </w:tc>
        <w:tc>
          <w:tcPr>
            <w:tcW w:w="1418" w:type="dxa"/>
            <w:shd w:val="clear" w:color="auto" w:fill="FFFFFF"/>
            <w:tcMar>
              <w:top w:w="68" w:type="dxa"/>
              <w:left w:w="28" w:type="dxa"/>
              <w:bottom w:w="0" w:type="dxa"/>
              <w:right w:w="28" w:type="dxa"/>
            </w:tcMar>
            <w:hideMark/>
          </w:tcPr>
          <w:p w:rsidRPr="00FC2616" w:rsidR="00F35463" w:rsidP="00F35463" w:rsidRDefault="00F35463" w14:paraId="2012C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0F48B0BF"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2F1941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1390 Riskskatt för kreditinstitut</w:t>
            </w:r>
          </w:p>
        </w:tc>
        <w:tc>
          <w:tcPr>
            <w:tcW w:w="1418" w:type="dxa"/>
            <w:shd w:val="clear" w:color="auto" w:fill="FFFFFF"/>
            <w:tcMar>
              <w:top w:w="68" w:type="dxa"/>
              <w:left w:w="28" w:type="dxa"/>
              <w:bottom w:w="0" w:type="dxa"/>
              <w:right w:w="28" w:type="dxa"/>
            </w:tcMar>
            <w:hideMark/>
          </w:tcPr>
          <w:p w:rsidRPr="00FC2616" w:rsidR="00F35463" w:rsidP="00F35463" w:rsidRDefault="00F35463" w14:paraId="76E5EE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7 557 000</w:t>
            </w:r>
          </w:p>
        </w:tc>
        <w:tc>
          <w:tcPr>
            <w:tcW w:w="1418" w:type="dxa"/>
            <w:shd w:val="clear" w:color="auto" w:fill="FFFFFF"/>
            <w:tcMar>
              <w:top w:w="68" w:type="dxa"/>
              <w:left w:w="28" w:type="dxa"/>
              <w:bottom w:w="0" w:type="dxa"/>
              <w:right w:w="28" w:type="dxa"/>
            </w:tcMar>
            <w:hideMark/>
          </w:tcPr>
          <w:p w:rsidRPr="00FC2616" w:rsidR="00F35463" w:rsidP="00F35463" w:rsidRDefault="00F35463" w14:paraId="6DFC9E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137BFFB0"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72B136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4B43DFBA"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170CB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418" w:type="dxa"/>
            <w:shd w:val="clear" w:color="auto" w:fill="FFFFFF"/>
            <w:tcMar>
              <w:top w:w="68" w:type="dxa"/>
              <w:left w:w="28" w:type="dxa"/>
              <w:bottom w:w="0" w:type="dxa"/>
              <w:right w:w="28" w:type="dxa"/>
            </w:tcMar>
            <w:hideMark/>
          </w:tcPr>
          <w:p w:rsidRPr="00FC2616" w:rsidR="00F35463" w:rsidP="00F35463" w:rsidRDefault="00F35463" w14:paraId="5DF84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735 754 854</w:t>
            </w:r>
          </w:p>
        </w:tc>
        <w:tc>
          <w:tcPr>
            <w:tcW w:w="1418" w:type="dxa"/>
            <w:shd w:val="clear" w:color="auto" w:fill="FFFFFF"/>
            <w:tcMar>
              <w:top w:w="68" w:type="dxa"/>
              <w:left w:w="28" w:type="dxa"/>
              <w:bottom w:w="0" w:type="dxa"/>
              <w:right w:w="28" w:type="dxa"/>
            </w:tcMar>
            <w:hideMark/>
          </w:tcPr>
          <w:p w:rsidRPr="00FC2616" w:rsidR="00F35463" w:rsidP="00F35463" w:rsidRDefault="00F35463" w14:paraId="1A124D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7 990 000</w:t>
            </w:r>
          </w:p>
        </w:tc>
      </w:tr>
      <w:tr w:rsidRPr="00FC2616" w:rsidR="00F35463" w:rsidTr="00F35463" w14:paraId="367F5C90"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5EAB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1410 Mervärdesskatt</w:t>
            </w:r>
          </w:p>
        </w:tc>
        <w:tc>
          <w:tcPr>
            <w:tcW w:w="1418" w:type="dxa"/>
            <w:shd w:val="clear" w:color="auto" w:fill="FFFFFF"/>
            <w:tcMar>
              <w:top w:w="68" w:type="dxa"/>
              <w:left w:w="28" w:type="dxa"/>
              <w:bottom w:w="0" w:type="dxa"/>
              <w:right w:w="28" w:type="dxa"/>
            </w:tcMar>
            <w:hideMark/>
          </w:tcPr>
          <w:p w:rsidRPr="00FC2616" w:rsidR="00F35463" w:rsidP="00F35463" w:rsidRDefault="00F35463" w14:paraId="181FE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594 498 829</w:t>
            </w:r>
          </w:p>
        </w:tc>
        <w:tc>
          <w:tcPr>
            <w:tcW w:w="1418" w:type="dxa"/>
            <w:shd w:val="clear" w:color="auto" w:fill="FFFFFF"/>
            <w:tcMar>
              <w:top w:w="68" w:type="dxa"/>
              <w:left w:w="28" w:type="dxa"/>
              <w:bottom w:w="0" w:type="dxa"/>
              <w:right w:w="28" w:type="dxa"/>
            </w:tcMar>
            <w:hideMark/>
          </w:tcPr>
          <w:p w:rsidRPr="00FC2616" w:rsidR="00F35463" w:rsidP="00F35463" w:rsidRDefault="00F35463" w14:paraId="1AF7FB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600 000</w:t>
            </w:r>
          </w:p>
        </w:tc>
      </w:tr>
      <w:tr w:rsidRPr="00FC2616" w:rsidR="00F35463" w:rsidTr="00F35463" w14:paraId="4D77C904"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F0EE1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1420 Skatt på alkohol och tobak</w:t>
            </w:r>
          </w:p>
        </w:tc>
        <w:tc>
          <w:tcPr>
            <w:tcW w:w="1418" w:type="dxa"/>
            <w:shd w:val="clear" w:color="auto" w:fill="FFFFFF"/>
            <w:tcMar>
              <w:top w:w="68" w:type="dxa"/>
              <w:left w:w="28" w:type="dxa"/>
              <w:bottom w:w="0" w:type="dxa"/>
              <w:right w:w="28" w:type="dxa"/>
            </w:tcMar>
            <w:hideMark/>
          </w:tcPr>
          <w:p w:rsidRPr="00FC2616" w:rsidR="00F35463" w:rsidP="00F35463" w:rsidRDefault="00F35463" w14:paraId="08DC4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30 364 205</w:t>
            </w:r>
          </w:p>
        </w:tc>
        <w:tc>
          <w:tcPr>
            <w:tcW w:w="1418" w:type="dxa"/>
            <w:shd w:val="clear" w:color="auto" w:fill="FFFFFF"/>
            <w:tcMar>
              <w:top w:w="68" w:type="dxa"/>
              <w:left w:w="28" w:type="dxa"/>
              <w:bottom w:w="0" w:type="dxa"/>
              <w:right w:w="28" w:type="dxa"/>
            </w:tcMar>
            <w:hideMark/>
          </w:tcPr>
          <w:p w:rsidRPr="00FC2616" w:rsidR="00F35463" w:rsidP="00F35463" w:rsidRDefault="00F35463" w14:paraId="06F3A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379C4088"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7677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68" w:type="dxa"/>
              <w:left w:w="28" w:type="dxa"/>
              <w:bottom w:w="0" w:type="dxa"/>
              <w:right w:w="28" w:type="dxa"/>
            </w:tcMar>
            <w:hideMark/>
          </w:tcPr>
          <w:p w:rsidRPr="00FC2616" w:rsidR="00F35463" w:rsidP="00F35463" w:rsidRDefault="00F35463" w14:paraId="28929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47 252 516</w:t>
            </w:r>
          </w:p>
        </w:tc>
        <w:tc>
          <w:tcPr>
            <w:tcW w:w="1418" w:type="dxa"/>
            <w:shd w:val="clear" w:color="auto" w:fill="FFFFFF"/>
            <w:tcMar>
              <w:top w:w="68" w:type="dxa"/>
              <w:left w:w="28" w:type="dxa"/>
              <w:bottom w:w="0" w:type="dxa"/>
              <w:right w:w="28" w:type="dxa"/>
            </w:tcMar>
            <w:hideMark/>
          </w:tcPr>
          <w:p w:rsidRPr="00FC2616" w:rsidR="00F35463" w:rsidP="00F35463" w:rsidRDefault="00F35463" w14:paraId="1B3E1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6 790 000</w:t>
            </w:r>
          </w:p>
        </w:tc>
      </w:tr>
      <w:tr w:rsidRPr="00FC2616" w:rsidR="00F35463" w:rsidTr="00F35463" w14:paraId="31ED1790"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0647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1440 Koldioxidskatt</w:t>
            </w:r>
          </w:p>
        </w:tc>
        <w:tc>
          <w:tcPr>
            <w:tcW w:w="1418" w:type="dxa"/>
            <w:shd w:val="clear" w:color="auto" w:fill="FFFFFF"/>
            <w:tcMar>
              <w:top w:w="68" w:type="dxa"/>
              <w:left w:w="28" w:type="dxa"/>
              <w:bottom w:w="0" w:type="dxa"/>
              <w:right w:w="28" w:type="dxa"/>
            </w:tcMar>
            <w:hideMark/>
          </w:tcPr>
          <w:p w:rsidRPr="00FC2616" w:rsidR="00F35463" w:rsidP="00F35463" w:rsidRDefault="00F35463" w14:paraId="28D07D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22 468 217</w:t>
            </w:r>
          </w:p>
        </w:tc>
        <w:tc>
          <w:tcPr>
            <w:tcW w:w="1418" w:type="dxa"/>
            <w:shd w:val="clear" w:color="auto" w:fill="FFFFFF"/>
            <w:tcMar>
              <w:top w:w="68" w:type="dxa"/>
              <w:left w:w="28" w:type="dxa"/>
              <w:bottom w:w="0" w:type="dxa"/>
              <w:right w:w="28" w:type="dxa"/>
            </w:tcMar>
            <w:hideMark/>
          </w:tcPr>
          <w:p w:rsidRPr="00FC2616" w:rsidR="00F35463" w:rsidP="00F35463" w:rsidRDefault="00F35463" w14:paraId="6169C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120 000</w:t>
            </w:r>
          </w:p>
        </w:tc>
      </w:tr>
      <w:tr w:rsidRPr="00FC2616" w:rsidR="00F35463" w:rsidTr="00F35463" w14:paraId="19BBDC50"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6FADC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418" w:type="dxa"/>
            <w:shd w:val="clear" w:color="auto" w:fill="FFFFFF"/>
            <w:tcMar>
              <w:top w:w="68" w:type="dxa"/>
              <w:left w:w="28" w:type="dxa"/>
              <w:bottom w:w="0" w:type="dxa"/>
              <w:right w:w="28" w:type="dxa"/>
            </w:tcMar>
            <w:hideMark/>
          </w:tcPr>
          <w:p w:rsidRPr="00FC2616" w:rsidR="00F35463" w:rsidP="00F35463" w:rsidRDefault="00F35463" w14:paraId="78C5B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8 045 910</w:t>
            </w:r>
          </w:p>
        </w:tc>
        <w:tc>
          <w:tcPr>
            <w:tcW w:w="1418" w:type="dxa"/>
            <w:shd w:val="clear" w:color="auto" w:fill="FFFFFF"/>
            <w:tcMar>
              <w:top w:w="68" w:type="dxa"/>
              <w:left w:w="28" w:type="dxa"/>
              <w:bottom w:w="0" w:type="dxa"/>
              <w:right w:w="28" w:type="dxa"/>
            </w:tcMar>
            <w:hideMark/>
          </w:tcPr>
          <w:p w:rsidRPr="00FC2616" w:rsidR="00F35463" w:rsidP="00F35463" w:rsidRDefault="00F35463" w14:paraId="53485A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480 000</w:t>
            </w:r>
          </w:p>
        </w:tc>
      </w:tr>
      <w:tr w:rsidRPr="00FC2616" w:rsidR="00F35463" w:rsidTr="00F35463" w14:paraId="04B9DDA3"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56FFBB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1470 Skatt på vägtrafik</w:t>
            </w:r>
          </w:p>
        </w:tc>
        <w:tc>
          <w:tcPr>
            <w:tcW w:w="1418" w:type="dxa"/>
            <w:shd w:val="clear" w:color="auto" w:fill="FFFFFF"/>
            <w:tcMar>
              <w:top w:w="68" w:type="dxa"/>
              <w:left w:w="28" w:type="dxa"/>
              <w:bottom w:w="0" w:type="dxa"/>
              <w:right w:w="28" w:type="dxa"/>
            </w:tcMar>
            <w:hideMark/>
          </w:tcPr>
          <w:p w:rsidRPr="00FC2616" w:rsidR="00F35463" w:rsidP="00F35463" w:rsidRDefault="00F35463" w14:paraId="2BC296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25 226 695</w:t>
            </w:r>
          </w:p>
        </w:tc>
        <w:tc>
          <w:tcPr>
            <w:tcW w:w="1418" w:type="dxa"/>
            <w:shd w:val="clear" w:color="auto" w:fill="FFFFFF"/>
            <w:tcMar>
              <w:top w:w="68" w:type="dxa"/>
              <w:left w:w="28" w:type="dxa"/>
              <w:bottom w:w="0" w:type="dxa"/>
              <w:right w:w="28" w:type="dxa"/>
            </w:tcMar>
            <w:hideMark/>
          </w:tcPr>
          <w:p w:rsidRPr="00FC2616" w:rsidR="00F35463" w:rsidP="00F35463" w:rsidRDefault="00F35463" w14:paraId="631A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3F613A1F"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697866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1480 Övriga skatter</w:t>
            </w:r>
          </w:p>
        </w:tc>
        <w:tc>
          <w:tcPr>
            <w:tcW w:w="1418" w:type="dxa"/>
            <w:shd w:val="clear" w:color="auto" w:fill="FFFFFF"/>
            <w:tcMar>
              <w:top w:w="68" w:type="dxa"/>
              <w:left w:w="28" w:type="dxa"/>
              <w:bottom w:w="0" w:type="dxa"/>
              <w:right w:w="28" w:type="dxa"/>
            </w:tcMar>
            <w:hideMark/>
          </w:tcPr>
          <w:p w:rsidRPr="00FC2616" w:rsidR="00F35463" w:rsidP="00F35463" w:rsidRDefault="00F35463" w14:paraId="4AEEA3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7 898 482</w:t>
            </w:r>
          </w:p>
        </w:tc>
        <w:tc>
          <w:tcPr>
            <w:tcW w:w="1418" w:type="dxa"/>
            <w:shd w:val="clear" w:color="auto" w:fill="FFFFFF"/>
            <w:tcMar>
              <w:top w:w="68" w:type="dxa"/>
              <w:left w:w="28" w:type="dxa"/>
              <w:bottom w:w="0" w:type="dxa"/>
              <w:right w:w="28" w:type="dxa"/>
            </w:tcMar>
            <w:hideMark/>
          </w:tcPr>
          <w:p w:rsidRPr="00FC2616" w:rsidR="00F35463" w:rsidP="00F35463" w:rsidRDefault="00F35463" w14:paraId="3FFBF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5B2EFB73"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0FFF96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07F3E4F6"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47162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1500 Skatt på import</w:t>
            </w:r>
          </w:p>
        </w:tc>
        <w:tc>
          <w:tcPr>
            <w:tcW w:w="1418" w:type="dxa"/>
            <w:shd w:val="clear" w:color="auto" w:fill="FFFFFF"/>
            <w:tcMar>
              <w:top w:w="68" w:type="dxa"/>
              <w:left w:w="28" w:type="dxa"/>
              <w:bottom w:w="0" w:type="dxa"/>
              <w:right w:w="28" w:type="dxa"/>
            </w:tcMar>
            <w:hideMark/>
          </w:tcPr>
          <w:p w:rsidRPr="00FC2616" w:rsidR="00F35463" w:rsidP="00F35463" w:rsidRDefault="00F35463" w14:paraId="7CEE5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9 434 324</w:t>
            </w:r>
          </w:p>
        </w:tc>
        <w:tc>
          <w:tcPr>
            <w:tcW w:w="1418" w:type="dxa"/>
            <w:shd w:val="clear" w:color="auto" w:fill="FFFFFF"/>
            <w:tcMar>
              <w:top w:w="68" w:type="dxa"/>
              <w:left w:w="28" w:type="dxa"/>
              <w:bottom w:w="0" w:type="dxa"/>
              <w:right w:w="28" w:type="dxa"/>
            </w:tcMar>
            <w:hideMark/>
          </w:tcPr>
          <w:p w:rsidRPr="00FC2616" w:rsidR="00F35463" w:rsidP="00F35463" w:rsidRDefault="00F35463" w14:paraId="5FB398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4055302B"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32A35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5258A2AC"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1F25BA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418" w:type="dxa"/>
            <w:shd w:val="clear" w:color="auto" w:fill="FFFFFF"/>
            <w:tcMar>
              <w:top w:w="68" w:type="dxa"/>
              <w:left w:w="28" w:type="dxa"/>
              <w:bottom w:w="0" w:type="dxa"/>
              <w:right w:w="28" w:type="dxa"/>
            </w:tcMar>
            <w:hideMark/>
          </w:tcPr>
          <w:p w:rsidRPr="00FC2616" w:rsidR="00F35463" w:rsidP="00F35463" w:rsidRDefault="00F35463" w14:paraId="0575D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13 366 208</w:t>
            </w:r>
          </w:p>
        </w:tc>
        <w:tc>
          <w:tcPr>
            <w:tcW w:w="1418" w:type="dxa"/>
            <w:shd w:val="clear" w:color="auto" w:fill="FFFFFF"/>
            <w:tcMar>
              <w:top w:w="68" w:type="dxa"/>
              <w:left w:w="28" w:type="dxa"/>
              <w:bottom w:w="0" w:type="dxa"/>
              <w:right w:w="28" w:type="dxa"/>
            </w:tcMar>
            <w:hideMark/>
          </w:tcPr>
          <w:p w:rsidRPr="00FC2616" w:rsidR="00F35463" w:rsidP="00F35463" w:rsidRDefault="00F35463" w14:paraId="13DE4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2CC44947"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2D6592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2CF92F9B"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13BF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418" w:type="dxa"/>
            <w:shd w:val="clear" w:color="auto" w:fill="FFFFFF"/>
            <w:tcMar>
              <w:top w:w="68" w:type="dxa"/>
              <w:left w:w="28" w:type="dxa"/>
              <w:bottom w:w="0" w:type="dxa"/>
              <w:right w:w="28" w:type="dxa"/>
            </w:tcMar>
            <w:hideMark/>
          </w:tcPr>
          <w:p w:rsidRPr="00FC2616" w:rsidR="00F35463" w:rsidP="00F35463" w:rsidRDefault="00F35463" w14:paraId="74358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−9 434 324</w:t>
            </w:r>
          </w:p>
        </w:tc>
        <w:tc>
          <w:tcPr>
            <w:tcW w:w="1418" w:type="dxa"/>
            <w:shd w:val="clear" w:color="auto" w:fill="FFFFFF"/>
            <w:tcMar>
              <w:top w:w="68" w:type="dxa"/>
              <w:left w:w="28" w:type="dxa"/>
              <w:bottom w:w="0" w:type="dxa"/>
              <w:right w:w="28" w:type="dxa"/>
            </w:tcMar>
            <w:hideMark/>
          </w:tcPr>
          <w:p w:rsidRPr="00FC2616" w:rsidR="00F35463" w:rsidP="00F35463" w:rsidRDefault="00F35463" w14:paraId="44F959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2603C214"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6EA40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45D7E375"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9394D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418" w:type="dxa"/>
            <w:shd w:val="clear" w:color="auto" w:fill="FFFFFF"/>
            <w:tcMar>
              <w:top w:w="68" w:type="dxa"/>
              <w:left w:w="28" w:type="dxa"/>
              <w:bottom w:w="0" w:type="dxa"/>
              <w:right w:w="28" w:type="dxa"/>
            </w:tcMar>
            <w:hideMark/>
          </w:tcPr>
          <w:p w:rsidRPr="00FC2616" w:rsidR="00F35463" w:rsidP="00F35463" w:rsidRDefault="00F35463" w14:paraId="265B8E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2 544 709 024</w:t>
            </w:r>
          </w:p>
        </w:tc>
        <w:tc>
          <w:tcPr>
            <w:tcW w:w="1418" w:type="dxa"/>
            <w:shd w:val="clear" w:color="auto" w:fill="FFFFFF"/>
            <w:tcMar>
              <w:top w:w="68" w:type="dxa"/>
              <w:left w:w="28" w:type="dxa"/>
              <w:bottom w:w="0" w:type="dxa"/>
              <w:right w:w="28" w:type="dxa"/>
            </w:tcMar>
            <w:hideMark/>
          </w:tcPr>
          <w:p w:rsidRPr="00FC2616" w:rsidR="00F35463" w:rsidP="00F35463" w:rsidRDefault="00F35463" w14:paraId="216F4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75 125 000</w:t>
            </w:r>
          </w:p>
        </w:tc>
      </w:tr>
      <w:tr w:rsidRPr="00FC2616" w:rsidR="00F35463" w:rsidTr="00F35463" w14:paraId="100C7C85"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063DE8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42BB9693"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A11B8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418" w:type="dxa"/>
            <w:shd w:val="clear" w:color="auto" w:fill="FFFFFF"/>
            <w:tcMar>
              <w:top w:w="68" w:type="dxa"/>
              <w:left w:w="28" w:type="dxa"/>
              <w:bottom w:w="0" w:type="dxa"/>
              <w:right w:w="28" w:type="dxa"/>
            </w:tcMar>
            <w:hideMark/>
          </w:tcPr>
          <w:p w:rsidRPr="00FC2616" w:rsidR="00F35463" w:rsidP="00F35463" w:rsidRDefault="00F35463" w14:paraId="24EE8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−1 216 502 231</w:t>
            </w:r>
          </w:p>
        </w:tc>
        <w:tc>
          <w:tcPr>
            <w:tcW w:w="1418" w:type="dxa"/>
            <w:shd w:val="clear" w:color="auto" w:fill="FFFFFF"/>
            <w:tcMar>
              <w:top w:w="68" w:type="dxa"/>
              <w:left w:w="28" w:type="dxa"/>
              <w:bottom w:w="0" w:type="dxa"/>
              <w:right w:w="28" w:type="dxa"/>
            </w:tcMar>
            <w:hideMark/>
          </w:tcPr>
          <w:p w:rsidRPr="00FC2616" w:rsidR="00F35463" w:rsidP="00F35463" w:rsidRDefault="00F35463" w14:paraId="6D2F18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−12 600 000</w:t>
            </w:r>
          </w:p>
        </w:tc>
      </w:tr>
      <w:tr w:rsidRPr="00FC2616" w:rsidR="00F35463" w:rsidTr="00F35463" w14:paraId="71739C17"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318C61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lastRenderedPageBreak/>
              <w:t> </w:t>
            </w:r>
          </w:p>
        </w:tc>
      </w:tr>
      <w:tr w:rsidRPr="00FC2616" w:rsidR="00F35463" w:rsidTr="00F35463" w14:paraId="044538EC"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B3807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418" w:type="dxa"/>
            <w:shd w:val="clear" w:color="auto" w:fill="FFFFFF"/>
            <w:tcMar>
              <w:top w:w="68" w:type="dxa"/>
              <w:left w:w="28" w:type="dxa"/>
              <w:bottom w:w="0" w:type="dxa"/>
              <w:right w:w="28" w:type="dxa"/>
            </w:tcMar>
            <w:hideMark/>
          </w:tcPr>
          <w:p w:rsidRPr="00FC2616" w:rsidR="00F35463" w:rsidP="00F35463" w:rsidRDefault="00F35463" w14:paraId="2F950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1 328 206 793</w:t>
            </w:r>
          </w:p>
        </w:tc>
        <w:tc>
          <w:tcPr>
            <w:tcW w:w="1418" w:type="dxa"/>
            <w:shd w:val="clear" w:color="auto" w:fill="FFFFFF"/>
            <w:tcMar>
              <w:top w:w="68" w:type="dxa"/>
              <w:left w:w="28" w:type="dxa"/>
              <w:bottom w:w="0" w:type="dxa"/>
              <w:right w:w="28" w:type="dxa"/>
            </w:tcMar>
            <w:hideMark/>
          </w:tcPr>
          <w:p w:rsidRPr="00FC2616" w:rsidR="00F35463" w:rsidP="00F35463" w:rsidRDefault="00F35463" w14:paraId="041713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62 525 000</w:t>
            </w:r>
          </w:p>
        </w:tc>
      </w:tr>
      <w:tr w:rsidRPr="00FC2616" w:rsidR="00F35463" w:rsidTr="00F35463" w14:paraId="5C3D7D37"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6EA57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59C9240D"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DF99F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1900 Periodiseringar</w:t>
            </w:r>
          </w:p>
        </w:tc>
        <w:tc>
          <w:tcPr>
            <w:tcW w:w="1418" w:type="dxa"/>
            <w:shd w:val="clear" w:color="auto" w:fill="FFFFFF"/>
            <w:tcMar>
              <w:top w:w="68" w:type="dxa"/>
              <w:left w:w="28" w:type="dxa"/>
              <w:bottom w:w="0" w:type="dxa"/>
              <w:right w:w="28" w:type="dxa"/>
            </w:tcMar>
            <w:hideMark/>
          </w:tcPr>
          <w:p w:rsidRPr="00FC2616" w:rsidR="00F35463" w:rsidP="00F35463" w:rsidRDefault="00F35463" w14:paraId="2C7B94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−15 533 163</w:t>
            </w:r>
          </w:p>
        </w:tc>
        <w:tc>
          <w:tcPr>
            <w:tcW w:w="1418" w:type="dxa"/>
            <w:shd w:val="clear" w:color="auto" w:fill="FFFFFF"/>
            <w:tcMar>
              <w:top w:w="68" w:type="dxa"/>
              <w:left w:w="28" w:type="dxa"/>
              <w:bottom w:w="0" w:type="dxa"/>
              <w:right w:w="28" w:type="dxa"/>
            </w:tcMar>
            <w:hideMark/>
          </w:tcPr>
          <w:p w:rsidRPr="00FC2616" w:rsidR="00F35463" w:rsidP="00F35463" w:rsidRDefault="00F35463" w14:paraId="1BEFCE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7EDB287F"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1478F1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31679AE1"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8AD7D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1000 Statens skatteinkomster</w:t>
            </w:r>
          </w:p>
        </w:tc>
        <w:tc>
          <w:tcPr>
            <w:tcW w:w="1418" w:type="dxa"/>
            <w:shd w:val="clear" w:color="auto" w:fill="FFFFFF"/>
            <w:tcMar>
              <w:top w:w="68" w:type="dxa"/>
              <w:left w:w="28" w:type="dxa"/>
              <w:bottom w:w="0" w:type="dxa"/>
              <w:right w:w="28" w:type="dxa"/>
            </w:tcMar>
            <w:hideMark/>
          </w:tcPr>
          <w:p w:rsidRPr="00FC2616" w:rsidR="00F35463" w:rsidP="00F35463" w:rsidRDefault="00F35463" w14:paraId="72A18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1 312 673 630</w:t>
            </w:r>
          </w:p>
        </w:tc>
        <w:tc>
          <w:tcPr>
            <w:tcW w:w="1418" w:type="dxa"/>
            <w:shd w:val="clear" w:color="auto" w:fill="FFFFFF"/>
            <w:tcMar>
              <w:top w:w="68" w:type="dxa"/>
              <w:left w:w="28" w:type="dxa"/>
              <w:bottom w:w="0" w:type="dxa"/>
              <w:right w:w="28" w:type="dxa"/>
            </w:tcMar>
            <w:hideMark/>
          </w:tcPr>
          <w:p w:rsidRPr="00FC2616" w:rsidR="00F35463" w:rsidP="00F35463" w:rsidRDefault="00F35463" w14:paraId="3AA04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62 525 000</w:t>
            </w:r>
          </w:p>
        </w:tc>
      </w:tr>
      <w:tr w:rsidRPr="00FC2616" w:rsidR="00F35463" w:rsidTr="00F35463" w14:paraId="0DBDE30F"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6EAD6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34B39A94"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8BC6B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418" w:type="dxa"/>
            <w:shd w:val="clear" w:color="auto" w:fill="FFFFFF"/>
            <w:tcMar>
              <w:top w:w="68" w:type="dxa"/>
              <w:left w:w="28" w:type="dxa"/>
              <w:bottom w:w="0" w:type="dxa"/>
              <w:right w:w="28" w:type="dxa"/>
            </w:tcMar>
            <w:hideMark/>
          </w:tcPr>
          <w:p w:rsidRPr="00FC2616" w:rsidR="00F35463" w:rsidP="00F35463" w:rsidRDefault="00F35463" w14:paraId="7F8337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−33 200 417</w:t>
            </w:r>
          </w:p>
        </w:tc>
        <w:tc>
          <w:tcPr>
            <w:tcW w:w="1418" w:type="dxa"/>
            <w:shd w:val="clear" w:color="auto" w:fill="FFFFFF"/>
            <w:tcMar>
              <w:top w:w="68" w:type="dxa"/>
              <w:left w:w="28" w:type="dxa"/>
              <w:bottom w:w="0" w:type="dxa"/>
              <w:right w:w="28" w:type="dxa"/>
            </w:tcMar>
            <w:hideMark/>
          </w:tcPr>
          <w:p w:rsidRPr="00FC2616" w:rsidR="00F35463" w:rsidP="00F35463" w:rsidRDefault="00F35463" w14:paraId="67F172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600 000</w:t>
            </w:r>
          </w:p>
        </w:tc>
      </w:tr>
      <w:tr w:rsidRPr="00FC2616" w:rsidR="00F35463" w:rsidTr="00F35463" w14:paraId="065346E0"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693DE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745949E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3D2C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418" w:type="dxa"/>
            <w:shd w:val="clear" w:color="auto" w:fill="FFFFFF"/>
            <w:tcMar>
              <w:top w:w="68" w:type="dxa"/>
              <w:left w:w="28" w:type="dxa"/>
              <w:bottom w:w="0" w:type="dxa"/>
              <w:right w:w="28" w:type="dxa"/>
            </w:tcMar>
            <w:hideMark/>
          </w:tcPr>
          <w:p w:rsidRPr="00FC2616" w:rsidR="00F35463" w:rsidP="00F35463" w:rsidRDefault="00F35463" w14:paraId="07CD6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42 613 203</w:t>
            </w:r>
          </w:p>
        </w:tc>
        <w:tc>
          <w:tcPr>
            <w:tcW w:w="1418" w:type="dxa"/>
            <w:shd w:val="clear" w:color="auto" w:fill="FFFFFF"/>
            <w:tcMar>
              <w:top w:w="68" w:type="dxa"/>
              <w:left w:w="28" w:type="dxa"/>
              <w:bottom w:w="0" w:type="dxa"/>
              <w:right w:w="28" w:type="dxa"/>
            </w:tcMar>
            <w:hideMark/>
          </w:tcPr>
          <w:p w:rsidRPr="00FC2616" w:rsidR="00F35463" w:rsidP="00F35463" w:rsidRDefault="00F35463" w14:paraId="6E23F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600 000</w:t>
            </w:r>
          </w:p>
        </w:tc>
      </w:tr>
      <w:tr w:rsidRPr="00FC2616" w:rsidR="00F35463" w:rsidTr="00F35463" w14:paraId="357FF02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20756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418" w:type="dxa"/>
            <w:shd w:val="clear" w:color="auto" w:fill="FFFFFF"/>
            <w:tcMar>
              <w:top w:w="68" w:type="dxa"/>
              <w:left w:w="28" w:type="dxa"/>
              <w:bottom w:w="0" w:type="dxa"/>
              <w:right w:w="28" w:type="dxa"/>
            </w:tcMar>
            <w:hideMark/>
          </w:tcPr>
          <w:p w:rsidRPr="00FC2616" w:rsidR="00F35463" w:rsidP="00F35463" w:rsidRDefault="00F35463" w14:paraId="539E71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5 000 000</w:t>
            </w:r>
          </w:p>
        </w:tc>
        <w:tc>
          <w:tcPr>
            <w:tcW w:w="1418" w:type="dxa"/>
            <w:shd w:val="clear" w:color="auto" w:fill="FFFFFF"/>
            <w:tcMar>
              <w:top w:w="68" w:type="dxa"/>
              <w:left w:w="28" w:type="dxa"/>
              <w:bottom w:w="0" w:type="dxa"/>
              <w:right w:w="28" w:type="dxa"/>
            </w:tcMar>
            <w:hideMark/>
          </w:tcPr>
          <w:p w:rsidRPr="00FC2616" w:rsidR="00F35463" w:rsidP="00F35463" w:rsidRDefault="00F35463" w14:paraId="0078C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23F47967"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82D15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4000 Återbetalning av lån</w:t>
            </w:r>
          </w:p>
        </w:tc>
        <w:tc>
          <w:tcPr>
            <w:tcW w:w="1418" w:type="dxa"/>
            <w:shd w:val="clear" w:color="auto" w:fill="FFFFFF"/>
            <w:tcMar>
              <w:top w:w="68" w:type="dxa"/>
              <w:left w:w="28" w:type="dxa"/>
              <w:bottom w:w="0" w:type="dxa"/>
              <w:right w:w="28" w:type="dxa"/>
            </w:tcMar>
            <w:hideMark/>
          </w:tcPr>
          <w:p w:rsidRPr="00FC2616" w:rsidR="00F35463" w:rsidP="00F35463" w:rsidRDefault="00F35463" w14:paraId="44928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527 980</w:t>
            </w:r>
          </w:p>
        </w:tc>
        <w:tc>
          <w:tcPr>
            <w:tcW w:w="1418" w:type="dxa"/>
            <w:shd w:val="clear" w:color="auto" w:fill="FFFFFF"/>
            <w:tcMar>
              <w:top w:w="68" w:type="dxa"/>
              <w:left w:w="28" w:type="dxa"/>
              <w:bottom w:w="0" w:type="dxa"/>
              <w:right w:w="28" w:type="dxa"/>
            </w:tcMar>
            <w:hideMark/>
          </w:tcPr>
          <w:p w:rsidRPr="00FC2616" w:rsidR="00F35463" w:rsidP="00F35463" w:rsidRDefault="00F35463" w14:paraId="44FFC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049C476D"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4E22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5000 Kalkylmässiga inkomster</w:t>
            </w:r>
          </w:p>
        </w:tc>
        <w:tc>
          <w:tcPr>
            <w:tcW w:w="1418" w:type="dxa"/>
            <w:shd w:val="clear" w:color="auto" w:fill="FFFFFF"/>
            <w:tcMar>
              <w:top w:w="68" w:type="dxa"/>
              <w:left w:w="28" w:type="dxa"/>
              <w:bottom w:w="0" w:type="dxa"/>
              <w:right w:w="28" w:type="dxa"/>
            </w:tcMar>
            <w:hideMark/>
          </w:tcPr>
          <w:p w:rsidRPr="00FC2616" w:rsidR="00F35463" w:rsidP="00F35463" w:rsidRDefault="00F35463" w14:paraId="2333E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19 134 000</w:t>
            </w:r>
          </w:p>
        </w:tc>
        <w:tc>
          <w:tcPr>
            <w:tcW w:w="1418" w:type="dxa"/>
            <w:shd w:val="clear" w:color="auto" w:fill="FFFFFF"/>
            <w:tcMar>
              <w:top w:w="68" w:type="dxa"/>
              <w:left w:w="28" w:type="dxa"/>
              <w:bottom w:w="0" w:type="dxa"/>
              <w:right w:w="28" w:type="dxa"/>
            </w:tcMar>
            <w:hideMark/>
          </w:tcPr>
          <w:p w:rsidRPr="00FC2616" w:rsidR="00F35463" w:rsidP="00F35463" w:rsidRDefault="00F35463" w14:paraId="185B60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67A0EF16"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A6CDC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6000 Bidrag m.m. från EU</w:t>
            </w:r>
          </w:p>
        </w:tc>
        <w:tc>
          <w:tcPr>
            <w:tcW w:w="1418" w:type="dxa"/>
            <w:shd w:val="clear" w:color="auto" w:fill="FFFFFF"/>
            <w:tcMar>
              <w:top w:w="68" w:type="dxa"/>
              <w:left w:w="28" w:type="dxa"/>
              <w:bottom w:w="0" w:type="dxa"/>
              <w:right w:w="28" w:type="dxa"/>
            </w:tcMar>
            <w:hideMark/>
          </w:tcPr>
          <w:p w:rsidRPr="00FC2616" w:rsidR="00F35463" w:rsidP="00F35463" w:rsidRDefault="00F35463" w14:paraId="3D585F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32 477 456</w:t>
            </w:r>
          </w:p>
        </w:tc>
        <w:tc>
          <w:tcPr>
            <w:tcW w:w="1418" w:type="dxa"/>
            <w:shd w:val="clear" w:color="auto" w:fill="FFFFFF"/>
            <w:tcMar>
              <w:top w:w="68" w:type="dxa"/>
              <w:left w:w="28" w:type="dxa"/>
              <w:bottom w:w="0" w:type="dxa"/>
              <w:right w:w="28" w:type="dxa"/>
            </w:tcMar>
            <w:hideMark/>
          </w:tcPr>
          <w:p w:rsidRPr="00FC2616" w:rsidR="00F35463" w:rsidP="00F35463" w:rsidRDefault="00F35463" w14:paraId="02613E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3A3B6DA2"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2400F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418" w:type="dxa"/>
            <w:shd w:val="clear" w:color="auto" w:fill="FFFFFF"/>
            <w:tcMar>
              <w:top w:w="68" w:type="dxa"/>
              <w:left w:w="28" w:type="dxa"/>
              <w:bottom w:w="0" w:type="dxa"/>
              <w:right w:w="28" w:type="dxa"/>
            </w:tcMar>
            <w:hideMark/>
          </w:tcPr>
          <w:p w:rsidRPr="00FC2616" w:rsidR="00F35463" w:rsidP="00F35463" w:rsidRDefault="00F35463" w14:paraId="554E20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−132 953 056</w:t>
            </w:r>
          </w:p>
        </w:tc>
        <w:tc>
          <w:tcPr>
            <w:tcW w:w="1418" w:type="dxa"/>
            <w:shd w:val="clear" w:color="auto" w:fill="FFFFFF"/>
            <w:tcMar>
              <w:top w:w="68" w:type="dxa"/>
              <w:left w:w="28" w:type="dxa"/>
              <w:bottom w:w="0" w:type="dxa"/>
              <w:right w:w="28" w:type="dxa"/>
            </w:tcMar>
            <w:hideMark/>
          </w:tcPr>
          <w:p w:rsidRPr="00FC2616" w:rsidR="00F35463" w:rsidP="00F35463" w:rsidRDefault="00F35463" w14:paraId="31523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BE12BD" w14:paraId="7374D8AE"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14E9A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418" w:type="dxa"/>
            <w:shd w:val="clear" w:color="auto" w:fill="FFFFFF"/>
            <w:tcMar>
              <w:top w:w="68" w:type="dxa"/>
              <w:left w:w="28" w:type="dxa"/>
              <w:bottom w:w="0" w:type="dxa"/>
              <w:right w:w="28" w:type="dxa"/>
            </w:tcMar>
            <w:vAlign w:val="bottom"/>
            <w:hideMark/>
          </w:tcPr>
          <w:p w:rsidRPr="00FC2616" w:rsidR="00F35463" w:rsidP="00BE12BD" w:rsidRDefault="00F35463" w14:paraId="64017E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C2616" w:rsidR="00F35463" w:rsidP="00BE12BD" w:rsidRDefault="00F35463" w14:paraId="285C2E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4DA5D74E"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35463" w:rsidP="00F35463" w:rsidRDefault="00F35463" w14:paraId="64A98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35463" w:rsidP="00F35463" w:rsidRDefault="00F35463" w14:paraId="577B9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1 279 473 213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35463" w:rsidP="00F35463" w:rsidRDefault="00F35463" w14:paraId="3A89A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63 125 000</w:t>
            </w:r>
          </w:p>
        </w:tc>
      </w:tr>
    </w:tbl>
    <w:p w:rsidRPr="002E1E8F" w:rsidR="00F35463" w:rsidP="002E1E8F" w:rsidRDefault="00F35463" w14:paraId="22E62D03" w14:textId="552BCF8A">
      <w:pPr>
        <w:pStyle w:val="Tabellrubrik"/>
        <w:spacing w:before="300"/>
      </w:pPr>
      <w:r w:rsidRPr="002E1E8F">
        <w:t xml:space="preserve">Tabell </w:t>
      </w:r>
      <w:r w:rsidRPr="002E1E8F" w:rsidR="0008121C">
        <w:t>18</w:t>
      </w:r>
      <w:r w:rsidRPr="002E1E8F">
        <w:t xml:space="preserve"> Beräkning av statsbudgetens inkomster 2024</w:t>
      </w:r>
      <w:r w:rsidRPr="002E1E8F" w:rsidR="00D81DD2">
        <w:t>–</w:t>
      </w:r>
      <w:r w:rsidRPr="002E1E8F">
        <w:t>2025 </w:t>
      </w:r>
    </w:p>
    <w:p w:rsidRPr="002E1E8F" w:rsidR="00F35463" w:rsidP="002E1E8F" w:rsidRDefault="00F35463" w14:paraId="7359A45A" w14:textId="77777777">
      <w:pPr>
        <w:pStyle w:val="Tabellunderrubrik"/>
      </w:pPr>
      <w:r w:rsidRPr="002E1E8F">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FC2616" w:rsidR="00F35463" w:rsidTr="00787D6C" w14:paraId="4679B4DC" w14:textId="77777777">
        <w:trPr>
          <w:trHeight w:val="170"/>
          <w:tblHeader/>
        </w:trPr>
        <w:tc>
          <w:tcPr>
            <w:tcW w:w="41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35463" w:rsidP="00F35463" w:rsidRDefault="00F35463" w14:paraId="51030F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Inkomsttitel</w:t>
            </w:r>
          </w:p>
        </w:tc>
        <w:tc>
          <w:tcPr>
            <w:tcW w:w="141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FC2616" w:rsidR="00F35463" w:rsidP="002E1E8F" w:rsidRDefault="00F35463" w14:paraId="7D83DB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Avvikelse från regeringen</w:t>
            </w:r>
          </w:p>
        </w:tc>
      </w:tr>
      <w:tr w:rsidRPr="00FC2616" w:rsidR="00F35463" w:rsidTr="00787D6C" w14:paraId="2F9C4F74"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C2616" w:rsidR="00F35463" w:rsidP="00F35463" w:rsidRDefault="00F35463" w14:paraId="461C4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35463" w:rsidP="00F35463" w:rsidRDefault="00F35463" w14:paraId="45E22D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35463" w:rsidP="00F35463" w:rsidRDefault="00F35463" w14:paraId="10F8B0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2025</w:t>
            </w:r>
          </w:p>
        </w:tc>
      </w:tr>
      <w:tr w:rsidRPr="00FC2616" w:rsidR="00F35463" w:rsidTr="00F35463" w14:paraId="718C798F"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1AA0D5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134" w:type="dxa"/>
            <w:shd w:val="clear" w:color="auto" w:fill="FFFFFF"/>
            <w:tcMar>
              <w:top w:w="68" w:type="dxa"/>
              <w:left w:w="28" w:type="dxa"/>
              <w:bottom w:w="0" w:type="dxa"/>
              <w:right w:w="28" w:type="dxa"/>
            </w:tcMar>
            <w:hideMark/>
          </w:tcPr>
          <w:p w:rsidRPr="00FC2616" w:rsidR="00F35463" w:rsidP="00F35463" w:rsidRDefault="00F35463" w14:paraId="272B90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192 610</w:t>
            </w:r>
          </w:p>
        </w:tc>
        <w:tc>
          <w:tcPr>
            <w:tcW w:w="1134" w:type="dxa"/>
            <w:shd w:val="clear" w:color="auto" w:fill="FFFFFF"/>
            <w:tcMar>
              <w:top w:w="68" w:type="dxa"/>
              <w:left w:w="28" w:type="dxa"/>
              <w:bottom w:w="0" w:type="dxa"/>
              <w:right w:w="28" w:type="dxa"/>
            </w:tcMar>
            <w:hideMark/>
          </w:tcPr>
          <w:p w:rsidRPr="00FC2616" w:rsidR="00F35463" w:rsidP="00F35463" w:rsidRDefault="00F35463" w14:paraId="4D5FD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205 155</w:t>
            </w:r>
          </w:p>
        </w:tc>
      </w:tr>
      <w:tr w:rsidRPr="00FC2616" w:rsidR="00F35463" w:rsidTr="00F35463" w14:paraId="20D7FD0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5205D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1111 Statlig inkomstskatt</w:t>
            </w:r>
          </w:p>
        </w:tc>
        <w:tc>
          <w:tcPr>
            <w:tcW w:w="1134" w:type="dxa"/>
            <w:shd w:val="clear" w:color="auto" w:fill="FFFFFF"/>
            <w:tcMar>
              <w:top w:w="68" w:type="dxa"/>
              <w:left w:w="28" w:type="dxa"/>
              <w:bottom w:w="0" w:type="dxa"/>
              <w:right w:w="28" w:type="dxa"/>
            </w:tcMar>
            <w:hideMark/>
          </w:tcPr>
          <w:p w:rsidRPr="00FC2616" w:rsidR="00F35463" w:rsidP="00F35463" w:rsidRDefault="00F35463" w14:paraId="35A2A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20 900</w:t>
            </w:r>
          </w:p>
        </w:tc>
        <w:tc>
          <w:tcPr>
            <w:tcW w:w="1134" w:type="dxa"/>
            <w:shd w:val="clear" w:color="auto" w:fill="FFFFFF"/>
            <w:tcMar>
              <w:top w:w="68" w:type="dxa"/>
              <w:left w:w="28" w:type="dxa"/>
              <w:bottom w:w="0" w:type="dxa"/>
              <w:right w:w="28" w:type="dxa"/>
            </w:tcMar>
            <w:hideMark/>
          </w:tcPr>
          <w:p w:rsidRPr="00FC2616" w:rsidR="00F35463" w:rsidP="00F35463" w:rsidRDefault="00F35463" w14:paraId="3C90F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21 945</w:t>
            </w:r>
          </w:p>
        </w:tc>
      </w:tr>
      <w:tr w:rsidRPr="00FC2616" w:rsidR="00F35463" w:rsidTr="00F35463" w14:paraId="0CE00EEA"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1912F5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1115 Kommunal inkomstskatt</w:t>
            </w:r>
          </w:p>
        </w:tc>
        <w:tc>
          <w:tcPr>
            <w:tcW w:w="1134" w:type="dxa"/>
            <w:shd w:val="clear" w:color="auto" w:fill="FFFFFF"/>
            <w:tcMar>
              <w:top w:w="68" w:type="dxa"/>
              <w:left w:w="28" w:type="dxa"/>
              <w:bottom w:w="0" w:type="dxa"/>
              <w:right w:w="28" w:type="dxa"/>
            </w:tcMar>
            <w:hideMark/>
          </w:tcPr>
          <w:p w:rsidRPr="00FC2616" w:rsidR="00F35463" w:rsidP="00F35463" w:rsidRDefault="00F35463" w14:paraId="075652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21 010</w:t>
            </w:r>
          </w:p>
        </w:tc>
        <w:tc>
          <w:tcPr>
            <w:tcW w:w="1134" w:type="dxa"/>
            <w:shd w:val="clear" w:color="auto" w:fill="FFFFFF"/>
            <w:tcMar>
              <w:top w:w="68" w:type="dxa"/>
              <w:left w:w="28" w:type="dxa"/>
              <w:bottom w:w="0" w:type="dxa"/>
              <w:right w:w="28" w:type="dxa"/>
            </w:tcMar>
            <w:hideMark/>
          </w:tcPr>
          <w:p w:rsidRPr="00FC2616" w:rsidR="00F35463" w:rsidP="00F35463" w:rsidRDefault="00F35463" w14:paraId="15B99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25 210</w:t>
            </w:r>
          </w:p>
        </w:tc>
      </w:tr>
      <w:tr w:rsidRPr="00FC2616" w:rsidR="00F35463" w:rsidTr="00F35463" w14:paraId="2B668C9D"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AA8E5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1120 Allmän pensionsavgift</w:t>
            </w:r>
          </w:p>
        </w:tc>
        <w:tc>
          <w:tcPr>
            <w:tcW w:w="1134" w:type="dxa"/>
            <w:shd w:val="clear" w:color="auto" w:fill="FFFFFF"/>
            <w:tcMar>
              <w:top w:w="68" w:type="dxa"/>
              <w:left w:w="28" w:type="dxa"/>
              <w:bottom w:w="0" w:type="dxa"/>
              <w:right w:w="28" w:type="dxa"/>
            </w:tcMar>
            <w:hideMark/>
          </w:tcPr>
          <w:p w:rsidRPr="00FC2616" w:rsidR="00F35463" w:rsidP="00F35463" w:rsidRDefault="00F35463" w14:paraId="0C67E6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0901F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46D89BBC"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182D30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1130 Artistskatt</w:t>
            </w:r>
          </w:p>
        </w:tc>
        <w:tc>
          <w:tcPr>
            <w:tcW w:w="1134" w:type="dxa"/>
            <w:shd w:val="clear" w:color="auto" w:fill="FFFFFF"/>
            <w:tcMar>
              <w:top w:w="68" w:type="dxa"/>
              <w:left w:w="28" w:type="dxa"/>
              <w:bottom w:w="0" w:type="dxa"/>
              <w:right w:w="28" w:type="dxa"/>
            </w:tcMar>
            <w:hideMark/>
          </w:tcPr>
          <w:p w:rsidRPr="00FC2616" w:rsidR="00F35463" w:rsidP="00F35463" w:rsidRDefault="00F35463" w14:paraId="18BC2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04AEF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7CB5C4E0"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EDB5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1140 Skattereduktioner</w:t>
            </w:r>
          </w:p>
        </w:tc>
        <w:tc>
          <w:tcPr>
            <w:tcW w:w="1134" w:type="dxa"/>
            <w:shd w:val="clear" w:color="auto" w:fill="FFFFFF"/>
            <w:tcMar>
              <w:top w:w="68" w:type="dxa"/>
              <w:left w:w="28" w:type="dxa"/>
              <w:bottom w:w="0" w:type="dxa"/>
              <w:right w:w="28" w:type="dxa"/>
            </w:tcMar>
            <w:hideMark/>
          </w:tcPr>
          <w:p w:rsidRPr="00FC2616" w:rsidR="00F35463" w:rsidP="00F35463" w:rsidRDefault="00F35463" w14:paraId="40AE4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150 700</w:t>
            </w:r>
          </w:p>
        </w:tc>
        <w:tc>
          <w:tcPr>
            <w:tcW w:w="1134" w:type="dxa"/>
            <w:shd w:val="clear" w:color="auto" w:fill="FFFFFF"/>
            <w:tcMar>
              <w:top w:w="68" w:type="dxa"/>
              <w:left w:w="28" w:type="dxa"/>
              <w:bottom w:w="0" w:type="dxa"/>
              <w:right w:w="28" w:type="dxa"/>
            </w:tcMar>
            <w:hideMark/>
          </w:tcPr>
          <w:p w:rsidRPr="00FC2616" w:rsidR="00F35463" w:rsidP="00F35463" w:rsidRDefault="00F35463" w14:paraId="7830A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158 000</w:t>
            </w:r>
          </w:p>
        </w:tc>
      </w:tr>
      <w:tr w:rsidRPr="00FC2616" w:rsidR="00F35463" w:rsidTr="00F35463" w14:paraId="3BC81E7B"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644EBD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6D762C7E"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74625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134" w:type="dxa"/>
            <w:shd w:val="clear" w:color="auto" w:fill="FFFFFF"/>
            <w:tcMar>
              <w:top w:w="68" w:type="dxa"/>
              <w:left w:w="28" w:type="dxa"/>
              <w:bottom w:w="0" w:type="dxa"/>
              <w:right w:w="28" w:type="dxa"/>
            </w:tcMar>
            <w:hideMark/>
          </w:tcPr>
          <w:p w:rsidRPr="00FC2616" w:rsidR="00F35463" w:rsidP="00F35463" w:rsidRDefault="00F35463" w14:paraId="29234B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−152 130</w:t>
            </w:r>
          </w:p>
        </w:tc>
        <w:tc>
          <w:tcPr>
            <w:tcW w:w="1134" w:type="dxa"/>
            <w:shd w:val="clear" w:color="auto" w:fill="FFFFFF"/>
            <w:tcMar>
              <w:top w:w="68" w:type="dxa"/>
              <w:left w:w="28" w:type="dxa"/>
              <w:bottom w:w="0" w:type="dxa"/>
              <w:right w:w="28" w:type="dxa"/>
            </w:tcMar>
            <w:hideMark/>
          </w:tcPr>
          <w:p w:rsidRPr="00FC2616" w:rsidR="00F35463" w:rsidP="00F35463" w:rsidRDefault="00F35463" w14:paraId="4A139C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−166 030</w:t>
            </w:r>
          </w:p>
        </w:tc>
      </w:tr>
      <w:tr w:rsidRPr="00FC2616" w:rsidR="00F35463" w:rsidTr="00F35463" w14:paraId="6270242D"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6995C5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1210 Arbetsgivaravgifter</w:t>
            </w:r>
          </w:p>
        </w:tc>
        <w:tc>
          <w:tcPr>
            <w:tcW w:w="1134" w:type="dxa"/>
            <w:shd w:val="clear" w:color="auto" w:fill="FFFFFF"/>
            <w:tcMar>
              <w:top w:w="68" w:type="dxa"/>
              <w:left w:w="28" w:type="dxa"/>
              <w:bottom w:w="0" w:type="dxa"/>
              <w:right w:w="28" w:type="dxa"/>
            </w:tcMar>
            <w:hideMark/>
          </w:tcPr>
          <w:p w:rsidRPr="00FC2616" w:rsidR="00F35463" w:rsidP="00F35463" w:rsidRDefault="00F35463" w14:paraId="31D6D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−151 930</w:t>
            </w:r>
          </w:p>
        </w:tc>
        <w:tc>
          <w:tcPr>
            <w:tcW w:w="1134" w:type="dxa"/>
            <w:shd w:val="clear" w:color="auto" w:fill="FFFFFF"/>
            <w:tcMar>
              <w:top w:w="68" w:type="dxa"/>
              <w:left w:w="28" w:type="dxa"/>
              <w:bottom w:w="0" w:type="dxa"/>
              <w:right w:w="28" w:type="dxa"/>
            </w:tcMar>
            <w:hideMark/>
          </w:tcPr>
          <w:p w:rsidRPr="00FC2616" w:rsidR="00F35463" w:rsidP="00F35463" w:rsidRDefault="00F35463" w14:paraId="1AA261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−165 830</w:t>
            </w:r>
          </w:p>
        </w:tc>
      </w:tr>
      <w:tr w:rsidRPr="00FC2616" w:rsidR="00F35463" w:rsidTr="00F35463" w14:paraId="213D4BE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328B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1240 Egenavgifter</w:t>
            </w:r>
          </w:p>
        </w:tc>
        <w:tc>
          <w:tcPr>
            <w:tcW w:w="1134" w:type="dxa"/>
            <w:shd w:val="clear" w:color="auto" w:fill="FFFFFF"/>
            <w:tcMar>
              <w:top w:w="68" w:type="dxa"/>
              <w:left w:w="28" w:type="dxa"/>
              <w:bottom w:w="0" w:type="dxa"/>
              <w:right w:w="28" w:type="dxa"/>
            </w:tcMar>
            <w:hideMark/>
          </w:tcPr>
          <w:p w:rsidRPr="00FC2616" w:rsidR="00F35463" w:rsidP="00F35463" w:rsidRDefault="00F35463" w14:paraId="4B11D7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067A69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470797EF"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795FB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134" w:type="dxa"/>
            <w:shd w:val="clear" w:color="auto" w:fill="FFFFFF"/>
            <w:tcMar>
              <w:top w:w="68" w:type="dxa"/>
              <w:left w:w="28" w:type="dxa"/>
              <w:bottom w:w="0" w:type="dxa"/>
              <w:right w:w="28" w:type="dxa"/>
            </w:tcMar>
            <w:hideMark/>
          </w:tcPr>
          <w:p w:rsidRPr="00FC2616" w:rsidR="00F35463" w:rsidP="00F35463" w:rsidRDefault="00F35463" w14:paraId="5FE58B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−200</w:t>
            </w:r>
          </w:p>
        </w:tc>
        <w:tc>
          <w:tcPr>
            <w:tcW w:w="1134" w:type="dxa"/>
            <w:shd w:val="clear" w:color="auto" w:fill="FFFFFF"/>
            <w:tcMar>
              <w:top w:w="68" w:type="dxa"/>
              <w:left w:w="28" w:type="dxa"/>
              <w:bottom w:w="0" w:type="dxa"/>
              <w:right w:w="28" w:type="dxa"/>
            </w:tcMar>
            <w:hideMark/>
          </w:tcPr>
          <w:p w:rsidRPr="00FC2616" w:rsidR="00F35463" w:rsidP="00F35463" w:rsidRDefault="00F35463" w14:paraId="0418D0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−200</w:t>
            </w:r>
          </w:p>
        </w:tc>
      </w:tr>
      <w:tr w:rsidRPr="00FC2616" w:rsidR="00F35463" w:rsidTr="00F35463" w14:paraId="1FF37A94"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95C8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1270 Särskild löneskatt</w:t>
            </w:r>
          </w:p>
        </w:tc>
        <w:tc>
          <w:tcPr>
            <w:tcW w:w="1134" w:type="dxa"/>
            <w:shd w:val="clear" w:color="auto" w:fill="FFFFFF"/>
            <w:tcMar>
              <w:top w:w="68" w:type="dxa"/>
              <w:left w:w="28" w:type="dxa"/>
              <w:bottom w:w="0" w:type="dxa"/>
              <w:right w:w="28" w:type="dxa"/>
            </w:tcMar>
            <w:hideMark/>
          </w:tcPr>
          <w:p w:rsidRPr="00FC2616" w:rsidR="00F35463" w:rsidP="00F35463" w:rsidRDefault="00F35463" w14:paraId="3E891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2B4C0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3468BF48"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5AB23A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1280 Nedsättningar</w:t>
            </w:r>
          </w:p>
        </w:tc>
        <w:tc>
          <w:tcPr>
            <w:tcW w:w="1134" w:type="dxa"/>
            <w:shd w:val="clear" w:color="auto" w:fill="FFFFFF"/>
            <w:tcMar>
              <w:top w:w="68" w:type="dxa"/>
              <w:left w:w="28" w:type="dxa"/>
              <w:bottom w:w="0" w:type="dxa"/>
              <w:right w:w="28" w:type="dxa"/>
            </w:tcMar>
            <w:hideMark/>
          </w:tcPr>
          <w:p w:rsidRPr="00FC2616" w:rsidR="00F35463" w:rsidP="00F35463" w:rsidRDefault="00F35463" w14:paraId="027896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673D4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6FC38A5B"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17EF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1290 Tjänstegruppliv</w:t>
            </w:r>
          </w:p>
        </w:tc>
        <w:tc>
          <w:tcPr>
            <w:tcW w:w="1134" w:type="dxa"/>
            <w:shd w:val="clear" w:color="auto" w:fill="FFFFFF"/>
            <w:tcMar>
              <w:top w:w="68" w:type="dxa"/>
              <w:left w:w="28" w:type="dxa"/>
              <w:bottom w:w="0" w:type="dxa"/>
              <w:right w:w="28" w:type="dxa"/>
            </w:tcMar>
            <w:hideMark/>
          </w:tcPr>
          <w:p w:rsidRPr="00FC2616" w:rsidR="00F35463" w:rsidP="00F35463" w:rsidRDefault="00F35463" w14:paraId="6DE67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3E4B74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7AC71403"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3B9FC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684F7082"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257B9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1300 Skatt på kapital</w:t>
            </w:r>
          </w:p>
        </w:tc>
        <w:tc>
          <w:tcPr>
            <w:tcW w:w="1134" w:type="dxa"/>
            <w:shd w:val="clear" w:color="auto" w:fill="FFFFFF"/>
            <w:tcMar>
              <w:top w:w="68" w:type="dxa"/>
              <w:left w:w="28" w:type="dxa"/>
              <w:bottom w:w="0" w:type="dxa"/>
              <w:right w:w="28" w:type="dxa"/>
            </w:tcMar>
            <w:hideMark/>
          </w:tcPr>
          <w:p w:rsidRPr="00FC2616" w:rsidR="00F35463" w:rsidP="00F35463" w:rsidRDefault="00F35463" w14:paraId="3A61A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26 540</w:t>
            </w:r>
          </w:p>
        </w:tc>
        <w:tc>
          <w:tcPr>
            <w:tcW w:w="1134" w:type="dxa"/>
            <w:shd w:val="clear" w:color="auto" w:fill="FFFFFF"/>
            <w:tcMar>
              <w:top w:w="68" w:type="dxa"/>
              <w:left w:w="28" w:type="dxa"/>
              <w:bottom w:w="0" w:type="dxa"/>
              <w:right w:w="28" w:type="dxa"/>
            </w:tcMar>
            <w:hideMark/>
          </w:tcPr>
          <w:p w:rsidRPr="00FC2616" w:rsidR="00F35463" w:rsidP="00F35463" w:rsidRDefault="00F35463" w14:paraId="4F5418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30 730</w:t>
            </w:r>
          </w:p>
        </w:tc>
      </w:tr>
      <w:tr w:rsidRPr="00FC2616" w:rsidR="00F35463" w:rsidTr="00F35463" w14:paraId="39C4651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A9C1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1310 Skatt på kapital, hushåll</w:t>
            </w:r>
          </w:p>
        </w:tc>
        <w:tc>
          <w:tcPr>
            <w:tcW w:w="1134" w:type="dxa"/>
            <w:shd w:val="clear" w:color="auto" w:fill="FFFFFF"/>
            <w:tcMar>
              <w:top w:w="68" w:type="dxa"/>
              <w:left w:w="28" w:type="dxa"/>
              <w:bottom w:w="0" w:type="dxa"/>
              <w:right w:w="28" w:type="dxa"/>
            </w:tcMar>
            <w:hideMark/>
          </w:tcPr>
          <w:p w:rsidRPr="00FC2616" w:rsidR="00F35463" w:rsidP="00F35463" w:rsidRDefault="00F35463" w14:paraId="61976B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23 720</w:t>
            </w:r>
          </w:p>
        </w:tc>
        <w:tc>
          <w:tcPr>
            <w:tcW w:w="1134" w:type="dxa"/>
            <w:shd w:val="clear" w:color="auto" w:fill="FFFFFF"/>
            <w:tcMar>
              <w:top w:w="68" w:type="dxa"/>
              <w:left w:w="28" w:type="dxa"/>
              <w:bottom w:w="0" w:type="dxa"/>
              <w:right w:w="28" w:type="dxa"/>
            </w:tcMar>
            <w:hideMark/>
          </w:tcPr>
          <w:p w:rsidRPr="00FC2616" w:rsidR="00F35463" w:rsidP="00F35463" w:rsidRDefault="00F35463" w14:paraId="08F1A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28 020</w:t>
            </w:r>
          </w:p>
        </w:tc>
      </w:tr>
      <w:tr w:rsidRPr="00FC2616" w:rsidR="00F35463" w:rsidTr="00F35463" w14:paraId="17C2F281"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E6751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1320 Skatt på företagsvinster</w:t>
            </w:r>
          </w:p>
        </w:tc>
        <w:tc>
          <w:tcPr>
            <w:tcW w:w="1134" w:type="dxa"/>
            <w:shd w:val="clear" w:color="auto" w:fill="FFFFFF"/>
            <w:tcMar>
              <w:top w:w="68" w:type="dxa"/>
              <w:left w:w="28" w:type="dxa"/>
              <w:bottom w:w="0" w:type="dxa"/>
              <w:right w:w="28" w:type="dxa"/>
            </w:tcMar>
            <w:hideMark/>
          </w:tcPr>
          <w:p w:rsidRPr="00FC2616" w:rsidR="00F35463" w:rsidP="00F35463" w:rsidRDefault="00F35463" w14:paraId="1CB986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−3 280</w:t>
            </w:r>
          </w:p>
        </w:tc>
        <w:tc>
          <w:tcPr>
            <w:tcW w:w="1134" w:type="dxa"/>
            <w:shd w:val="clear" w:color="auto" w:fill="FFFFFF"/>
            <w:tcMar>
              <w:top w:w="68" w:type="dxa"/>
              <w:left w:w="28" w:type="dxa"/>
              <w:bottom w:w="0" w:type="dxa"/>
              <w:right w:w="28" w:type="dxa"/>
            </w:tcMar>
            <w:hideMark/>
          </w:tcPr>
          <w:p w:rsidRPr="00FC2616" w:rsidR="00F35463" w:rsidP="00F35463" w:rsidRDefault="00F35463" w14:paraId="147641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−3 390</w:t>
            </w:r>
          </w:p>
        </w:tc>
      </w:tr>
      <w:tr w:rsidRPr="00FC2616" w:rsidR="00F35463" w:rsidTr="00F35463" w14:paraId="63A6FEB0"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2CDDF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1330 Kupongskatt</w:t>
            </w:r>
          </w:p>
        </w:tc>
        <w:tc>
          <w:tcPr>
            <w:tcW w:w="1134" w:type="dxa"/>
            <w:shd w:val="clear" w:color="auto" w:fill="FFFFFF"/>
            <w:tcMar>
              <w:top w:w="68" w:type="dxa"/>
              <w:left w:w="28" w:type="dxa"/>
              <w:bottom w:w="0" w:type="dxa"/>
              <w:right w:w="28" w:type="dxa"/>
            </w:tcMar>
            <w:hideMark/>
          </w:tcPr>
          <w:p w:rsidRPr="00FC2616" w:rsidR="00F35463" w:rsidP="00F35463" w:rsidRDefault="00F35463" w14:paraId="599E2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2317D0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3F3EE0C6"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1885A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1340 Avkastningsskatt</w:t>
            </w:r>
          </w:p>
        </w:tc>
        <w:tc>
          <w:tcPr>
            <w:tcW w:w="1134" w:type="dxa"/>
            <w:shd w:val="clear" w:color="auto" w:fill="FFFFFF"/>
            <w:tcMar>
              <w:top w:w="68" w:type="dxa"/>
              <w:left w:w="28" w:type="dxa"/>
              <w:bottom w:w="0" w:type="dxa"/>
              <w:right w:w="28" w:type="dxa"/>
            </w:tcMar>
            <w:hideMark/>
          </w:tcPr>
          <w:p w:rsidRPr="00FC2616" w:rsidR="00F35463" w:rsidP="00F35463" w:rsidRDefault="00F35463" w14:paraId="59BC6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2C5B22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294B2B20"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6A41E3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1350 Fastighetsskatt</w:t>
            </w:r>
          </w:p>
        </w:tc>
        <w:tc>
          <w:tcPr>
            <w:tcW w:w="1134" w:type="dxa"/>
            <w:shd w:val="clear" w:color="auto" w:fill="FFFFFF"/>
            <w:tcMar>
              <w:top w:w="68" w:type="dxa"/>
              <w:left w:w="28" w:type="dxa"/>
              <w:bottom w:w="0" w:type="dxa"/>
              <w:right w:w="28" w:type="dxa"/>
            </w:tcMar>
            <w:hideMark/>
          </w:tcPr>
          <w:p w:rsidRPr="00FC2616" w:rsidR="00F35463" w:rsidP="00F35463" w:rsidRDefault="00F35463" w14:paraId="7CCAEB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6 100</w:t>
            </w:r>
          </w:p>
        </w:tc>
        <w:tc>
          <w:tcPr>
            <w:tcW w:w="1134" w:type="dxa"/>
            <w:shd w:val="clear" w:color="auto" w:fill="FFFFFF"/>
            <w:tcMar>
              <w:top w:w="68" w:type="dxa"/>
              <w:left w:w="28" w:type="dxa"/>
              <w:bottom w:w="0" w:type="dxa"/>
              <w:right w:w="28" w:type="dxa"/>
            </w:tcMar>
            <w:hideMark/>
          </w:tcPr>
          <w:p w:rsidRPr="00FC2616" w:rsidR="00F35463" w:rsidP="00F35463" w:rsidRDefault="00F35463" w14:paraId="0FC23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6 100</w:t>
            </w:r>
          </w:p>
        </w:tc>
      </w:tr>
      <w:tr w:rsidRPr="00FC2616" w:rsidR="00F35463" w:rsidTr="00F35463" w14:paraId="795A4361"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3C23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1360 Stämpelskatt</w:t>
            </w:r>
          </w:p>
        </w:tc>
        <w:tc>
          <w:tcPr>
            <w:tcW w:w="1134" w:type="dxa"/>
            <w:shd w:val="clear" w:color="auto" w:fill="FFFFFF"/>
            <w:tcMar>
              <w:top w:w="68" w:type="dxa"/>
              <w:left w:w="28" w:type="dxa"/>
              <w:bottom w:w="0" w:type="dxa"/>
              <w:right w:w="28" w:type="dxa"/>
            </w:tcMar>
            <w:hideMark/>
          </w:tcPr>
          <w:p w:rsidRPr="00FC2616" w:rsidR="00F35463" w:rsidP="00F35463" w:rsidRDefault="00F35463" w14:paraId="0BC41D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7DB3E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389A8A1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16D7C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1390 Riskskatt för kreditinstitut</w:t>
            </w:r>
          </w:p>
        </w:tc>
        <w:tc>
          <w:tcPr>
            <w:tcW w:w="1134" w:type="dxa"/>
            <w:shd w:val="clear" w:color="auto" w:fill="FFFFFF"/>
            <w:tcMar>
              <w:top w:w="68" w:type="dxa"/>
              <w:left w:w="28" w:type="dxa"/>
              <w:bottom w:w="0" w:type="dxa"/>
              <w:right w:w="28" w:type="dxa"/>
            </w:tcMar>
            <w:hideMark/>
          </w:tcPr>
          <w:p w:rsidRPr="00FC2616" w:rsidR="00F35463" w:rsidP="00F35463" w:rsidRDefault="00F35463" w14:paraId="6EED4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20BAC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639B7CF3"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1BB0AA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lastRenderedPageBreak/>
              <w:t> </w:t>
            </w:r>
          </w:p>
        </w:tc>
      </w:tr>
      <w:tr w:rsidRPr="00FC2616" w:rsidR="00F35463" w:rsidTr="00F35463" w14:paraId="0490A66C"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5F1571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134" w:type="dxa"/>
            <w:shd w:val="clear" w:color="auto" w:fill="FFFFFF"/>
            <w:tcMar>
              <w:top w:w="68" w:type="dxa"/>
              <w:left w:w="28" w:type="dxa"/>
              <w:bottom w:w="0" w:type="dxa"/>
              <w:right w:w="28" w:type="dxa"/>
            </w:tcMar>
            <w:hideMark/>
          </w:tcPr>
          <w:p w:rsidRPr="00FC2616" w:rsidR="00F35463" w:rsidP="00F35463" w:rsidRDefault="00F35463" w14:paraId="54AE87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8 800</w:t>
            </w:r>
          </w:p>
        </w:tc>
        <w:tc>
          <w:tcPr>
            <w:tcW w:w="1134" w:type="dxa"/>
            <w:shd w:val="clear" w:color="auto" w:fill="FFFFFF"/>
            <w:tcMar>
              <w:top w:w="68" w:type="dxa"/>
              <w:left w:w="28" w:type="dxa"/>
              <w:bottom w:w="0" w:type="dxa"/>
              <w:right w:w="28" w:type="dxa"/>
            </w:tcMar>
            <w:hideMark/>
          </w:tcPr>
          <w:p w:rsidRPr="00FC2616" w:rsidR="00F35463" w:rsidP="00F35463" w:rsidRDefault="00F35463" w14:paraId="467EA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8 880</w:t>
            </w:r>
          </w:p>
        </w:tc>
      </w:tr>
      <w:tr w:rsidRPr="00FC2616" w:rsidR="00F35463" w:rsidTr="00F35463" w14:paraId="11A898CD"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C4D28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1410 Mervärdesskatt</w:t>
            </w:r>
          </w:p>
        </w:tc>
        <w:tc>
          <w:tcPr>
            <w:tcW w:w="1134" w:type="dxa"/>
            <w:shd w:val="clear" w:color="auto" w:fill="FFFFFF"/>
            <w:tcMar>
              <w:top w:w="68" w:type="dxa"/>
              <w:left w:w="28" w:type="dxa"/>
              <w:bottom w:w="0" w:type="dxa"/>
              <w:right w:w="28" w:type="dxa"/>
            </w:tcMar>
            <w:hideMark/>
          </w:tcPr>
          <w:p w:rsidRPr="00FC2616" w:rsidR="00F35463" w:rsidP="00F35463" w:rsidRDefault="00F35463" w14:paraId="771376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680</w:t>
            </w:r>
          </w:p>
        </w:tc>
        <w:tc>
          <w:tcPr>
            <w:tcW w:w="1134" w:type="dxa"/>
            <w:shd w:val="clear" w:color="auto" w:fill="FFFFFF"/>
            <w:tcMar>
              <w:top w:w="68" w:type="dxa"/>
              <w:left w:w="28" w:type="dxa"/>
              <w:bottom w:w="0" w:type="dxa"/>
              <w:right w:w="28" w:type="dxa"/>
            </w:tcMar>
            <w:hideMark/>
          </w:tcPr>
          <w:p w:rsidRPr="00FC2616" w:rsidR="00F35463" w:rsidP="00F35463" w:rsidRDefault="00F35463" w14:paraId="40A83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680</w:t>
            </w:r>
          </w:p>
        </w:tc>
      </w:tr>
      <w:tr w:rsidRPr="00FC2616" w:rsidR="00F35463" w:rsidTr="00F35463" w14:paraId="20C30A9C"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BFAAB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1420 Skatt på alkohol och tobak</w:t>
            </w:r>
          </w:p>
        </w:tc>
        <w:tc>
          <w:tcPr>
            <w:tcW w:w="1134" w:type="dxa"/>
            <w:shd w:val="clear" w:color="auto" w:fill="FFFFFF"/>
            <w:tcMar>
              <w:top w:w="68" w:type="dxa"/>
              <w:left w:w="28" w:type="dxa"/>
              <w:bottom w:w="0" w:type="dxa"/>
              <w:right w:w="28" w:type="dxa"/>
            </w:tcMar>
            <w:hideMark/>
          </w:tcPr>
          <w:p w:rsidRPr="00FC2616" w:rsidR="00F35463" w:rsidP="00F35463" w:rsidRDefault="00F35463" w14:paraId="2A8186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4617F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6D6BA8E7"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57AD9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hideMark/>
          </w:tcPr>
          <w:p w:rsidRPr="00FC2616" w:rsidR="00F35463" w:rsidP="00F35463" w:rsidRDefault="00F35463" w14:paraId="04E905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7 470</w:t>
            </w:r>
          </w:p>
        </w:tc>
        <w:tc>
          <w:tcPr>
            <w:tcW w:w="1134" w:type="dxa"/>
            <w:shd w:val="clear" w:color="auto" w:fill="FFFFFF"/>
            <w:tcMar>
              <w:top w:w="68" w:type="dxa"/>
              <w:left w:w="28" w:type="dxa"/>
              <w:bottom w:w="0" w:type="dxa"/>
              <w:right w:w="28" w:type="dxa"/>
            </w:tcMar>
            <w:hideMark/>
          </w:tcPr>
          <w:p w:rsidRPr="00FC2616" w:rsidR="00F35463" w:rsidP="00F35463" w:rsidRDefault="00F35463" w14:paraId="7A74C9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7 530</w:t>
            </w:r>
          </w:p>
        </w:tc>
      </w:tr>
      <w:tr w:rsidRPr="00FC2616" w:rsidR="00F35463" w:rsidTr="00F35463" w14:paraId="287BF86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563B98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1440 Koldioxidskatt</w:t>
            </w:r>
          </w:p>
        </w:tc>
        <w:tc>
          <w:tcPr>
            <w:tcW w:w="1134" w:type="dxa"/>
            <w:shd w:val="clear" w:color="auto" w:fill="FFFFFF"/>
            <w:tcMar>
              <w:top w:w="68" w:type="dxa"/>
              <w:left w:w="28" w:type="dxa"/>
              <w:bottom w:w="0" w:type="dxa"/>
              <w:right w:w="28" w:type="dxa"/>
            </w:tcMar>
            <w:hideMark/>
          </w:tcPr>
          <w:p w:rsidRPr="00FC2616" w:rsidR="00F35463" w:rsidP="00F35463" w:rsidRDefault="00F35463" w14:paraId="4766DB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120</w:t>
            </w:r>
          </w:p>
        </w:tc>
        <w:tc>
          <w:tcPr>
            <w:tcW w:w="1134" w:type="dxa"/>
            <w:shd w:val="clear" w:color="auto" w:fill="FFFFFF"/>
            <w:tcMar>
              <w:top w:w="68" w:type="dxa"/>
              <w:left w:w="28" w:type="dxa"/>
              <w:bottom w:w="0" w:type="dxa"/>
              <w:right w:w="28" w:type="dxa"/>
            </w:tcMar>
            <w:hideMark/>
          </w:tcPr>
          <w:p w:rsidRPr="00FC2616" w:rsidR="00F35463" w:rsidP="00F35463" w:rsidRDefault="00F35463" w14:paraId="5009F1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120</w:t>
            </w:r>
          </w:p>
        </w:tc>
      </w:tr>
      <w:tr w:rsidRPr="00FC2616" w:rsidR="00F35463" w:rsidTr="00F35463" w14:paraId="3BE63CA3"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6F5A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134" w:type="dxa"/>
            <w:shd w:val="clear" w:color="auto" w:fill="FFFFFF"/>
            <w:tcMar>
              <w:top w:w="68" w:type="dxa"/>
              <w:left w:w="28" w:type="dxa"/>
              <w:bottom w:w="0" w:type="dxa"/>
              <w:right w:w="28" w:type="dxa"/>
            </w:tcMar>
            <w:hideMark/>
          </w:tcPr>
          <w:p w:rsidRPr="00FC2616" w:rsidR="00F35463" w:rsidP="00F35463" w:rsidRDefault="00F35463" w14:paraId="08F85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530</w:t>
            </w:r>
          </w:p>
        </w:tc>
        <w:tc>
          <w:tcPr>
            <w:tcW w:w="1134" w:type="dxa"/>
            <w:shd w:val="clear" w:color="auto" w:fill="FFFFFF"/>
            <w:tcMar>
              <w:top w:w="68" w:type="dxa"/>
              <w:left w:w="28" w:type="dxa"/>
              <w:bottom w:w="0" w:type="dxa"/>
              <w:right w:w="28" w:type="dxa"/>
            </w:tcMar>
            <w:hideMark/>
          </w:tcPr>
          <w:p w:rsidRPr="00FC2616" w:rsidR="00F35463" w:rsidP="00F35463" w:rsidRDefault="00F35463" w14:paraId="3ADC9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550</w:t>
            </w:r>
          </w:p>
        </w:tc>
      </w:tr>
      <w:tr w:rsidRPr="00FC2616" w:rsidR="00F35463" w:rsidTr="00F35463" w14:paraId="5379A3FF"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AB116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1470 Skatt på vägtrafik</w:t>
            </w:r>
          </w:p>
        </w:tc>
        <w:tc>
          <w:tcPr>
            <w:tcW w:w="1134" w:type="dxa"/>
            <w:shd w:val="clear" w:color="auto" w:fill="FFFFFF"/>
            <w:tcMar>
              <w:top w:w="68" w:type="dxa"/>
              <w:left w:w="28" w:type="dxa"/>
              <w:bottom w:w="0" w:type="dxa"/>
              <w:right w:w="28" w:type="dxa"/>
            </w:tcMar>
            <w:hideMark/>
          </w:tcPr>
          <w:p w:rsidRPr="00FC2616" w:rsidR="00F35463" w:rsidP="00F35463" w:rsidRDefault="00F35463" w14:paraId="46B62B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55C07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561C54F7"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C955A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1480 Övriga skatter</w:t>
            </w:r>
          </w:p>
        </w:tc>
        <w:tc>
          <w:tcPr>
            <w:tcW w:w="1134" w:type="dxa"/>
            <w:shd w:val="clear" w:color="auto" w:fill="FFFFFF"/>
            <w:tcMar>
              <w:top w:w="68" w:type="dxa"/>
              <w:left w:w="28" w:type="dxa"/>
              <w:bottom w:w="0" w:type="dxa"/>
              <w:right w:w="28" w:type="dxa"/>
            </w:tcMar>
            <w:hideMark/>
          </w:tcPr>
          <w:p w:rsidRPr="00FC2616" w:rsidR="00F35463" w:rsidP="00F35463" w:rsidRDefault="00F35463" w14:paraId="08C6A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47850B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±0</w:t>
            </w:r>
          </w:p>
        </w:tc>
      </w:tr>
      <w:tr w:rsidRPr="00FC2616" w:rsidR="00F35463" w:rsidTr="00F35463" w14:paraId="14EE341C"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17F45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47E89E5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1151E2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1500 Skatt på import</w:t>
            </w:r>
          </w:p>
        </w:tc>
        <w:tc>
          <w:tcPr>
            <w:tcW w:w="1134" w:type="dxa"/>
            <w:shd w:val="clear" w:color="auto" w:fill="FFFFFF"/>
            <w:tcMar>
              <w:top w:w="68" w:type="dxa"/>
              <w:left w:w="28" w:type="dxa"/>
              <w:bottom w:w="0" w:type="dxa"/>
              <w:right w:w="28" w:type="dxa"/>
            </w:tcMar>
            <w:hideMark/>
          </w:tcPr>
          <w:p w:rsidRPr="00FC2616" w:rsidR="00F35463" w:rsidP="00F35463" w:rsidRDefault="00F35463" w14:paraId="0D608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4BFD1A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6E0344FF"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420FA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6F4EC08E"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E7ACC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134" w:type="dxa"/>
            <w:shd w:val="clear" w:color="auto" w:fill="FFFFFF"/>
            <w:tcMar>
              <w:top w:w="68" w:type="dxa"/>
              <w:left w:w="28" w:type="dxa"/>
              <w:bottom w:w="0" w:type="dxa"/>
              <w:right w:w="28" w:type="dxa"/>
            </w:tcMar>
            <w:hideMark/>
          </w:tcPr>
          <w:p w:rsidRPr="00FC2616" w:rsidR="00F35463" w:rsidP="00F35463" w:rsidRDefault="00F35463" w14:paraId="17F58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50</w:t>
            </w:r>
          </w:p>
        </w:tc>
        <w:tc>
          <w:tcPr>
            <w:tcW w:w="1134" w:type="dxa"/>
            <w:shd w:val="clear" w:color="auto" w:fill="FFFFFF"/>
            <w:tcMar>
              <w:top w:w="68" w:type="dxa"/>
              <w:left w:w="28" w:type="dxa"/>
              <w:bottom w:w="0" w:type="dxa"/>
              <w:right w:w="28" w:type="dxa"/>
            </w:tcMar>
            <w:hideMark/>
          </w:tcPr>
          <w:p w:rsidRPr="00FC2616" w:rsidR="00F35463" w:rsidP="00F35463" w:rsidRDefault="00F35463" w14:paraId="405DF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75</w:t>
            </w:r>
          </w:p>
        </w:tc>
      </w:tr>
      <w:tr w:rsidRPr="00FC2616" w:rsidR="00F35463" w:rsidTr="00F35463" w14:paraId="5198F1ED"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3B3DE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0AABA139"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385EA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134" w:type="dxa"/>
            <w:shd w:val="clear" w:color="auto" w:fill="FFFFFF"/>
            <w:tcMar>
              <w:top w:w="68" w:type="dxa"/>
              <w:left w:w="28" w:type="dxa"/>
              <w:bottom w:w="0" w:type="dxa"/>
              <w:right w:w="28" w:type="dxa"/>
            </w:tcMar>
            <w:hideMark/>
          </w:tcPr>
          <w:p w:rsidRPr="00FC2616" w:rsidR="00F35463" w:rsidP="00F35463" w:rsidRDefault="00F35463" w14:paraId="73846B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3A1D21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4F9220C1"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7554C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6C764AC4"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3FF6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134" w:type="dxa"/>
            <w:shd w:val="clear" w:color="auto" w:fill="FFFFFF"/>
            <w:tcMar>
              <w:top w:w="68" w:type="dxa"/>
              <w:left w:w="28" w:type="dxa"/>
              <w:bottom w:w="0" w:type="dxa"/>
              <w:right w:w="28" w:type="dxa"/>
            </w:tcMar>
            <w:hideMark/>
          </w:tcPr>
          <w:p w:rsidRPr="00FC2616" w:rsidR="00F35463" w:rsidP="00F35463" w:rsidRDefault="00F35463" w14:paraId="67281C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75 870</w:t>
            </w:r>
          </w:p>
        </w:tc>
        <w:tc>
          <w:tcPr>
            <w:tcW w:w="1134" w:type="dxa"/>
            <w:shd w:val="clear" w:color="auto" w:fill="FFFFFF"/>
            <w:tcMar>
              <w:top w:w="68" w:type="dxa"/>
              <w:left w:w="28" w:type="dxa"/>
              <w:bottom w:w="0" w:type="dxa"/>
              <w:right w:w="28" w:type="dxa"/>
            </w:tcMar>
            <w:hideMark/>
          </w:tcPr>
          <w:p w:rsidRPr="00FC2616" w:rsidR="00F35463" w:rsidP="00F35463" w:rsidRDefault="00F35463" w14:paraId="08DEF5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78 810</w:t>
            </w:r>
          </w:p>
        </w:tc>
      </w:tr>
      <w:tr w:rsidRPr="00FC2616" w:rsidR="00F35463" w:rsidTr="00F35463" w14:paraId="72C1B6B4"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111F2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303425BD"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C8B1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134" w:type="dxa"/>
            <w:shd w:val="clear" w:color="auto" w:fill="FFFFFF"/>
            <w:tcMar>
              <w:top w:w="68" w:type="dxa"/>
              <w:left w:w="28" w:type="dxa"/>
              <w:bottom w:w="0" w:type="dxa"/>
              <w:right w:w="28" w:type="dxa"/>
            </w:tcMar>
            <w:hideMark/>
          </w:tcPr>
          <w:p w:rsidRPr="00FC2616" w:rsidR="00F35463" w:rsidP="00F35463" w:rsidRDefault="00F35463" w14:paraId="4E379D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−21 010</w:t>
            </w:r>
          </w:p>
        </w:tc>
        <w:tc>
          <w:tcPr>
            <w:tcW w:w="1134" w:type="dxa"/>
            <w:shd w:val="clear" w:color="auto" w:fill="FFFFFF"/>
            <w:tcMar>
              <w:top w:w="68" w:type="dxa"/>
              <w:left w:w="28" w:type="dxa"/>
              <w:bottom w:w="0" w:type="dxa"/>
              <w:right w:w="28" w:type="dxa"/>
            </w:tcMar>
            <w:hideMark/>
          </w:tcPr>
          <w:p w:rsidRPr="00FC2616" w:rsidR="00F35463" w:rsidP="00F35463" w:rsidRDefault="00F35463" w14:paraId="46B53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−25 210</w:t>
            </w:r>
          </w:p>
        </w:tc>
      </w:tr>
      <w:tr w:rsidRPr="00FC2616" w:rsidR="00F35463" w:rsidTr="00F35463" w14:paraId="0743FBAB"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5B989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593064E2"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561A90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134" w:type="dxa"/>
            <w:shd w:val="clear" w:color="auto" w:fill="FFFFFF"/>
            <w:tcMar>
              <w:top w:w="68" w:type="dxa"/>
              <w:left w:w="28" w:type="dxa"/>
              <w:bottom w:w="0" w:type="dxa"/>
              <w:right w:w="28" w:type="dxa"/>
            </w:tcMar>
            <w:hideMark/>
          </w:tcPr>
          <w:p w:rsidRPr="00FC2616" w:rsidR="00F35463" w:rsidP="00F35463" w:rsidRDefault="00F35463" w14:paraId="541382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54 860</w:t>
            </w:r>
          </w:p>
        </w:tc>
        <w:tc>
          <w:tcPr>
            <w:tcW w:w="1134" w:type="dxa"/>
            <w:shd w:val="clear" w:color="auto" w:fill="FFFFFF"/>
            <w:tcMar>
              <w:top w:w="68" w:type="dxa"/>
              <w:left w:w="28" w:type="dxa"/>
              <w:bottom w:w="0" w:type="dxa"/>
              <w:right w:w="28" w:type="dxa"/>
            </w:tcMar>
            <w:hideMark/>
          </w:tcPr>
          <w:p w:rsidRPr="00FC2616" w:rsidR="00F35463" w:rsidP="00F35463" w:rsidRDefault="00F35463" w14:paraId="0B7316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53 600</w:t>
            </w:r>
          </w:p>
        </w:tc>
      </w:tr>
      <w:tr w:rsidRPr="00FC2616" w:rsidR="00F35463" w:rsidTr="00F35463" w14:paraId="484E00E7"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309B1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29A0CA5B"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3857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1900 Periodiseringar</w:t>
            </w:r>
          </w:p>
        </w:tc>
        <w:tc>
          <w:tcPr>
            <w:tcW w:w="1134" w:type="dxa"/>
            <w:shd w:val="clear" w:color="auto" w:fill="FFFFFF"/>
            <w:tcMar>
              <w:top w:w="68" w:type="dxa"/>
              <w:left w:w="28" w:type="dxa"/>
              <w:bottom w:w="0" w:type="dxa"/>
              <w:right w:w="28" w:type="dxa"/>
            </w:tcMar>
            <w:hideMark/>
          </w:tcPr>
          <w:p w:rsidRPr="00FC2616" w:rsidR="00F35463" w:rsidP="00F35463" w:rsidRDefault="00F35463" w14:paraId="61E004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6A0DAC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77726A74"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187FB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4117CE8C"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7B6AE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1000 Statens skatteinkomster</w:t>
            </w:r>
          </w:p>
        </w:tc>
        <w:tc>
          <w:tcPr>
            <w:tcW w:w="1134" w:type="dxa"/>
            <w:shd w:val="clear" w:color="auto" w:fill="FFFFFF"/>
            <w:tcMar>
              <w:top w:w="68" w:type="dxa"/>
              <w:left w:w="28" w:type="dxa"/>
              <w:bottom w:w="0" w:type="dxa"/>
              <w:right w:w="28" w:type="dxa"/>
            </w:tcMar>
            <w:hideMark/>
          </w:tcPr>
          <w:p w:rsidRPr="00FC2616" w:rsidR="00F35463" w:rsidP="00F35463" w:rsidRDefault="00F35463" w14:paraId="4FDAC9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54 860</w:t>
            </w:r>
          </w:p>
        </w:tc>
        <w:tc>
          <w:tcPr>
            <w:tcW w:w="1134" w:type="dxa"/>
            <w:shd w:val="clear" w:color="auto" w:fill="FFFFFF"/>
            <w:tcMar>
              <w:top w:w="68" w:type="dxa"/>
              <w:left w:w="28" w:type="dxa"/>
              <w:bottom w:w="0" w:type="dxa"/>
              <w:right w:w="28" w:type="dxa"/>
            </w:tcMar>
            <w:hideMark/>
          </w:tcPr>
          <w:p w:rsidRPr="00FC2616" w:rsidR="00F35463" w:rsidP="00F35463" w:rsidRDefault="00F35463" w14:paraId="17696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53 600</w:t>
            </w:r>
          </w:p>
        </w:tc>
      </w:tr>
      <w:tr w:rsidRPr="00FC2616" w:rsidR="00F35463" w:rsidTr="00F35463" w14:paraId="5B183910"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495BA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68855401"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B51FD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134" w:type="dxa"/>
            <w:shd w:val="clear" w:color="auto" w:fill="FFFFFF"/>
            <w:tcMar>
              <w:top w:w="68" w:type="dxa"/>
              <w:left w:w="28" w:type="dxa"/>
              <w:bottom w:w="0" w:type="dxa"/>
              <w:right w:w="28" w:type="dxa"/>
            </w:tcMar>
            <w:hideMark/>
          </w:tcPr>
          <w:p w:rsidRPr="00FC2616" w:rsidR="00F35463" w:rsidP="00F35463" w:rsidRDefault="00F35463" w14:paraId="2387E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700</w:t>
            </w:r>
          </w:p>
        </w:tc>
        <w:tc>
          <w:tcPr>
            <w:tcW w:w="1134" w:type="dxa"/>
            <w:shd w:val="clear" w:color="auto" w:fill="FFFFFF"/>
            <w:tcMar>
              <w:top w:w="68" w:type="dxa"/>
              <w:left w:w="28" w:type="dxa"/>
              <w:bottom w:w="0" w:type="dxa"/>
              <w:right w:w="28" w:type="dxa"/>
            </w:tcMar>
            <w:hideMark/>
          </w:tcPr>
          <w:p w:rsidRPr="00FC2616" w:rsidR="00F35463" w:rsidP="00F35463" w:rsidRDefault="00F35463" w14:paraId="308139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800</w:t>
            </w:r>
          </w:p>
        </w:tc>
      </w:tr>
      <w:tr w:rsidRPr="00FC2616" w:rsidR="00F35463" w:rsidTr="00F35463" w14:paraId="09F08003" w14:textId="77777777">
        <w:trPr>
          <w:trHeight w:val="170"/>
        </w:trPr>
        <w:tc>
          <w:tcPr>
            <w:tcW w:w="4139" w:type="dxa"/>
            <w:gridSpan w:val="3"/>
            <w:shd w:val="clear" w:color="auto" w:fill="FFFFFF"/>
            <w:tcMar>
              <w:top w:w="68" w:type="dxa"/>
              <w:left w:w="28" w:type="dxa"/>
              <w:bottom w:w="0" w:type="dxa"/>
              <w:right w:w="28" w:type="dxa"/>
            </w:tcMar>
            <w:hideMark/>
          </w:tcPr>
          <w:p w:rsidRPr="00FC2616" w:rsidR="00F35463" w:rsidP="00F35463" w:rsidRDefault="00F35463" w14:paraId="5DF48D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2616">
              <w:rPr>
                <w:rFonts w:ascii="Times New Roman" w:hAnsi="Times New Roman" w:eastAsia="Times New Roman" w:cs="Times New Roman"/>
                <w:color w:val="000000"/>
                <w:kern w:val="0"/>
                <w:sz w:val="20"/>
                <w:szCs w:val="20"/>
                <w:lang w:eastAsia="sv-SE"/>
                <w14:numSpacing w14:val="default"/>
              </w:rPr>
              <w:t> </w:t>
            </w:r>
          </w:p>
        </w:tc>
      </w:tr>
      <w:tr w:rsidRPr="00FC2616" w:rsidR="00F35463" w:rsidTr="00F35463" w14:paraId="2C49FD2C"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6A6BA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134" w:type="dxa"/>
            <w:shd w:val="clear" w:color="auto" w:fill="FFFFFF"/>
            <w:tcMar>
              <w:top w:w="68" w:type="dxa"/>
              <w:left w:w="28" w:type="dxa"/>
              <w:bottom w:w="0" w:type="dxa"/>
              <w:right w:w="28" w:type="dxa"/>
            </w:tcMar>
            <w:hideMark/>
          </w:tcPr>
          <w:p w:rsidRPr="00FC2616" w:rsidR="00F35463" w:rsidP="00F35463" w:rsidRDefault="00F35463" w14:paraId="40408A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700</w:t>
            </w:r>
          </w:p>
        </w:tc>
        <w:tc>
          <w:tcPr>
            <w:tcW w:w="1134" w:type="dxa"/>
            <w:shd w:val="clear" w:color="auto" w:fill="FFFFFF"/>
            <w:tcMar>
              <w:top w:w="68" w:type="dxa"/>
              <w:left w:w="28" w:type="dxa"/>
              <w:bottom w:w="0" w:type="dxa"/>
              <w:right w:w="28" w:type="dxa"/>
            </w:tcMar>
            <w:hideMark/>
          </w:tcPr>
          <w:p w:rsidRPr="00FC2616" w:rsidR="00F35463" w:rsidP="00F35463" w:rsidRDefault="00F35463" w14:paraId="0710D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800</w:t>
            </w:r>
          </w:p>
        </w:tc>
      </w:tr>
      <w:tr w:rsidRPr="00FC2616" w:rsidR="00F35463" w:rsidTr="00F35463" w14:paraId="1423FEFF"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2D824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134" w:type="dxa"/>
            <w:shd w:val="clear" w:color="auto" w:fill="FFFFFF"/>
            <w:tcMar>
              <w:top w:w="68" w:type="dxa"/>
              <w:left w:w="28" w:type="dxa"/>
              <w:bottom w:w="0" w:type="dxa"/>
              <w:right w:w="28" w:type="dxa"/>
            </w:tcMar>
            <w:hideMark/>
          </w:tcPr>
          <w:p w:rsidRPr="00FC2616" w:rsidR="00F35463" w:rsidP="00F35463" w:rsidRDefault="00F35463" w14:paraId="79A187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44E4AF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0307B163"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3FA40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4000 Återbetalning av lån</w:t>
            </w:r>
          </w:p>
        </w:tc>
        <w:tc>
          <w:tcPr>
            <w:tcW w:w="1134" w:type="dxa"/>
            <w:shd w:val="clear" w:color="auto" w:fill="FFFFFF"/>
            <w:tcMar>
              <w:top w:w="68" w:type="dxa"/>
              <w:left w:w="28" w:type="dxa"/>
              <w:bottom w:w="0" w:type="dxa"/>
              <w:right w:w="28" w:type="dxa"/>
            </w:tcMar>
            <w:hideMark/>
          </w:tcPr>
          <w:p w:rsidRPr="00FC2616" w:rsidR="00F35463" w:rsidP="00F35463" w:rsidRDefault="00F35463" w14:paraId="72959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70C2FA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3F357D23"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592CDC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5000 Kalkylmässiga inkomster</w:t>
            </w:r>
          </w:p>
        </w:tc>
        <w:tc>
          <w:tcPr>
            <w:tcW w:w="1134" w:type="dxa"/>
            <w:shd w:val="clear" w:color="auto" w:fill="FFFFFF"/>
            <w:tcMar>
              <w:top w:w="68" w:type="dxa"/>
              <w:left w:w="28" w:type="dxa"/>
              <w:bottom w:w="0" w:type="dxa"/>
              <w:right w:w="28" w:type="dxa"/>
            </w:tcMar>
            <w:hideMark/>
          </w:tcPr>
          <w:p w:rsidRPr="00FC2616" w:rsidR="00F35463" w:rsidP="00F35463" w:rsidRDefault="00F35463" w14:paraId="291CF3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56C42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4611B47E"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020E7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6000 Bidrag m.m. från EU</w:t>
            </w:r>
          </w:p>
        </w:tc>
        <w:tc>
          <w:tcPr>
            <w:tcW w:w="1134" w:type="dxa"/>
            <w:shd w:val="clear" w:color="auto" w:fill="FFFFFF"/>
            <w:tcMar>
              <w:top w:w="68" w:type="dxa"/>
              <w:left w:w="28" w:type="dxa"/>
              <w:bottom w:w="0" w:type="dxa"/>
              <w:right w:w="28" w:type="dxa"/>
            </w:tcMar>
            <w:hideMark/>
          </w:tcPr>
          <w:p w:rsidRPr="00FC2616" w:rsidR="00F35463" w:rsidP="00F35463" w:rsidRDefault="00F35463" w14:paraId="01399A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19D61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0F518A78"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30460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134" w:type="dxa"/>
            <w:shd w:val="clear" w:color="auto" w:fill="FFFFFF"/>
            <w:tcMar>
              <w:top w:w="68" w:type="dxa"/>
              <w:left w:w="28" w:type="dxa"/>
              <w:bottom w:w="0" w:type="dxa"/>
              <w:right w:w="28" w:type="dxa"/>
            </w:tcMar>
            <w:hideMark/>
          </w:tcPr>
          <w:p w:rsidRPr="00FC2616" w:rsidR="00F35463" w:rsidP="00F35463" w:rsidRDefault="00F35463" w14:paraId="0AB02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21E95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1A2C8166" w14:textId="77777777">
        <w:trPr>
          <w:trHeight w:val="170"/>
        </w:trPr>
        <w:tc>
          <w:tcPr>
            <w:tcW w:w="4139" w:type="dxa"/>
            <w:shd w:val="clear" w:color="auto" w:fill="FFFFFF"/>
            <w:tcMar>
              <w:top w:w="68" w:type="dxa"/>
              <w:left w:w="28" w:type="dxa"/>
              <w:bottom w:w="0" w:type="dxa"/>
              <w:right w:w="28" w:type="dxa"/>
            </w:tcMar>
            <w:hideMark/>
          </w:tcPr>
          <w:p w:rsidRPr="00FC2616" w:rsidR="00F35463" w:rsidP="00F35463" w:rsidRDefault="00F35463" w14:paraId="4639DD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134" w:type="dxa"/>
            <w:shd w:val="clear" w:color="auto" w:fill="FFFFFF"/>
            <w:tcMar>
              <w:top w:w="68" w:type="dxa"/>
              <w:left w:w="28" w:type="dxa"/>
              <w:bottom w:w="0" w:type="dxa"/>
              <w:right w:w="28" w:type="dxa"/>
            </w:tcMar>
            <w:hideMark/>
          </w:tcPr>
          <w:p w:rsidRPr="00FC2616" w:rsidR="00F35463" w:rsidP="00F35463" w:rsidRDefault="00F35463" w14:paraId="34E25C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C2616" w:rsidR="00F35463" w:rsidP="00F35463" w:rsidRDefault="00F35463" w14:paraId="6B042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±0</w:t>
            </w:r>
          </w:p>
        </w:tc>
      </w:tr>
      <w:tr w:rsidRPr="00FC2616" w:rsidR="00F35463" w:rsidTr="00F35463" w14:paraId="48FEF594"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2616" w:rsidR="00F35463" w:rsidP="00F35463" w:rsidRDefault="00F35463" w14:paraId="386CD7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35463" w:rsidP="00F35463" w:rsidRDefault="00F35463" w14:paraId="42918B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55 560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C2616" w:rsidR="00F35463" w:rsidP="00F35463" w:rsidRDefault="00F35463" w14:paraId="64A92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2616">
              <w:rPr>
                <w:rFonts w:ascii="Times New Roman" w:hAnsi="Times New Roman" w:eastAsia="Times New Roman" w:cs="Times New Roman"/>
                <w:b/>
                <w:bCs/>
                <w:color w:val="000000"/>
                <w:kern w:val="0"/>
                <w:sz w:val="20"/>
                <w:szCs w:val="20"/>
                <w:lang w:eastAsia="sv-SE"/>
                <w14:numSpacing w14:val="default"/>
              </w:rPr>
              <w:t>54 400</w:t>
            </w:r>
          </w:p>
        </w:tc>
      </w:tr>
    </w:tbl>
    <w:sdt>
      <w:sdtPr>
        <w:alias w:val="CC_Underskrifter"/>
        <w:tag w:val="CC_Underskrifter"/>
        <w:id w:val="583496634"/>
        <w:lock w:val="sdtContentLocked"/>
        <w:placeholder>
          <w:docPart w:val="69C1185A04E74F38A7671007228BA9FC"/>
        </w:placeholder>
      </w:sdtPr>
      <w:sdtEndPr/>
      <w:sdtContent>
        <w:p w:rsidR="009C1809" w:rsidP="00FC2616" w:rsidRDefault="009C1809" w14:paraId="1257ADB2" w14:textId="77777777"/>
        <w:p w:rsidRPr="008E0FE2" w:rsidR="004801AC" w:rsidP="00FC2616" w:rsidRDefault="00FD6A85" w14:paraId="610B6B99" w14:textId="7AA86052"/>
      </w:sdtContent>
    </w:sdt>
    <w:tbl>
      <w:tblPr>
        <w:tblW w:w="5000" w:type="pct"/>
        <w:tblLook w:val="04A0" w:firstRow="1" w:lastRow="0" w:firstColumn="1" w:lastColumn="0" w:noHBand="0" w:noVBand="1"/>
        <w:tblCaption w:val="underskrifter"/>
      </w:tblPr>
      <w:tblGrid>
        <w:gridCol w:w="4252"/>
        <w:gridCol w:w="4252"/>
      </w:tblGrid>
      <w:tr w:rsidR="00F02392" w14:paraId="56EF98D8" w14:textId="77777777">
        <w:trPr>
          <w:cantSplit/>
        </w:trPr>
        <w:tc>
          <w:tcPr>
            <w:tcW w:w="50" w:type="pct"/>
            <w:vAlign w:val="bottom"/>
          </w:tcPr>
          <w:p w:rsidR="00F02392" w:rsidRDefault="00810CE4" w14:paraId="5C9D5AF3" w14:textId="77777777">
            <w:pPr>
              <w:pStyle w:val="Underskrifter"/>
            </w:pPr>
            <w:r>
              <w:t>Nooshi Dadgostar (V)</w:t>
            </w:r>
          </w:p>
        </w:tc>
        <w:tc>
          <w:tcPr>
            <w:tcW w:w="50" w:type="pct"/>
            <w:vAlign w:val="bottom"/>
          </w:tcPr>
          <w:p w:rsidR="00F02392" w:rsidRDefault="00810CE4" w14:paraId="1BB702B5" w14:textId="77777777">
            <w:pPr>
              <w:pStyle w:val="Underskrifter"/>
            </w:pPr>
            <w:r>
              <w:t>Andrea Andersson Tay (V)</w:t>
            </w:r>
          </w:p>
        </w:tc>
      </w:tr>
      <w:tr w:rsidR="00F02392" w14:paraId="5A06A52E" w14:textId="77777777">
        <w:trPr>
          <w:cantSplit/>
        </w:trPr>
        <w:tc>
          <w:tcPr>
            <w:tcW w:w="50" w:type="pct"/>
            <w:vAlign w:val="bottom"/>
          </w:tcPr>
          <w:p w:rsidR="00F02392" w:rsidRDefault="00810CE4" w14:paraId="40C76E0F" w14:textId="77777777">
            <w:pPr>
              <w:pStyle w:val="Underskrifter"/>
            </w:pPr>
            <w:r>
              <w:t>Ida Gabrielsson (V)</w:t>
            </w:r>
          </w:p>
        </w:tc>
        <w:tc>
          <w:tcPr>
            <w:tcW w:w="50" w:type="pct"/>
            <w:vAlign w:val="bottom"/>
          </w:tcPr>
          <w:p w:rsidR="00F02392" w:rsidRDefault="00810CE4" w14:paraId="3DD61C40" w14:textId="77777777">
            <w:pPr>
              <w:pStyle w:val="Underskrifter"/>
            </w:pPr>
            <w:r>
              <w:t>Samuel Gonzalez Westling (V)</w:t>
            </w:r>
          </w:p>
        </w:tc>
      </w:tr>
      <w:tr w:rsidR="00F02392" w14:paraId="352F1AF3" w14:textId="77777777">
        <w:trPr>
          <w:cantSplit/>
        </w:trPr>
        <w:tc>
          <w:tcPr>
            <w:tcW w:w="50" w:type="pct"/>
            <w:vAlign w:val="bottom"/>
          </w:tcPr>
          <w:p w:rsidR="00F02392" w:rsidRDefault="00810CE4" w14:paraId="4BFBBF0F" w14:textId="77777777">
            <w:pPr>
              <w:pStyle w:val="Underskrifter"/>
            </w:pPr>
            <w:r>
              <w:t>Tony Haddou (V)</w:t>
            </w:r>
          </w:p>
        </w:tc>
        <w:tc>
          <w:tcPr>
            <w:tcW w:w="50" w:type="pct"/>
            <w:vAlign w:val="bottom"/>
          </w:tcPr>
          <w:p w:rsidR="00F02392" w:rsidRDefault="00810CE4" w14:paraId="13DD8B21" w14:textId="77777777">
            <w:pPr>
              <w:pStyle w:val="Underskrifter"/>
            </w:pPr>
            <w:r>
              <w:t>Vasiliki Tsouplaki (V)</w:t>
            </w:r>
          </w:p>
        </w:tc>
      </w:tr>
      <w:tr w:rsidR="00F02392" w14:paraId="33CF2053" w14:textId="77777777">
        <w:trPr>
          <w:cantSplit/>
        </w:trPr>
        <w:tc>
          <w:tcPr>
            <w:tcW w:w="50" w:type="pct"/>
            <w:vAlign w:val="bottom"/>
          </w:tcPr>
          <w:p w:rsidR="00F02392" w:rsidRDefault="00810CE4" w14:paraId="6B29AB53" w14:textId="77777777">
            <w:pPr>
              <w:pStyle w:val="Underskrifter"/>
            </w:pPr>
            <w:r>
              <w:lastRenderedPageBreak/>
              <w:t>Jessica Wetterling (V)</w:t>
            </w:r>
          </w:p>
        </w:tc>
        <w:tc>
          <w:tcPr>
            <w:tcW w:w="50" w:type="pct"/>
            <w:vAlign w:val="bottom"/>
          </w:tcPr>
          <w:p w:rsidR="00F02392" w:rsidRDefault="00810CE4" w14:paraId="389E8132" w14:textId="77777777">
            <w:pPr>
              <w:pStyle w:val="Underskrifter"/>
            </w:pPr>
            <w:r>
              <w:t>Ali Esbati (V)</w:t>
            </w:r>
          </w:p>
        </w:tc>
      </w:tr>
    </w:tbl>
    <w:p w:rsidR="008C7143" w:rsidRDefault="008C7143" w14:paraId="74C0D3BB" w14:textId="77777777"/>
    <w:sectPr w:rsidR="008C7143" w:rsidSect="00283220">
      <w:headerReference w:type="even" r:id="rId24"/>
      <w:headerReference w:type="default" r:id="rId25"/>
      <w:footerReference w:type="even" r:id="rId26"/>
      <w:footerReference w:type="default" r:id="rId27"/>
      <w:headerReference w:type="first" r:id="rId28"/>
      <w:footerReference w:type="first" r:id="rId29"/>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DBAD7" w14:textId="77777777" w:rsidR="006C4D6D" w:rsidRDefault="006C4D6D" w:rsidP="000C1CAD">
      <w:pPr>
        <w:spacing w:line="240" w:lineRule="auto"/>
      </w:pPr>
      <w:r>
        <w:separator/>
      </w:r>
    </w:p>
  </w:endnote>
  <w:endnote w:type="continuationSeparator" w:id="0">
    <w:p w14:paraId="620FB268" w14:textId="77777777" w:rsidR="006C4D6D" w:rsidRDefault="006C4D6D" w:rsidP="000C1CAD">
      <w:pPr>
        <w:spacing w:line="240" w:lineRule="auto"/>
      </w:pPr>
      <w:r>
        <w:continuationSeparator/>
      </w:r>
    </w:p>
  </w:endnote>
  <w:endnote w:type="continuationNotice" w:id="1">
    <w:p w14:paraId="14E29E8F" w14:textId="77777777" w:rsidR="006C4D6D" w:rsidRDefault="006C4D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3436" w14:textId="77777777" w:rsidR="00CB1D88" w:rsidRDefault="00CB1D8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A362" w14:textId="77777777" w:rsidR="00CB1D88" w:rsidRDefault="00CB1D8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A6FC" w14:textId="77777777" w:rsidR="00690D07" w:rsidRDefault="00690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3D3E" w14:textId="493ECD4B" w:rsidR="006C4D6D" w:rsidRDefault="006C4D6D" w:rsidP="000C1CAD">
      <w:pPr>
        <w:spacing w:line="240" w:lineRule="auto"/>
      </w:pPr>
    </w:p>
  </w:footnote>
  <w:footnote w:type="continuationSeparator" w:id="0">
    <w:p w14:paraId="44B335BF" w14:textId="77777777" w:rsidR="006C4D6D" w:rsidRDefault="006C4D6D" w:rsidP="000C1CAD">
      <w:pPr>
        <w:spacing w:line="240" w:lineRule="auto"/>
      </w:pPr>
      <w:r>
        <w:continuationSeparator/>
      </w:r>
    </w:p>
  </w:footnote>
  <w:footnote w:type="continuationNotice" w:id="1">
    <w:p w14:paraId="68F54BA1" w14:textId="77777777" w:rsidR="006C4D6D" w:rsidRDefault="006C4D6D">
      <w:pPr>
        <w:spacing w:line="240" w:lineRule="auto"/>
      </w:pPr>
    </w:p>
  </w:footnote>
  <w:footnote w:id="2">
    <w:p w14:paraId="7E3BFB3E" w14:textId="1FFCE877" w:rsidR="00CB1D88" w:rsidRDefault="00CB1D88">
      <w:pPr>
        <w:pStyle w:val="Fotnotstext"/>
      </w:pPr>
      <w:r>
        <w:rPr>
          <w:rStyle w:val="Fotnotsreferens"/>
        </w:rPr>
        <w:footnoteRef/>
      </w:r>
      <w:r>
        <w:t xml:space="preserve"> </w:t>
      </w:r>
      <w:r w:rsidRPr="000663E5">
        <w:t>Konjunkturinstitutet, Konjunkturläget september 2022.</w:t>
      </w:r>
    </w:p>
  </w:footnote>
  <w:footnote w:id="3">
    <w:p w14:paraId="6D433F27" w14:textId="13D7FD2E" w:rsidR="00CB1D88" w:rsidRDefault="00CB1D88">
      <w:pPr>
        <w:pStyle w:val="Fotnotstext"/>
      </w:pPr>
      <w:r>
        <w:rPr>
          <w:rStyle w:val="Fotnotsreferens"/>
        </w:rPr>
        <w:footnoteRef/>
      </w:r>
      <w:r>
        <w:t xml:space="preserve"> Ibid.</w:t>
      </w:r>
    </w:p>
  </w:footnote>
  <w:footnote w:id="4">
    <w:p w14:paraId="3CE25A18" w14:textId="741F7092" w:rsidR="00CB1D88" w:rsidRPr="001B3C6D" w:rsidRDefault="00CB1D88">
      <w:pPr>
        <w:pStyle w:val="Fotnotstext"/>
      </w:pPr>
      <w:r>
        <w:rPr>
          <w:rStyle w:val="Fotnotsreferens"/>
        </w:rPr>
        <w:footnoteRef/>
      </w:r>
      <w:r w:rsidRPr="001B3C6D">
        <w:t xml:space="preserve"> Ibid.</w:t>
      </w:r>
    </w:p>
  </w:footnote>
  <w:footnote w:id="5">
    <w:p w14:paraId="2D87583E" w14:textId="25EF73B0" w:rsidR="00776D2E" w:rsidRPr="001B3C6D" w:rsidRDefault="00776D2E">
      <w:pPr>
        <w:pStyle w:val="Fotnotstext"/>
      </w:pPr>
      <w:r>
        <w:rPr>
          <w:rStyle w:val="Fotnotsreferens"/>
        </w:rPr>
        <w:footnoteRef/>
      </w:r>
      <w:r w:rsidRPr="001B3C6D">
        <w:t xml:space="preserve"> https://skr.se/download/18.50bfbe141840e2c6c5a54e85/1667389150465/WEBB-SKR2022_00375-1-Hemstallan-stod-med-ekonomin.PDF</w:t>
      </w:r>
      <w:r w:rsidR="009040EB">
        <w:t>.</w:t>
      </w:r>
    </w:p>
  </w:footnote>
  <w:footnote w:id="6">
    <w:p w14:paraId="735BBC45" w14:textId="25D1CB1E" w:rsidR="00CB1D88" w:rsidRPr="00F17C4D" w:rsidRDefault="00CB1D88">
      <w:pPr>
        <w:pStyle w:val="Fotnotstext"/>
        <w:rPr>
          <w:color w:val="000000" w:themeColor="text1"/>
          <w:lang w:val="en-GB"/>
        </w:rPr>
      </w:pPr>
      <w:r>
        <w:rPr>
          <w:rStyle w:val="Fotnotsreferens"/>
        </w:rPr>
        <w:footnoteRef/>
      </w:r>
      <w:r w:rsidRPr="00B61BE3">
        <w:rPr>
          <w:lang w:val="en-GB"/>
        </w:rPr>
        <w:t xml:space="preserve"> SCB</w:t>
      </w:r>
      <w:r w:rsidR="00C26A27">
        <w:rPr>
          <w:lang w:val="en-GB"/>
        </w:rPr>
        <w:t>.</w:t>
      </w:r>
      <w:r w:rsidRPr="00B61BE3">
        <w:rPr>
          <w:color w:val="FF0000"/>
          <w:lang w:val="en-GB"/>
        </w:rPr>
        <w:t xml:space="preserve"> </w:t>
      </w:r>
      <w:r w:rsidRPr="00F17C4D">
        <w:rPr>
          <w:color w:val="000000" w:themeColor="text1"/>
          <w:lang w:val="en-GB"/>
        </w:rPr>
        <w:t>https://www.scb.se/hitta-statistik/sverige-i-siffror/utbildning-jobb-och-pengar/inkomster-for-personer/</w:t>
      </w:r>
      <w:r w:rsidR="009040EB">
        <w:rPr>
          <w:color w:val="000000" w:themeColor="text1"/>
          <w:lang w:val="en-GB"/>
        </w:rPr>
        <w:t>.</w:t>
      </w:r>
    </w:p>
  </w:footnote>
  <w:footnote w:id="7">
    <w:p w14:paraId="59C9689F" w14:textId="69E0BBCC" w:rsidR="00CB1D88" w:rsidRPr="00D81F66" w:rsidRDefault="00CB1D88">
      <w:pPr>
        <w:pStyle w:val="Fotnotstext"/>
        <w:rPr>
          <w:lang w:val="en-GB"/>
        </w:rPr>
      </w:pPr>
      <w:r>
        <w:rPr>
          <w:rStyle w:val="Fotnotsreferens"/>
        </w:rPr>
        <w:footnoteRef/>
      </w:r>
      <w:r w:rsidRPr="00D81F66">
        <w:rPr>
          <w:lang w:val="en-GB"/>
        </w:rPr>
        <w:t xml:space="preserve"> https://www.folkhalsoguiden.se/nyhetsarkiv/stora-halsoklyftor-i-stockholms-lan/</w:t>
      </w:r>
      <w:r w:rsidR="009040EB">
        <w:rPr>
          <w:lang w:val="en-GB"/>
        </w:rPr>
        <w:t>.</w:t>
      </w:r>
    </w:p>
  </w:footnote>
  <w:footnote w:id="8">
    <w:p w14:paraId="4E11EAF3" w14:textId="52BD0A70" w:rsidR="00CB1D88" w:rsidRPr="00A558B2" w:rsidRDefault="00CB1D88" w:rsidP="00A558B2">
      <w:pPr>
        <w:pStyle w:val="Fotnotstext"/>
      </w:pPr>
      <w:r>
        <w:rPr>
          <w:rStyle w:val="Fotnotsreferens"/>
        </w:rPr>
        <w:footnoteRef/>
      </w:r>
      <w:r w:rsidRPr="00A558B2">
        <w:t xml:space="preserve"> SOU 2017:1 För Sveriges landsbygder – en sammanhållen politik för arbete, hållbar tillväxt och välfärd</w:t>
      </w:r>
      <w:r w:rsidR="00B330C5">
        <w:t>,</w:t>
      </w:r>
      <w:r>
        <w:t xml:space="preserve"> </w:t>
      </w:r>
      <w:r w:rsidRPr="00F17C4D">
        <w:t>http://www.sou.gov.se/wp-content/uploads/2017/01/SOU-2017_1_tryck.pdf</w:t>
      </w:r>
      <w:r w:rsidR="00B330C5">
        <w:t>.</w:t>
      </w:r>
      <w:r w:rsidRPr="00A558B2">
        <w:t xml:space="preserve"> </w:t>
      </w:r>
    </w:p>
  </w:footnote>
  <w:footnote w:id="9">
    <w:p w14:paraId="24C40518" w14:textId="77777777" w:rsidR="00CB1D88" w:rsidRDefault="00CB1D88" w:rsidP="009B0BE5">
      <w:pPr>
        <w:pStyle w:val="Fotnotstext"/>
      </w:pPr>
      <w:r>
        <w:rPr>
          <w:rStyle w:val="Fotnotsreferens"/>
        </w:rPr>
        <w:footnoteRef/>
      </w:r>
      <w:r>
        <w:t xml:space="preserve"> </w:t>
      </w:r>
      <w:r w:rsidRPr="007A61E1">
        <w:t>Arbetet 2020-11-02 (https://arbetet.se/2020/11/02/allt-fler-sjukskrivna-tvingas-soka-hjalp-hos-socialtjansten/), DN 2020-12-06 (https://www.dn.se/debatt/svensk-valfard-fungerar-inte-for-den-som-ar-sjuk-lange/), SOU 2020:24 Tillsammans för en välfungerande sjukskrivnings- och rehabiliteringsprocess.</w:t>
      </w:r>
    </w:p>
  </w:footnote>
  <w:footnote w:id="10">
    <w:p w14:paraId="4C04356E" w14:textId="131A4882" w:rsidR="00CB1D88" w:rsidRDefault="00CB1D88">
      <w:pPr>
        <w:pStyle w:val="Fotnotstext"/>
      </w:pPr>
      <w:r>
        <w:rPr>
          <w:rStyle w:val="Fotnotsreferens"/>
        </w:rPr>
        <w:footnoteRef/>
      </w:r>
      <w:r>
        <w:t xml:space="preserve"> </w:t>
      </w:r>
      <w:r w:rsidRPr="003F6449">
        <w:t>Dödligt våld i den kriminella miljön 2005–2017, Brottsförebyggande rådet, rapport 2020:4.</w:t>
      </w:r>
    </w:p>
  </w:footnote>
  <w:footnote w:id="11">
    <w:p w14:paraId="4EDE1F1B" w14:textId="433DC3CD" w:rsidR="00CB1D88" w:rsidRDefault="00CB1D88">
      <w:pPr>
        <w:pStyle w:val="Fotnotstext"/>
      </w:pPr>
      <w:r>
        <w:rPr>
          <w:rStyle w:val="Fotnotsreferens"/>
        </w:rPr>
        <w:footnoteRef/>
      </w:r>
      <w:r>
        <w:t xml:space="preserve"> </w:t>
      </w:r>
      <w:r w:rsidRPr="003F6449">
        <w:t>Institutet för framtidsstudier, Våldsbejakande extremism och organiserad brottslighet i Sverige, Forskningsrapport 2018:4.</w:t>
      </w:r>
    </w:p>
  </w:footnote>
  <w:footnote w:id="12">
    <w:p w14:paraId="08E8E089" w14:textId="01853B12" w:rsidR="00CB1D88" w:rsidRDefault="00CB1D88">
      <w:pPr>
        <w:pStyle w:val="Fotnotstext"/>
      </w:pPr>
      <w:r>
        <w:rPr>
          <w:rStyle w:val="Fotnotsreferens"/>
        </w:rPr>
        <w:footnoteRef/>
      </w:r>
      <w:r>
        <w:t xml:space="preserve"> </w:t>
      </w:r>
      <w:r w:rsidRPr="003F6449">
        <w:t xml:space="preserve">Kjell Elefalk, Dramatisk reducerad utsatthet under 20 år! Tidskrift för kriminalvård, 2022-05-05. </w:t>
      </w:r>
    </w:p>
  </w:footnote>
  <w:footnote w:id="13">
    <w:p w14:paraId="33197F42" w14:textId="2F708588" w:rsidR="00CB1D88" w:rsidRDefault="00CB1D88">
      <w:pPr>
        <w:pStyle w:val="Fotnotstext"/>
      </w:pPr>
      <w:r>
        <w:rPr>
          <w:rStyle w:val="Fotnotsreferens"/>
        </w:rPr>
        <w:footnoteRef/>
      </w:r>
      <w:r>
        <w:t xml:space="preserve"> </w:t>
      </w:r>
      <w:r w:rsidRPr="003F6449">
        <w:t xml:space="preserve">Brottsförebyggande rådet, Dödligt skjutvapenvåld i Sverige och andra europeiska länder. En jämförande studie av nivåer, trender och våldsmetoder, 2021:8. Se även Brottsförebyggande rådets kortanalys Brottsutvecklingen till och med 2021, 5/2022. </w:t>
      </w:r>
    </w:p>
  </w:footnote>
  <w:footnote w:id="14">
    <w:p w14:paraId="419FFF07" w14:textId="66EAC230" w:rsidR="00CB1D88" w:rsidRDefault="00CB1D88">
      <w:pPr>
        <w:pStyle w:val="Fotnotstext"/>
      </w:pPr>
      <w:r>
        <w:rPr>
          <w:rStyle w:val="Fotnotsreferens"/>
        </w:rPr>
        <w:footnoteRef/>
      </w:r>
      <w:r>
        <w:t xml:space="preserve"> </w:t>
      </w:r>
      <w:r w:rsidRPr="00F0131F">
        <w:t>Brott</w:t>
      </w:r>
      <w:r w:rsidR="00B8710C">
        <w:t>s</w:t>
      </w:r>
      <w:r w:rsidRPr="00F0131F">
        <w:t xml:space="preserve">förebyggande rådet, Nationella trygghetsundersökningen 2022, rapport 2022:9. </w:t>
      </w:r>
    </w:p>
  </w:footnote>
  <w:footnote w:id="15">
    <w:p w14:paraId="7D96D4B7" w14:textId="7CD4F6FA" w:rsidR="00CB1D88" w:rsidRDefault="00CB1D88">
      <w:pPr>
        <w:pStyle w:val="Fotnotstext"/>
      </w:pPr>
      <w:r>
        <w:rPr>
          <w:rStyle w:val="Fotnotsreferens"/>
        </w:rPr>
        <w:footnoteRef/>
      </w:r>
      <w:r>
        <w:t xml:space="preserve"> </w:t>
      </w:r>
      <w:r w:rsidRPr="003F6449">
        <w:t>Se t.ex. Felipe Estrada, professor i kriminologi, Stockholms universitet, m.fl.</w:t>
      </w:r>
    </w:p>
  </w:footnote>
  <w:footnote w:id="16">
    <w:p w14:paraId="7BD00520" w14:textId="54191835" w:rsidR="00CB1D88" w:rsidRDefault="00CB1D88">
      <w:pPr>
        <w:pStyle w:val="Fotnotstext"/>
      </w:pPr>
      <w:r>
        <w:rPr>
          <w:rStyle w:val="Fotnotsreferens"/>
        </w:rPr>
        <w:footnoteRef/>
      </w:r>
      <w:r>
        <w:t xml:space="preserve"> </w:t>
      </w:r>
      <w:r w:rsidRPr="003F6449">
        <w:t>Institutet för framtidsstudier, Våldsbejakande extremism och organiserad brottslighet i Sverige, Forskningsrapport 2018:4</w:t>
      </w:r>
      <w:r w:rsidR="00695EBF">
        <w:t>.</w:t>
      </w:r>
      <w:r w:rsidRPr="003F6449">
        <w:t xml:space="preserve"> Brottsförebyggande rådet, Dödligt skjutvapenvåld i Sverige och andra europeiska länder. En jämförande studie av nivåer, trender och våldsmetoder, 2021:8.</w:t>
      </w:r>
    </w:p>
  </w:footnote>
  <w:footnote w:id="17">
    <w:p w14:paraId="378BFF08" w14:textId="0B631C96" w:rsidR="00CB1D88" w:rsidRDefault="00CB1D88" w:rsidP="0049685F">
      <w:pPr>
        <w:pStyle w:val="Fotnotstext"/>
      </w:pPr>
      <w:r>
        <w:rPr>
          <w:rStyle w:val="Fotnotsreferens"/>
        </w:rPr>
        <w:footnoteRef/>
      </w:r>
      <w:r>
        <w:t xml:space="preserve"> SCB (2021)</w:t>
      </w:r>
      <w:r w:rsidR="00B40E77">
        <w:t>.</w:t>
      </w:r>
      <w:r>
        <w:t xml:space="preserve"> </w:t>
      </w:r>
      <w:r w:rsidRPr="004C6767">
        <w:t>Finansiärer och utförare inom vård, skola och omsorg</w:t>
      </w:r>
      <w:r>
        <w:t xml:space="preserve"> 2019.</w:t>
      </w:r>
    </w:p>
  </w:footnote>
  <w:footnote w:id="18">
    <w:p w14:paraId="3B9C4231" w14:textId="1821BFEB" w:rsidR="00CB1D88" w:rsidRPr="00DD1455" w:rsidRDefault="00CB1D88" w:rsidP="0049685F">
      <w:pPr>
        <w:pStyle w:val="Fotnotstext"/>
        <w:rPr>
          <w:lang w:val="en-GB"/>
        </w:rPr>
      </w:pPr>
      <w:r>
        <w:rPr>
          <w:rStyle w:val="Fotnotsreferens"/>
        </w:rPr>
        <w:footnoteRef/>
      </w:r>
      <w:r w:rsidRPr="00DD1455">
        <w:rPr>
          <w:lang w:val="en-GB"/>
        </w:rPr>
        <w:t xml:space="preserve"> Wilson, D. &amp; Bridge</w:t>
      </w:r>
      <w:r w:rsidR="00B40E77">
        <w:rPr>
          <w:lang w:val="en-GB"/>
        </w:rPr>
        <w:t>, G.</w:t>
      </w:r>
      <w:r w:rsidRPr="00DD1455">
        <w:rPr>
          <w:lang w:val="en-GB"/>
        </w:rPr>
        <w:t xml:space="preserve"> (2019)</w:t>
      </w:r>
      <w:r w:rsidR="00B40E77">
        <w:rPr>
          <w:lang w:val="en-GB"/>
        </w:rPr>
        <w:t>.</w:t>
      </w:r>
      <w:r w:rsidRPr="00DD1455">
        <w:rPr>
          <w:lang w:val="en-GB"/>
        </w:rPr>
        <w:t xml:space="preserve"> School </w:t>
      </w:r>
      <w:r w:rsidR="00FF70AB">
        <w:rPr>
          <w:lang w:val="en-GB"/>
        </w:rPr>
        <w:t>C</w:t>
      </w:r>
      <w:r w:rsidRPr="00DD1455">
        <w:rPr>
          <w:lang w:val="en-GB"/>
        </w:rPr>
        <w:t xml:space="preserve">hoice and </w:t>
      </w:r>
      <w:r w:rsidR="00FF70AB">
        <w:rPr>
          <w:lang w:val="en-GB"/>
        </w:rPr>
        <w:t>E</w:t>
      </w:r>
      <w:r w:rsidRPr="00DD1455">
        <w:rPr>
          <w:lang w:val="en-GB"/>
        </w:rPr>
        <w:t xml:space="preserve">quality of </w:t>
      </w:r>
      <w:r w:rsidR="00FF70AB">
        <w:rPr>
          <w:lang w:val="en-GB"/>
        </w:rPr>
        <w:t>O</w:t>
      </w:r>
      <w:r w:rsidRPr="00DD1455">
        <w:rPr>
          <w:lang w:val="en-GB"/>
        </w:rPr>
        <w:t xml:space="preserve">pportunity: an </w:t>
      </w:r>
      <w:r w:rsidR="00FF70AB">
        <w:rPr>
          <w:lang w:val="en-GB"/>
        </w:rPr>
        <w:t>I</w:t>
      </w:r>
      <w:r w:rsidRPr="00DD1455">
        <w:rPr>
          <w:lang w:val="en-GB"/>
        </w:rPr>
        <w:t xml:space="preserve">nternational </w:t>
      </w:r>
      <w:r w:rsidR="00FF70AB">
        <w:rPr>
          <w:lang w:val="en-GB"/>
        </w:rPr>
        <w:t>S</w:t>
      </w:r>
      <w:r w:rsidRPr="00DD1455">
        <w:rPr>
          <w:lang w:val="en-GB"/>
        </w:rPr>
        <w:t xml:space="preserve">ystematic </w:t>
      </w:r>
      <w:r w:rsidR="00FF70AB">
        <w:rPr>
          <w:lang w:val="en-GB"/>
        </w:rPr>
        <w:t>R</w:t>
      </w:r>
      <w:r w:rsidRPr="00DD1455">
        <w:rPr>
          <w:lang w:val="en-GB"/>
        </w:rPr>
        <w:t>eview, Nuffield Foundation, EDU/42625.</w:t>
      </w:r>
    </w:p>
  </w:footnote>
  <w:footnote w:id="19">
    <w:p w14:paraId="74A42C50" w14:textId="25DC95C2" w:rsidR="00CB1D88" w:rsidRPr="00622D12" w:rsidRDefault="00CB1D88" w:rsidP="0049685F">
      <w:pPr>
        <w:pStyle w:val="Fotnotstext"/>
      </w:pPr>
      <w:r>
        <w:rPr>
          <w:rStyle w:val="Fotnotsreferens"/>
        </w:rPr>
        <w:footnoteRef/>
      </w:r>
      <w:r w:rsidRPr="00622D12">
        <w:t xml:space="preserve"> Folkhälsomyndigheten (2022)</w:t>
      </w:r>
      <w:r w:rsidR="00B40E77">
        <w:t>.</w:t>
      </w:r>
      <w:r w:rsidRPr="00622D12">
        <w:t xml:space="preserve"> Folkhälsans utveckling </w:t>
      </w:r>
      <w:r w:rsidR="00B40E77">
        <w:t xml:space="preserve">– </w:t>
      </w:r>
      <w:r w:rsidRPr="00622D12">
        <w:t xml:space="preserve">Årsrapport 2022. </w:t>
      </w:r>
      <w:r>
        <w:t xml:space="preserve">Samt </w:t>
      </w:r>
      <w:r w:rsidRPr="00622D12">
        <w:t>SCB (2021)</w:t>
      </w:r>
      <w:r w:rsidR="00B40E77">
        <w:t>.</w:t>
      </w:r>
      <w:r w:rsidRPr="00622D12">
        <w:t xml:space="preserve"> Livslängden i Sverige 2011–2020 </w:t>
      </w:r>
      <w:r w:rsidR="00B40E77">
        <w:t xml:space="preserve">– </w:t>
      </w:r>
      <w:r w:rsidRPr="00622D12">
        <w:t>Livslängdstabeller för riket och länen.</w:t>
      </w:r>
    </w:p>
  </w:footnote>
  <w:footnote w:id="20">
    <w:p w14:paraId="48AF5BC1" w14:textId="29C56D52" w:rsidR="00CB1D88" w:rsidRPr="00346CA2" w:rsidRDefault="00CB1D88" w:rsidP="001F2091">
      <w:pPr>
        <w:pStyle w:val="Fotnotstext"/>
      </w:pPr>
      <w:r>
        <w:rPr>
          <w:rStyle w:val="Fotnotsreferens"/>
        </w:rPr>
        <w:footnoteRef/>
      </w:r>
      <w:r w:rsidRPr="00346CA2">
        <w:t xml:space="preserve"> Källa: SOM-institutet vid Göteborgs universitet (Den nationella SOM-undersökningen 1986–2021, Svenska trender 1986–2021). Frågeformulering: ”Vilken är din åsikt om följande förslag?”. Svarsalternativen är ”mycket bra förslag”</w:t>
      </w:r>
      <w:r w:rsidR="00996A1D">
        <w:t>,</w:t>
      </w:r>
      <w:r w:rsidRPr="00346CA2">
        <w:t xml:space="preserve"> ”ganska bra förslag”</w:t>
      </w:r>
      <w:r w:rsidR="00996A1D">
        <w:t>,</w:t>
      </w:r>
      <w:r w:rsidRPr="00346CA2">
        <w:t xml:space="preserve"> ”varken bra eller dåligt förslag”</w:t>
      </w:r>
      <w:r w:rsidR="00996A1D">
        <w:t>,</w:t>
      </w:r>
      <w:r w:rsidRPr="00346CA2">
        <w:t xml:space="preserve"> ”ganska dåligt förslag”</w:t>
      </w:r>
      <w:r w:rsidR="00996A1D">
        <w:t xml:space="preserve"> och</w:t>
      </w:r>
      <w:r w:rsidRPr="00346CA2">
        <w:t xml:space="preserve"> ”mycket dåligt förslag”. Balansmått avser andelen som svarat ”mycket” eller ”ganska bra förslag” minus andelen som svarat ”ganska” eller ”mycket dåligt förslag”.</w:t>
      </w:r>
    </w:p>
  </w:footnote>
  <w:footnote w:id="21">
    <w:p w14:paraId="5944E316" w14:textId="12B00B6C" w:rsidR="00CB1D88" w:rsidRDefault="00CB1D88" w:rsidP="0049685F">
      <w:pPr>
        <w:pStyle w:val="Fotnotstext"/>
      </w:pPr>
      <w:r>
        <w:rPr>
          <w:rStyle w:val="Fotnotsreferens"/>
        </w:rPr>
        <w:footnoteRef/>
      </w:r>
      <w:r>
        <w:t xml:space="preserve"> Kommunal (2021)</w:t>
      </w:r>
      <w:r w:rsidR="00044E70">
        <w:t>.</w:t>
      </w:r>
      <w:r>
        <w:t xml:space="preserve"> Så mycket bättre? – En jämförelse av anställningsvillkor och löner i privat och kommunalt driven äldreomsorg.</w:t>
      </w:r>
    </w:p>
  </w:footnote>
  <w:footnote w:id="22">
    <w:p w14:paraId="42C89DBB" w14:textId="19362186" w:rsidR="00CB1D88" w:rsidRDefault="00CB1D88" w:rsidP="0049685F">
      <w:pPr>
        <w:pStyle w:val="Fotnotstext"/>
      </w:pPr>
      <w:r>
        <w:rPr>
          <w:rStyle w:val="Fotnotsreferens"/>
        </w:rPr>
        <w:footnoteRef/>
      </w:r>
      <w:r>
        <w:t xml:space="preserve"> Skolverket (2022)</w:t>
      </w:r>
      <w:r w:rsidR="00044E70">
        <w:t>.</w:t>
      </w:r>
      <w:r>
        <w:t xml:space="preserve"> </w:t>
      </w:r>
    </w:p>
  </w:footnote>
  <w:footnote w:id="23">
    <w:p w14:paraId="2557E780" w14:textId="346E825E" w:rsidR="00CB1D88" w:rsidRDefault="00CB1D88" w:rsidP="0049685F">
      <w:pPr>
        <w:pStyle w:val="Fotnotstext"/>
      </w:pPr>
      <w:r>
        <w:rPr>
          <w:rStyle w:val="Fotnotsreferens"/>
        </w:rPr>
        <w:footnoteRef/>
      </w:r>
      <w:r>
        <w:t xml:space="preserve"> SCB (2021)</w:t>
      </w:r>
      <w:r w:rsidR="00044E70">
        <w:t>.</w:t>
      </w:r>
      <w:r>
        <w:t xml:space="preserve"> </w:t>
      </w:r>
      <w:r w:rsidRPr="004C6767">
        <w:t>Finansiärer och utförare inom vård, skola och omsorg</w:t>
      </w:r>
      <w:r>
        <w:t xml:space="preserve"> 2019.</w:t>
      </w:r>
    </w:p>
  </w:footnote>
  <w:footnote w:id="24">
    <w:p w14:paraId="3858E7CD" w14:textId="0E8C2844" w:rsidR="00CB1D88" w:rsidRDefault="00CB1D88" w:rsidP="0049685F">
      <w:pPr>
        <w:pStyle w:val="Fotnotstext"/>
      </w:pPr>
      <w:r>
        <w:rPr>
          <w:rStyle w:val="Fotnotsreferens"/>
        </w:rPr>
        <w:footnoteRef/>
      </w:r>
      <w:r>
        <w:t xml:space="preserve"> Källa: SOM-institutet (LO:s välfärdsrapport)</w:t>
      </w:r>
      <w:r w:rsidR="00044E70">
        <w:t>.</w:t>
      </w:r>
    </w:p>
  </w:footnote>
  <w:footnote w:id="25">
    <w:p w14:paraId="45C17632" w14:textId="77777777" w:rsidR="00CB1D88" w:rsidRDefault="00CB1D88" w:rsidP="0049685F">
      <w:pPr>
        <w:pStyle w:val="Fotnotstext"/>
      </w:pPr>
      <w:r>
        <w:rPr>
          <w:rStyle w:val="Fotnotsreferens"/>
        </w:rPr>
        <w:footnoteRef/>
      </w:r>
      <w:r>
        <w:t xml:space="preserve"> </w:t>
      </w:r>
      <w:r w:rsidRPr="002D005C">
        <w:t>Förutsättningar för skolval regleras i skollagen</w:t>
      </w:r>
      <w:r>
        <w:t>.</w:t>
      </w:r>
    </w:p>
  </w:footnote>
  <w:footnote w:id="26">
    <w:p w14:paraId="29E02406" w14:textId="6EA89F89" w:rsidR="00CB1D88" w:rsidRPr="00385B8C" w:rsidRDefault="00CB1D88" w:rsidP="0049685F">
      <w:pPr>
        <w:pStyle w:val="Fotnotstext"/>
      </w:pPr>
      <w:r w:rsidRPr="0024778C">
        <w:rPr>
          <w:rStyle w:val="Fotnotsreferens"/>
        </w:rPr>
        <w:footnoteRef/>
      </w:r>
      <w:r w:rsidRPr="0024778C">
        <w:t xml:space="preserve"> Kommuninvest (2021)</w:t>
      </w:r>
      <w:r w:rsidR="002755B9">
        <w:t>.</w:t>
      </w:r>
      <w:r w:rsidRPr="0024778C">
        <w:t xml:space="preserve"> Att äga eller hyra sina verksamhetslokaler – viktiga överväganden för offentliga aktörer.</w:t>
      </w:r>
    </w:p>
  </w:footnote>
  <w:footnote w:id="27">
    <w:p w14:paraId="21E942DB" w14:textId="55FD431A" w:rsidR="00150108" w:rsidRPr="00150108" w:rsidRDefault="00150108">
      <w:pPr>
        <w:pStyle w:val="Fotnotstext"/>
      </w:pPr>
      <w:r>
        <w:rPr>
          <w:rStyle w:val="Fotnotsreferens"/>
        </w:rPr>
        <w:footnoteRef/>
      </w:r>
      <w:r w:rsidRPr="00150108">
        <w:t xml:space="preserve"> </w:t>
      </w:r>
      <w:r w:rsidRPr="00222013">
        <w:t>https://skr.se/download/18.50bfbe141840e2c6c5a54e85/1667389150465/WEBB-SKR2022_00375-1-Hemstallan-stod-med-ekonomin.PDF</w:t>
      </w:r>
      <w:r w:rsidR="002755B9">
        <w:t>.</w:t>
      </w:r>
    </w:p>
  </w:footnote>
  <w:footnote w:id="28">
    <w:p w14:paraId="74A64A20" w14:textId="237904A1" w:rsidR="00CD02BD" w:rsidRPr="0049056D" w:rsidRDefault="00CD02BD">
      <w:pPr>
        <w:pStyle w:val="Fotnotstext"/>
        <w:rPr>
          <w:lang w:val="es-CL"/>
        </w:rPr>
      </w:pPr>
      <w:r>
        <w:rPr>
          <w:rStyle w:val="Fotnotsreferens"/>
        </w:rPr>
        <w:footnoteRef/>
      </w:r>
      <w:r w:rsidRPr="0049056D">
        <w:rPr>
          <w:lang w:val="es-CL"/>
        </w:rPr>
        <w:t xml:space="preserve"> Se https://www.vansterpartiet.se/wp-content/uploads/2022/11/elpriskompensation-v221113.pdf</w:t>
      </w:r>
      <w:r w:rsidR="002E23AC">
        <w:rPr>
          <w:lang w:val="es-CL"/>
        </w:rPr>
        <w:t>.</w:t>
      </w:r>
    </w:p>
  </w:footnote>
  <w:footnote w:id="29">
    <w:p w14:paraId="3305A255" w14:textId="18B7B7AD" w:rsidR="00CB1D88" w:rsidRPr="003F4715" w:rsidRDefault="00CB1D88" w:rsidP="003F4715">
      <w:pPr>
        <w:pStyle w:val="Normalutanindragellerluft"/>
        <w:spacing w:line="240" w:lineRule="auto"/>
        <w:rPr>
          <w:sz w:val="20"/>
          <w:szCs w:val="20"/>
          <w:lang w:val="en-GB"/>
        </w:rPr>
      </w:pPr>
      <w:r>
        <w:rPr>
          <w:rStyle w:val="Fotnotsreferens"/>
        </w:rPr>
        <w:footnoteRef/>
      </w:r>
      <w:r w:rsidRPr="002C751C">
        <w:rPr>
          <w:lang w:val="en-GB"/>
        </w:rPr>
        <w:t xml:space="preserve"> </w:t>
      </w:r>
      <w:r w:rsidRPr="003F4715">
        <w:rPr>
          <w:sz w:val="20"/>
          <w:szCs w:val="20"/>
          <w:lang w:val="en-GB"/>
        </w:rPr>
        <w:t>Se exempelvis Onaran &amp; Obst (2016)</w:t>
      </w:r>
      <w:r w:rsidR="00684FC7">
        <w:rPr>
          <w:sz w:val="20"/>
          <w:szCs w:val="20"/>
          <w:lang w:val="en-GB"/>
        </w:rPr>
        <w:t>.</w:t>
      </w:r>
      <w:r w:rsidRPr="003F4715">
        <w:rPr>
          <w:sz w:val="20"/>
          <w:szCs w:val="20"/>
          <w:lang w:val="en-GB"/>
        </w:rPr>
        <w:t xml:space="preserve"> Wage-led </w:t>
      </w:r>
      <w:r w:rsidR="00684FC7">
        <w:rPr>
          <w:sz w:val="20"/>
          <w:szCs w:val="20"/>
          <w:lang w:val="en-GB"/>
        </w:rPr>
        <w:t>G</w:t>
      </w:r>
      <w:r w:rsidRPr="003F4715">
        <w:rPr>
          <w:sz w:val="20"/>
          <w:szCs w:val="20"/>
          <w:lang w:val="en-GB"/>
        </w:rPr>
        <w:t xml:space="preserve">rowth in the EU15 </w:t>
      </w:r>
      <w:r w:rsidR="00684FC7">
        <w:rPr>
          <w:sz w:val="20"/>
          <w:szCs w:val="20"/>
          <w:lang w:val="en-GB"/>
        </w:rPr>
        <w:t>M</w:t>
      </w:r>
      <w:r w:rsidRPr="003F4715">
        <w:rPr>
          <w:sz w:val="20"/>
          <w:szCs w:val="20"/>
          <w:lang w:val="en-GB"/>
        </w:rPr>
        <w:t>ember-</w:t>
      </w:r>
      <w:r w:rsidR="00684FC7">
        <w:rPr>
          <w:sz w:val="20"/>
          <w:szCs w:val="20"/>
          <w:lang w:val="en-GB"/>
        </w:rPr>
        <w:t>S</w:t>
      </w:r>
      <w:r w:rsidRPr="003F4715">
        <w:rPr>
          <w:sz w:val="20"/>
          <w:szCs w:val="20"/>
          <w:lang w:val="en-GB"/>
        </w:rPr>
        <w:t xml:space="preserve">tates: the </w:t>
      </w:r>
      <w:r w:rsidR="00684FC7">
        <w:rPr>
          <w:sz w:val="20"/>
          <w:szCs w:val="20"/>
          <w:lang w:val="en-GB"/>
        </w:rPr>
        <w:t>E</w:t>
      </w:r>
      <w:r w:rsidRPr="003F4715">
        <w:rPr>
          <w:sz w:val="20"/>
          <w:szCs w:val="20"/>
          <w:lang w:val="en-GB"/>
        </w:rPr>
        <w:t xml:space="preserve">ffects of </w:t>
      </w:r>
      <w:r w:rsidR="00684FC7">
        <w:rPr>
          <w:sz w:val="20"/>
          <w:szCs w:val="20"/>
          <w:lang w:val="en-GB"/>
        </w:rPr>
        <w:t>I</w:t>
      </w:r>
      <w:r w:rsidRPr="003F4715">
        <w:rPr>
          <w:sz w:val="20"/>
          <w:szCs w:val="20"/>
          <w:lang w:val="en-GB"/>
        </w:rPr>
        <w:t xml:space="preserve">ncome </w:t>
      </w:r>
      <w:r w:rsidR="00684FC7">
        <w:rPr>
          <w:sz w:val="20"/>
          <w:szCs w:val="20"/>
          <w:lang w:val="en-GB"/>
        </w:rPr>
        <w:t>D</w:t>
      </w:r>
      <w:r w:rsidRPr="003F4715">
        <w:rPr>
          <w:sz w:val="20"/>
          <w:szCs w:val="20"/>
          <w:lang w:val="en-GB"/>
        </w:rPr>
        <w:t xml:space="preserve">istribution on </w:t>
      </w:r>
      <w:r w:rsidR="00684FC7">
        <w:rPr>
          <w:sz w:val="20"/>
          <w:szCs w:val="20"/>
          <w:lang w:val="en-GB"/>
        </w:rPr>
        <w:t>G</w:t>
      </w:r>
      <w:r w:rsidRPr="003F4715">
        <w:rPr>
          <w:sz w:val="20"/>
          <w:szCs w:val="20"/>
          <w:lang w:val="en-GB"/>
        </w:rPr>
        <w:t xml:space="preserve">rowth, </w:t>
      </w:r>
      <w:r w:rsidR="00684FC7">
        <w:rPr>
          <w:sz w:val="20"/>
          <w:szCs w:val="20"/>
          <w:lang w:val="en-GB"/>
        </w:rPr>
        <w:t>I</w:t>
      </w:r>
      <w:r w:rsidRPr="003F4715">
        <w:rPr>
          <w:sz w:val="20"/>
          <w:szCs w:val="20"/>
          <w:lang w:val="en-GB"/>
        </w:rPr>
        <w:t xml:space="preserve">nvestment, </w:t>
      </w:r>
      <w:r w:rsidR="00684FC7">
        <w:rPr>
          <w:sz w:val="20"/>
          <w:szCs w:val="20"/>
          <w:lang w:val="en-GB"/>
        </w:rPr>
        <w:t>T</w:t>
      </w:r>
      <w:r w:rsidRPr="003F4715">
        <w:rPr>
          <w:sz w:val="20"/>
          <w:szCs w:val="20"/>
          <w:lang w:val="en-GB"/>
        </w:rPr>
        <w:t xml:space="preserve">rade </w:t>
      </w:r>
      <w:r w:rsidR="00684FC7">
        <w:rPr>
          <w:sz w:val="20"/>
          <w:szCs w:val="20"/>
          <w:lang w:val="en-GB"/>
        </w:rPr>
        <w:t>B</w:t>
      </w:r>
      <w:r w:rsidRPr="003F4715">
        <w:rPr>
          <w:sz w:val="20"/>
          <w:szCs w:val="20"/>
          <w:lang w:val="en-GB"/>
        </w:rPr>
        <w:t xml:space="preserve">alance and </w:t>
      </w:r>
      <w:r w:rsidR="00684FC7">
        <w:rPr>
          <w:sz w:val="20"/>
          <w:szCs w:val="20"/>
          <w:lang w:val="en-GB"/>
        </w:rPr>
        <w:t>I</w:t>
      </w:r>
      <w:r w:rsidRPr="003F4715">
        <w:rPr>
          <w:sz w:val="20"/>
          <w:szCs w:val="20"/>
          <w:lang w:val="en-GB"/>
        </w:rPr>
        <w:t>nflation, Cambridge Journal of Economics.</w:t>
      </w:r>
    </w:p>
  </w:footnote>
  <w:footnote w:id="30">
    <w:p w14:paraId="7A315B0F" w14:textId="459ECE89" w:rsidR="00CB1D88" w:rsidRDefault="00CB1D88" w:rsidP="00FB66A6">
      <w:pPr>
        <w:pStyle w:val="Fotnotstext"/>
      </w:pPr>
      <w:r>
        <w:rPr>
          <w:rStyle w:val="Fotnotsreferens"/>
        </w:rPr>
        <w:footnoteRef/>
      </w:r>
      <w:r>
        <w:t xml:space="preserve"> </w:t>
      </w:r>
      <w:r w:rsidRPr="00EC6B33">
        <w:t>För en diskussion kring beräkningar av den neutrala räntan</w:t>
      </w:r>
      <w:r w:rsidR="005542C9">
        <w:t>,</w:t>
      </w:r>
      <w:r w:rsidRPr="00EC6B33">
        <w:t xml:space="preserve"> se exempelvis Svensson (2014</w:t>
      </w:r>
      <w:r w:rsidR="005542C9">
        <w:t> </w:t>
      </w:r>
      <w:r>
        <w:t>a</w:t>
      </w:r>
      <w:r w:rsidRPr="00EC6B33">
        <w:t>)</w:t>
      </w:r>
      <w:r w:rsidR="005542C9">
        <w:t>.</w:t>
      </w:r>
      <w:r w:rsidRPr="00EC6B33">
        <w:t xml:space="preserve"> </w:t>
      </w:r>
      <w:r w:rsidR="005542C9">
        <w:t>”</w:t>
      </w:r>
      <w:r w:rsidRPr="00EC6B33">
        <w:t>Mycket expansiv penningpolitik” – okunnighet eller desinformation? Ekonomistas. Och vidare Svensson (2014</w:t>
      </w:r>
      <w:r w:rsidR="005542C9">
        <w:t> </w:t>
      </w:r>
      <w:r>
        <w:t>b</w:t>
      </w:r>
      <w:r w:rsidRPr="00EC6B33">
        <w:t>)</w:t>
      </w:r>
      <w:r w:rsidR="005542C9">
        <w:t>.</w:t>
      </w:r>
      <w:r w:rsidRPr="00EC6B33">
        <w:t xml:space="preserve"> Penningpolitik och full sysselsättning, LO. </w:t>
      </w:r>
    </w:p>
  </w:footnote>
  <w:footnote w:id="31">
    <w:p w14:paraId="527F59E4" w14:textId="037338BA" w:rsidR="00CB1D88" w:rsidRDefault="00CB1D88" w:rsidP="00FB66A6">
      <w:pPr>
        <w:pStyle w:val="Fotnotstext"/>
      </w:pPr>
      <w:r>
        <w:rPr>
          <w:rStyle w:val="Fotnotsreferens"/>
        </w:rPr>
        <w:footnoteRef/>
      </w:r>
      <w:r>
        <w:t xml:space="preserve"> Se exempelvis </w:t>
      </w:r>
      <w:r w:rsidRPr="008B77D4">
        <w:t xml:space="preserve">LO </w:t>
      </w:r>
      <w:r>
        <w:t>(</w:t>
      </w:r>
      <w:r w:rsidRPr="008B77D4">
        <w:t>2020</w:t>
      </w:r>
      <w:r>
        <w:t>)</w:t>
      </w:r>
      <w:r w:rsidR="005542C9">
        <w:t>.</w:t>
      </w:r>
      <w:r w:rsidRPr="008B77D4">
        <w:t xml:space="preserve"> Den aktiva arbetsmarknadspolitikens tillbakagång</w:t>
      </w:r>
      <w:r>
        <w:t>.</w:t>
      </w:r>
    </w:p>
  </w:footnote>
  <w:footnote w:id="32">
    <w:p w14:paraId="7AA85B03" w14:textId="0EFC5F8C" w:rsidR="00CB1D88" w:rsidRDefault="00CB1D88" w:rsidP="00FB66A6">
      <w:pPr>
        <w:pStyle w:val="Fotnotstext"/>
      </w:pPr>
      <w:r>
        <w:rPr>
          <w:rStyle w:val="Fotnotsreferens"/>
        </w:rPr>
        <w:footnoteRef/>
      </w:r>
      <w:r>
        <w:t xml:space="preserve"> </w:t>
      </w:r>
      <w:r w:rsidRPr="00EF0B2A">
        <w:t xml:space="preserve">LO </w:t>
      </w:r>
      <w:r>
        <w:t>(</w:t>
      </w:r>
      <w:r w:rsidRPr="00EF0B2A">
        <w:t>2022</w:t>
      </w:r>
      <w:r>
        <w:t>)</w:t>
      </w:r>
      <w:r w:rsidR="005542C9">
        <w:t>.</w:t>
      </w:r>
      <w:r w:rsidRPr="00EF0B2A">
        <w:t xml:space="preserve"> Hur fungerar a-kassan – för den enskilde och hur lite får du? </w:t>
      </w:r>
      <w:r>
        <w:t xml:space="preserve">Samt </w:t>
      </w:r>
      <w:r w:rsidRPr="00EF0B2A">
        <w:t xml:space="preserve">LO </w:t>
      </w:r>
      <w:r>
        <w:t>(</w:t>
      </w:r>
      <w:r w:rsidRPr="00EF0B2A">
        <w:t>2022</w:t>
      </w:r>
      <w:r>
        <w:t>)</w:t>
      </w:r>
      <w:r w:rsidR="005542C9">
        <w:t>.</w:t>
      </w:r>
      <w:r w:rsidRPr="00EF0B2A">
        <w:t xml:space="preserve"> Vilken roll spelar arbetslöshetsförsäkringen i samhällsekonomin?</w:t>
      </w:r>
    </w:p>
  </w:footnote>
  <w:footnote w:id="33">
    <w:p w14:paraId="27B88478" w14:textId="08F00090" w:rsidR="00CB1D88" w:rsidRPr="00FB66A6" w:rsidRDefault="00CB1D88" w:rsidP="00FB66A6">
      <w:pPr>
        <w:pStyle w:val="Fotnotstext"/>
      </w:pPr>
      <w:r>
        <w:rPr>
          <w:rStyle w:val="Fotnotsreferens"/>
        </w:rPr>
        <w:footnoteRef/>
      </w:r>
      <w:r>
        <w:t xml:space="preserve"> Larsson, M. (2022)</w:t>
      </w:r>
      <w:r w:rsidR="00995FFB">
        <w:t>.</w:t>
      </w:r>
      <w:r>
        <w:t xml:space="preserve"> Lönerapport 2022. Löner och löneutveckling år 1913–2021 efter klass och kön. </w:t>
      </w:r>
      <w:r w:rsidRPr="00FB66A6">
        <w:t>LO.</w:t>
      </w:r>
    </w:p>
  </w:footnote>
  <w:footnote w:id="34">
    <w:p w14:paraId="6CBEA52A" w14:textId="1E67A3DF" w:rsidR="00CB1D88" w:rsidRDefault="00CB1D88" w:rsidP="00FB66A6">
      <w:pPr>
        <w:pStyle w:val="Fotnotstext"/>
      </w:pPr>
      <w:r>
        <w:rPr>
          <w:rStyle w:val="Fotnotsreferens"/>
        </w:rPr>
        <w:footnoteRef/>
      </w:r>
      <w:r>
        <w:t xml:space="preserve"> Andelen 80+ av befolkningen </w:t>
      </w:r>
      <w:r w:rsidR="00995FFB">
        <w:t xml:space="preserve">som är </w:t>
      </w:r>
      <w:r>
        <w:t xml:space="preserve">20–64 år, enligt </w:t>
      </w:r>
      <w:r w:rsidRPr="00AF6A22">
        <w:t>SCB:s befolkningsprognos 202</w:t>
      </w:r>
      <w:r>
        <w:t>2.</w:t>
      </w:r>
    </w:p>
  </w:footnote>
  <w:footnote w:id="35">
    <w:p w14:paraId="68D33796" w14:textId="7470A1EB" w:rsidR="00CB1D88" w:rsidRPr="006F1C5F" w:rsidRDefault="00CB1D88" w:rsidP="00FB66A6">
      <w:pPr>
        <w:pStyle w:val="Fotnotstext"/>
      </w:pPr>
      <w:r>
        <w:rPr>
          <w:rStyle w:val="Fotnotsreferens"/>
        </w:rPr>
        <w:footnoteRef/>
      </w:r>
      <w:r w:rsidRPr="006F1C5F">
        <w:t xml:space="preserve"> Kleven (2014)</w:t>
      </w:r>
      <w:r w:rsidR="007F5FD5">
        <w:t>.</w:t>
      </w:r>
      <w:r w:rsidRPr="006F1C5F">
        <w:t xml:space="preserve"> How Can Scandinavians Tax so Much?, Journal of Economic Perspectives, 28(4):77</w:t>
      </w:r>
      <w:r w:rsidR="007F5FD5">
        <w:t>–</w:t>
      </w:r>
      <w:r w:rsidRPr="006F1C5F">
        <w:t>98.</w:t>
      </w:r>
    </w:p>
  </w:footnote>
  <w:footnote w:id="36">
    <w:p w14:paraId="0A087519" w14:textId="62F23CEF" w:rsidR="00CB1D88" w:rsidRPr="00A34558" w:rsidRDefault="00CB1D88" w:rsidP="00FB66A6">
      <w:pPr>
        <w:pStyle w:val="Fotnotstext"/>
        <w:rPr>
          <w:lang w:val="en-GB"/>
        </w:rPr>
      </w:pPr>
      <w:r>
        <w:rPr>
          <w:rStyle w:val="Fotnotsreferens"/>
        </w:rPr>
        <w:footnoteRef/>
      </w:r>
      <w:r w:rsidRPr="00A34558">
        <w:rPr>
          <w:lang w:val="en-GB"/>
        </w:rPr>
        <w:t xml:space="preserve"> Hope, D. och Limberg J.</w:t>
      </w:r>
      <w:r w:rsidR="007F5FD5">
        <w:rPr>
          <w:lang w:val="en-GB"/>
        </w:rPr>
        <w:t xml:space="preserve"> </w:t>
      </w:r>
      <w:r w:rsidRPr="00A34558">
        <w:rPr>
          <w:lang w:val="en-GB"/>
        </w:rPr>
        <w:t>(2020)</w:t>
      </w:r>
      <w:r w:rsidR="007F5FD5">
        <w:rPr>
          <w:lang w:val="en-GB"/>
        </w:rPr>
        <w:t>.</w:t>
      </w:r>
      <w:r w:rsidRPr="00A34558">
        <w:rPr>
          <w:lang w:val="en-GB"/>
        </w:rPr>
        <w:t xml:space="preserve"> ”The Economic Consequences of Major Tax Cuts for the Rich”, London School of Economics.</w:t>
      </w:r>
    </w:p>
  </w:footnote>
  <w:footnote w:id="37">
    <w:p w14:paraId="01810060" w14:textId="6B64D705" w:rsidR="00CB1D88" w:rsidRDefault="00CB1D88" w:rsidP="00FB66A6">
      <w:pPr>
        <w:pStyle w:val="Fotnotstext"/>
      </w:pPr>
      <w:r>
        <w:rPr>
          <w:rStyle w:val="Fotnotsreferens"/>
        </w:rPr>
        <w:footnoteRef/>
      </w:r>
      <w:r>
        <w:t xml:space="preserve"> </w:t>
      </w:r>
      <w:r w:rsidRPr="00F1652E">
        <w:t xml:space="preserve">Regeringens proposition 2020/21:1 </w:t>
      </w:r>
      <w:r w:rsidR="00EC38E1">
        <w:t>b</w:t>
      </w:r>
      <w:r w:rsidRPr="00F1652E">
        <w:t>ilaga 3.</w:t>
      </w:r>
      <w:r w:rsidRPr="009768FC">
        <w:t xml:space="preserve"> </w:t>
      </w:r>
    </w:p>
  </w:footnote>
  <w:footnote w:id="38">
    <w:p w14:paraId="4CF81082" w14:textId="1E53367D" w:rsidR="00CB1D88" w:rsidRDefault="00CB1D88" w:rsidP="00FB66A6">
      <w:pPr>
        <w:pStyle w:val="Fotnotstext"/>
      </w:pPr>
      <w:r>
        <w:rPr>
          <w:rStyle w:val="Fotnotsreferens"/>
        </w:rPr>
        <w:footnoteRef/>
      </w:r>
      <w:r>
        <w:t xml:space="preserve"> </w:t>
      </w:r>
      <w:r w:rsidRPr="00ED456B">
        <w:t>Den svenska Gini-koefficienten för faktorinkomster var 0,51 år 2018</w:t>
      </w:r>
      <w:r w:rsidR="00EB5365">
        <w:t>;</w:t>
      </w:r>
      <w:r w:rsidRPr="00ED456B">
        <w:t xml:space="preserve"> skatter och transfereringar bidrog sedan till att Gini-koefficienten för ekonomisk standard (disponibel</w:t>
      </w:r>
      <w:r w:rsidR="00EB5365">
        <w:t xml:space="preserve"> </w:t>
      </w:r>
      <w:r w:rsidRPr="00ED456B">
        <w:t>inkomst justerad efter hushållssammansättning) minskade till 0,31. När inkomsten för samtliga individer utökas med värdet av välfärdstjänsterna (utökad in</w:t>
      </w:r>
      <w:r>
        <w:t>k</w:t>
      </w:r>
      <w:r w:rsidRPr="00ED456B">
        <w:t xml:space="preserve">omst) minskar inkomstskillnaderna mätt med Gini ytterligare – till 0,24. Källa: </w:t>
      </w:r>
      <w:r w:rsidRPr="00877678">
        <w:t xml:space="preserve">Regeringens proposition 2020/21:1 </w:t>
      </w:r>
      <w:r w:rsidR="00EB5365">
        <w:t>b</w:t>
      </w:r>
      <w:r w:rsidRPr="00877678">
        <w:t>ilaga 3.</w:t>
      </w:r>
      <w:r>
        <w:t xml:space="preserve"> </w:t>
      </w:r>
    </w:p>
  </w:footnote>
  <w:footnote w:id="39">
    <w:p w14:paraId="35F4FCFE" w14:textId="55920695" w:rsidR="00CB1D88" w:rsidRDefault="00CB1D88" w:rsidP="009D3608">
      <w:pPr>
        <w:pStyle w:val="Fotnotstext"/>
      </w:pPr>
      <w:r>
        <w:rPr>
          <w:rStyle w:val="Fotnotsreferens"/>
        </w:rPr>
        <w:footnoteRef/>
      </w:r>
      <w:r>
        <w:t xml:space="preserve"> </w:t>
      </w:r>
      <w:r w:rsidRPr="003A6FB1">
        <w:t>https://www.dn.se/debatt/infor-ett-underskottsmal-for-att-betala-klimatsatsningar/</w:t>
      </w:r>
      <w:r w:rsidR="0085239F">
        <w:t>.</w:t>
      </w:r>
    </w:p>
  </w:footnote>
  <w:footnote w:id="40">
    <w:p w14:paraId="129A6389" w14:textId="2A3FEDCC" w:rsidR="00CB1D88" w:rsidRDefault="00CB1D88" w:rsidP="009D3608">
      <w:pPr>
        <w:pStyle w:val="Fotnotstext"/>
      </w:pPr>
      <w:r>
        <w:rPr>
          <w:rStyle w:val="Fotnotsreferens"/>
        </w:rPr>
        <w:footnoteRef/>
      </w:r>
      <w:r>
        <w:t xml:space="preserve"> Arbetsförmedlingen (2021)</w:t>
      </w:r>
      <w:r w:rsidR="0085239F">
        <w:t>.</w:t>
      </w:r>
      <w:r>
        <w:t xml:space="preserve"> Yrkesprognoser – En utblick över åren 2022 och 2026.</w:t>
      </w:r>
    </w:p>
  </w:footnote>
  <w:footnote w:id="41">
    <w:p w14:paraId="47E92848" w14:textId="236A9BB2" w:rsidR="00CB1D88" w:rsidRDefault="00CB1D88" w:rsidP="009D3608">
      <w:pPr>
        <w:pStyle w:val="Fotnotstext"/>
      </w:pPr>
      <w:r>
        <w:rPr>
          <w:rStyle w:val="Fotnotsreferens"/>
        </w:rPr>
        <w:footnoteRef/>
      </w:r>
      <w:r>
        <w:t xml:space="preserve"> Klimatpolitiska rådet (2022)</w:t>
      </w:r>
      <w:r w:rsidR="000F13A0">
        <w:t>.</w:t>
      </w:r>
      <w:r>
        <w:t xml:space="preserve"> Årsrapport, Rapport nr 5.</w:t>
      </w:r>
    </w:p>
  </w:footnote>
  <w:footnote w:id="42">
    <w:p w14:paraId="56BB1DC2" w14:textId="4BE3C578" w:rsidR="00CB1D88" w:rsidRDefault="00CB1D88" w:rsidP="009D3608">
      <w:pPr>
        <w:pStyle w:val="Fotnotstext"/>
      </w:pPr>
      <w:r>
        <w:rPr>
          <w:rStyle w:val="Fotnotsreferens"/>
        </w:rPr>
        <w:footnoteRef/>
      </w:r>
      <w:r>
        <w:t xml:space="preserve"> https://fossilfrittsverige.se/2021/05/06/tio-forslag-for-fossilfri-aterhamtning/</w:t>
      </w:r>
      <w:r w:rsidR="000F13A0">
        <w:t>.</w:t>
      </w:r>
    </w:p>
  </w:footnote>
  <w:footnote w:id="43">
    <w:p w14:paraId="63717FE1" w14:textId="642F96C7" w:rsidR="00CB1D88" w:rsidRDefault="00CB1D88" w:rsidP="009D3608">
      <w:pPr>
        <w:pStyle w:val="Fotnotstext"/>
      </w:pPr>
      <w:r>
        <w:rPr>
          <w:rStyle w:val="Fotnotsreferens"/>
        </w:rPr>
        <w:footnoteRef/>
      </w:r>
      <w:r>
        <w:t xml:space="preserve"> IFAU (2012)</w:t>
      </w:r>
      <w:r w:rsidR="006744B9">
        <w:t>.</w:t>
      </w:r>
      <w:r>
        <w:t xml:space="preserve"> Vad innebär det att bli coachad? En utvärdering av jobbcoachningen. Rapport 2012:24.</w:t>
      </w:r>
    </w:p>
  </w:footnote>
  <w:footnote w:id="44">
    <w:p w14:paraId="1443C3DE" w14:textId="0596BC1F" w:rsidR="00CB1D88" w:rsidRDefault="00CB1D88" w:rsidP="009D3608">
      <w:pPr>
        <w:pStyle w:val="Fotnotstext"/>
      </w:pPr>
      <w:r>
        <w:rPr>
          <w:rStyle w:val="Fotnotsreferens"/>
        </w:rPr>
        <w:footnoteRef/>
      </w:r>
      <w:r>
        <w:t xml:space="preserve"> </w:t>
      </w:r>
      <w:r w:rsidRPr="00AB6587">
        <w:t>Riksrevisionen (2014)</w:t>
      </w:r>
      <w:r w:rsidR="006744B9">
        <w:t>.</w:t>
      </w:r>
      <w:r w:rsidRPr="00AB6587">
        <w:t xml:space="preserve"> Etableringslotsar – fungerar länken mellan individen och arbetsmarknaden? (RiR 2014:14)</w:t>
      </w:r>
      <w:r>
        <w:t>.</w:t>
      </w:r>
    </w:p>
  </w:footnote>
  <w:footnote w:id="45">
    <w:p w14:paraId="06BDC90F" w14:textId="77777777" w:rsidR="00CB1D88" w:rsidRDefault="00CB1D88" w:rsidP="009D3608">
      <w:pPr>
        <w:pStyle w:val="Fotnotstext"/>
      </w:pPr>
      <w:r>
        <w:rPr>
          <w:rStyle w:val="Fotnotsreferens"/>
        </w:rPr>
        <w:footnoteRef/>
      </w:r>
      <w:r>
        <w:t xml:space="preserve"> IFAU 2019:27.</w:t>
      </w:r>
    </w:p>
  </w:footnote>
  <w:footnote w:id="46">
    <w:p w14:paraId="39D6FAC6" w14:textId="77777777" w:rsidR="00CB1D88" w:rsidRDefault="00CB1D88" w:rsidP="009D3608">
      <w:pPr>
        <w:pStyle w:val="Fotnotstext"/>
      </w:pPr>
      <w:r>
        <w:rPr>
          <w:rStyle w:val="Fotnotsreferens"/>
        </w:rPr>
        <w:footnoteRef/>
      </w:r>
      <w:r>
        <w:t xml:space="preserve"> </w:t>
      </w:r>
      <w:r w:rsidRPr="008F5DF3">
        <w:t>IFAU 2018:13, IFAU 2018:14</w:t>
      </w:r>
      <w:r>
        <w:t>.</w:t>
      </w:r>
    </w:p>
  </w:footnote>
  <w:footnote w:id="47">
    <w:p w14:paraId="075F4BDC" w14:textId="43AE5789" w:rsidR="00CB1D88" w:rsidRDefault="00CB1D88" w:rsidP="009D3608">
      <w:pPr>
        <w:pStyle w:val="Fotnotstext"/>
      </w:pPr>
      <w:r>
        <w:rPr>
          <w:rStyle w:val="Fotnotsreferens"/>
        </w:rPr>
        <w:footnoteRef/>
      </w:r>
      <w:r>
        <w:t xml:space="preserve"> </w:t>
      </w:r>
      <w:r w:rsidRPr="008F5DF3">
        <w:t xml:space="preserve">LO </w:t>
      </w:r>
      <w:r>
        <w:t>(</w:t>
      </w:r>
      <w:r w:rsidRPr="008F5DF3">
        <w:t>2022</w:t>
      </w:r>
      <w:r>
        <w:t>)</w:t>
      </w:r>
      <w:r w:rsidR="005F4FC0">
        <w:t>.</w:t>
      </w:r>
      <w:r w:rsidRPr="008F5DF3">
        <w:t xml:space="preserve"> Etablering eller segmentering? – En analys av systemet med subventionerade anställningar</w:t>
      </w:r>
      <w:r>
        <w:t>.</w:t>
      </w:r>
    </w:p>
  </w:footnote>
  <w:footnote w:id="48">
    <w:p w14:paraId="059306C9" w14:textId="2CC3182D" w:rsidR="000409A3" w:rsidRDefault="000409A3">
      <w:pPr>
        <w:pStyle w:val="Fotnotstext"/>
      </w:pPr>
      <w:r>
        <w:rPr>
          <w:rStyle w:val="Fotnotsreferens"/>
        </w:rPr>
        <w:footnoteRef/>
      </w:r>
      <w:r>
        <w:t xml:space="preserve"> RUT 2022:998</w:t>
      </w:r>
      <w:r w:rsidR="000A4018">
        <w:t>.</w:t>
      </w:r>
    </w:p>
  </w:footnote>
  <w:footnote w:id="49">
    <w:p w14:paraId="6DEDE6CC" w14:textId="53834DA3" w:rsidR="00CB1D88" w:rsidRDefault="00CB1D88" w:rsidP="009D3608">
      <w:pPr>
        <w:pStyle w:val="Fotnotstext"/>
      </w:pPr>
      <w:r>
        <w:rPr>
          <w:rStyle w:val="Fotnotsreferens"/>
        </w:rPr>
        <w:footnoteRef/>
      </w:r>
      <w:r>
        <w:t xml:space="preserve"> </w:t>
      </w:r>
      <w:r w:rsidRPr="00856E94">
        <w:t xml:space="preserve">Arbetsförmedlingen </w:t>
      </w:r>
      <w:r>
        <w:t>(</w:t>
      </w:r>
      <w:r w:rsidRPr="00856E94">
        <w:t>2021</w:t>
      </w:r>
      <w:r>
        <w:t>)</w:t>
      </w:r>
      <w:r w:rsidR="000A4018">
        <w:t>.</w:t>
      </w:r>
      <w:r w:rsidRPr="00856E94">
        <w:t xml:space="preserve"> Effekter av arbetsmarknadspolitiska program 2010–2018</w:t>
      </w:r>
      <w:r>
        <w:t>.</w:t>
      </w:r>
    </w:p>
  </w:footnote>
  <w:footnote w:id="50">
    <w:p w14:paraId="5ABC22EF" w14:textId="75D0A5B7" w:rsidR="00CB1D88" w:rsidRDefault="00CB1D88" w:rsidP="009D3608">
      <w:pPr>
        <w:pStyle w:val="Fotnotstext"/>
      </w:pPr>
      <w:r>
        <w:rPr>
          <w:rStyle w:val="Fotnotsreferens"/>
        </w:rPr>
        <w:footnoteRef/>
      </w:r>
      <w:r>
        <w:t xml:space="preserve"> </w:t>
      </w:r>
      <w:r w:rsidRPr="00512081">
        <w:t>Budgetpropositionen för 2022 utgiftsområde 14 s.</w:t>
      </w:r>
      <w:r w:rsidR="000A4018">
        <w:t> </w:t>
      </w:r>
      <w:r w:rsidRPr="00512081">
        <w:t>25</w:t>
      </w:r>
      <w:r>
        <w:t>.</w:t>
      </w:r>
    </w:p>
  </w:footnote>
  <w:footnote w:id="51">
    <w:p w14:paraId="7E950A5B" w14:textId="77777777" w:rsidR="00CB1D88" w:rsidRDefault="00CB1D88" w:rsidP="009D3608">
      <w:pPr>
        <w:pStyle w:val="Fotnotstext"/>
      </w:pPr>
      <w:r>
        <w:rPr>
          <w:rStyle w:val="Fotnotsreferens"/>
        </w:rPr>
        <w:footnoteRef/>
      </w:r>
      <w:r>
        <w:t xml:space="preserve"> Enligt beräkningar från LO.</w:t>
      </w:r>
    </w:p>
  </w:footnote>
  <w:footnote w:id="52">
    <w:p w14:paraId="36BB359A" w14:textId="24BE7FA1" w:rsidR="00CB1D88" w:rsidRDefault="00CB1D88" w:rsidP="009D3608">
      <w:pPr>
        <w:pStyle w:val="Fotnotstext"/>
      </w:pPr>
      <w:r>
        <w:rPr>
          <w:rStyle w:val="Fotnotsreferens"/>
        </w:rPr>
        <w:footnoteRef/>
      </w:r>
      <w:r>
        <w:t xml:space="preserve"> Sundén, A</w:t>
      </w:r>
      <w:r w:rsidR="009913F6">
        <w:t>.</w:t>
      </w:r>
      <w:r>
        <w:t xml:space="preserve"> (2020)</w:t>
      </w:r>
      <w:r w:rsidR="009913F6">
        <w:t>.</w:t>
      </w:r>
      <w:r>
        <w:t xml:space="preserve"> Läget på arbetsmarknaden och i arbetsmarknadspolitiken – vad behöver göras?</w:t>
      </w:r>
    </w:p>
  </w:footnote>
  <w:footnote w:id="53">
    <w:p w14:paraId="68C02057" w14:textId="4832172F" w:rsidR="000409A3" w:rsidRDefault="000409A3">
      <w:pPr>
        <w:pStyle w:val="Fotnotstext"/>
      </w:pPr>
      <w:r>
        <w:rPr>
          <w:rStyle w:val="Fotnotsreferens"/>
        </w:rPr>
        <w:footnoteRef/>
      </w:r>
      <w:r>
        <w:t xml:space="preserve"> RUT 2022:1138</w:t>
      </w:r>
      <w:r w:rsidR="008500E0">
        <w:t>.</w:t>
      </w:r>
    </w:p>
  </w:footnote>
  <w:footnote w:id="54">
    <w:p w14:paraId="62DE8B48" w14:textId="4EE972FB" w:rsidR="00CB1D88" w:rsidRDefault="00CB1D88" w:rsidP="00D6559C">
      <w:pPr>
        <w:pStyle w:val="Fotnotstext"/>
      </w:pPr>
      <w:r>
        <w:rPr>
          <w:rStyle w:val="Fotnotsreferens"/>
        </w:rPr>
        <w:footnoteRef/>
      </w:r>
      <w:r>
        <w:t xml:space="preserve"> </w:t>
      </w:r>
      <w:r w:rsidRPr="002E4F2C">
        <w:t>ISF (2022:2)</w:t>
      </w:r>
      <w:r w:rsidR="007F5FD5">
        <w:t>.</w:t>
      </w:r>
      <w:r w:rsidRPr="002E4F2C">
        <w:t xml:space="preserve"> Utvecklingen av socialförsäkringsförmånerna under de senaste 30 åren.</w:t>
      </w:r>
    </w:p>
  </w:footnote>
  <w:footnote w:id="55">
    <w:p w14:paraId="0E923522" w14:textId="7722F551" w:rsidR="00CB1D88" w:rsidRDefault="00CB1D88" w:rsidP="00D6559C">
      <w:pPr>
        <w:pStyle w:val="Fotnotstext"/>
      </w:pPr>
      <w:r>
        <w:rPr>
          <w:rStyle w:val="Fotnotsreferens"/>
        </w:rPr>
        <w:footnoteRef/>
      </w:r>
      <w:r>
        <w:t xml:space="preserve"> </w:t>
      </w:r>
      <w:r w:rsidRPr="002E4F2C">
        <w:t>RUT 2022:600</w:t>
      </w:r>
      <w:r w:rsidR="007F5FD5">
        <w:t>.</w:t>
      </w:r>
    </w:p>
  </w:footnote>
  <w:footnote w:id="56">
    <w:p w14:paraId="1A0D0304" w14:textId="589737FD" w:rsidR="00CB1D88" w:rsidRDefault="00CB1D88" w:rsidP="00D6559C">
      <w:pPr>
        <w:pStyle w:val="Fotnotstext"/>
      </w:pPr>
      <w:r>
        <w:rPr>
          <w:rStyle w:val="Fotnotsreferens"/>
        </w:rPr>
        <w:footnoteRef/>
      </w:r>
      <w:r>
        <w:t xml:space="preserve"> </w:t>
      </w:r>
      <w:r w:rsidRPr="002E4F2C">
        <w:t>RUT 2022:600</w:t>
      </w:r>
      <w:r w:rsidR="00166E29">
        <w:t>.</w:t>
      </w:r>
    </w:p>
  </w:footnote>
  <w:footnote w:id="57">
    <w:p w14:paraId="003963A2" w14:textId="3C4BC20C" w:rsidR="00CB1D88" w:rsidRDefault="00CB1D88" w:rsidP="00D6559C">
      <w:pPr>
        <w:pStyle w:val="Fotnotstext"/>
      </w:pPr>
      <w:r>
        <w:rPr>
          <w:rStyle w:val="Fotnotsreferens"/>
        </w:rPr>
        <w:footnoteRef/>
      </w:r>
      <w:r>
        <w:t xml:space="preserve"> </w:t>
      </w:r>
      <w:r w:rsidRPr="002E4F2C">
        <w:t>RUT 2022:600</w:t>
      </w:r>
      <w:r w:rsidR="00166E29">
        <w:t>.</w:t>
      </w:r>
    </w:p>
  </w:footnote>
  <w:footnote w:id="58">
    <w:p w14:paraId="34AFF3A7" w14:textId="416017BB" w:rsidR="00CB1D88" w:rsidRDefault="00CB1D88" w:rsidP="00D6559C">
      <w:pPr>
        <w:pStyle w:val="Fotnotstext"/>
      </w:pPr>
      <w:r>
        <w:rPr>
          <w:rStyle w:val="Fotnotsreferens"/>
        </w:rPr>
        <w:footnoteRef/>
      </w:r>
      <w:r>
        <w:t xml:space="preserve"> </w:t>
      </w:r>
      <w:r w:rsidRPr="002E4F2C">
        <w:t>RUT 2022:600</w:t>
      </w:r>
      <w:r w:rsidR="00166E29">
        <w:t>.</w:t>
      </w:r>
    </w:p>
  </w:footnote>
  <w:footnote w:id="59">
    <w:p w14:paraId="5D23112E" w14:textId="1E7B44D1" w:rsidR="00CB1D88" w:rsidRDefault="00CB1D88" w:rsidP="00D6559C">
      <w:pPr>
        <w:pStyle w:val="Fotnotstext"/>
      </w:pPr>
      <w:r>
        <w:rPr>
          <w:rStyle w:val="Fotnotsreferens"/>
        </w:rPr>
        <w:footnoteRef/>
      </w:r>
      <w:r>
        <w:t xml:space="preserve"> </w:t>
      </w:r>
      <w:r w:rsidRPr="002E4F2C">
        <w:t>RUT 2022:575</w:t>
      </w:r>
      <w:r w:rsidR="00166E29">
        <w:t>.</w:t>
      </w:r>
    </w:p>
  </w:footnote>
  <w:footnote w:id="60">
    <w:p w14:paraId="2556ECD3" w14:textId="261C4C6C" w:rsidR="00CB1D88" w:rsidRDefault="00CB1D88" w:rsidP="00D6559C">
      <w:pPr>
        <w:pStyle w:val="Fotnotstext"/>
      </w:pPr>
      <w:r>
        <w:rPr>
          <w:rStyle w:val="Fotnotsreferens"/>
        </w:rPr>
        <w:footnoteRef/>
      </w:r>
      <w:r>
        <w:t xml:space="preserve"> </w:t>
      </w:r>
      <w:r w:rsidRPr="002E4F2C">
        <w:t>Forena (2022)</w:t>
      </w:r>
      <w:r w:rsidR="00CB28B5">
        <w:t>.</w:t>
      </w:r>
      <w:r w:rsidRPr="002E4F2C">
        <w:t xml:space="preserve"> Stora pensionsrapporten.</w:t>
      </w:r>
    </w:p>
  </w:footnote>
  <w:footnote w:id="61">
    <w:p w14:paraId="12C82FB3" w14:textId="77777777" w:rsidR="00CB1D88" w:rsidRDefault="00CB1D88" w:rsidP="00D6559C">
      <w:pPr>
        <w:pStyle w:val="Fotnotstext"/>
      </w:pPr>
      <w:r>
        <w:rPr>
          <w:rStyle w:val="Fotnotsreferens"/>
        </w:rPr>
        <w:footnoteRef/>
      </w:r>
      <w:r>
        <w:t xml:space="preserve"> </w:t>
      </w:r>
      <w:r w:rsidRPr="002E4F2C">
        <w:t>Med låg ekonomisk standard avses en ekonomisk standard under 60 procent av medianvärdet för riket.</w:t>
      </w:r>
    </w:p>
  </w:footnote>
  <w:footnote w:id="62">
    <w:p w14:paraId="722E50CC" w14:textId="417ACA0F" w:rsidR="00CB1D88" w:rsidRDefault="00CB1D88" w:rsidP="00D6559C">
      <w:pPr>
        <w:pStyle w:val="Fotnotstext"/>
      </w:pPr>
      <w:r>
        <w:rPr>
          <w:rStyle w:val="Fotnotsreferens"/>
        </w:rPr>
        <w:footnoteRef/>
      </w:r>
      <w:r>
        <w:t xml:space="preserve"> </w:t>
      </w:r>
      <w:r w:rsidRPr="00683125">
        <w:t>Följdeffekter av förslagen, på exempelvis jobbskatteavdrag och arbetsgivaravgifter, är inkluderade</w:t>
      </w:r>
      <w:r w:rsidR="000F0131">
        <w:t>.</w:t>
      </w:r>
    </w:p>
  </w:footnote>
  <w:footnote w:id="63">
    <w:p w14:paraId="082E75F3" w14:textId="5AC23B5F" w:rsidR="00CB1D88" w:rsidRDefault="00CB1D88">
      <w:pPr>
        <w:pStyle w:val="Fotnotstext"/>
      </w:pPr>
      <w:r>
        <w:rPr>
          <w:rStyle w:val="Fotnotsreferens"/>
        </w:rPr>
        <w:footnoteRef/>
      </w:r>
      <w:r>
        <w:t xml:space="preserve"> </w:t>
      </w:r>
      <w:r w:rsidRPr="003F43EF">
        <w:t>Vänsterpartiets förslag om att höja pensionerna beskrivs närmare i motion 2021/22:4707. Till skillnad från förslaget i motionen föreslår vi nu att inbetalningarna höjs stegvis och att pensionssystemet finansieras fullt ut</w:t>
      </w:r>
      <w:r w:rsidR="0005546D">
        <w:t>,</w:t>
      </w:r>
      <w:r w:rsidRPr="003F43EF">
        <w:t xml:space="preserve"> vilket innebär att gasen kommer att aktiveras under de närmast kommande åren.</w:t>
      </w:r>
    </w:p>
  </w:footnote>
  <w:footnote w:id="64">
    <w:p w14:paraId="5A5088D2" w14:textId="480279B8" w:rsidR="00CB1D88" w:rsidRPr="00B061D2" w:rsidRDefault="00CB1D88">
      <w:pPr>
        <w:pStyle w:val="Fotnotstext"/>
      </w:pPr>
      <w:r>
        <w:rPr>
          <w:rStyle w:val="Fotnotsreferens"/>
        </w:rPr>
        <w:footnoteRef/>
      </w:r>
      <w:r w:rsidRPr="00B061D2">
        <w:t xml:space="preserve"> RUT 2020:577</w:t>
      </w:r>
      <w:r w:rsidR="0089139B">
        <w:t>.</w:t>
      </w:r>
    </w:p>
  </w:footnote>
  <w:footnote w:id="65">
    <w:p w14:paraId="22060BE9" w14:textId="31B60C20" w:rsidR="000409A3" w:rsidRDefault="000409A3">
      <w:pPr>
        <w:pStyle w:val="Fotnotstext"/>
      </w:pPr>
      <w:r>
        <w:rPr>
          <w:rStyle w:val="Fotnotsreferens"/>
        </w:rPr>
        <w:footnoteRef/>
      </w:r>
      <w:r>
        <w:t xml:space="preserve"> RUT 2022:1107</w:t>
      </w:r>
      <w:r w:rsidR="002C6CDD">
        <w:t>.</w:t>
      </w:r>
    </w:p>
  </w:footnote>
  <w:footnote w:id="66">
    <w:p w14:paraId="3A2B8B65" w14:textId="192AB01D" w:rsidR="000409A3" w:rsidRDefault="000409A3">
      <w:pPr>
        <w:pStyle w:val="Fotnotstext"/>
      </w:pPr>
      <w:r>
        <w:rPr>
          <w:rStyle w:val="Fotnotsreferens"/>
        </w:rPr>
        <w:footnoteRef/>
      </w:r>
      <w:r>
        <w:t xml:space="preserve"> </w:t>
      </w:r>
      <w:r w:rsidRPr="000409A3">
        <w:t>RUT 2020:762</w:t>
      </w:r>
      <w:r w:rsidR="008F1202">
        <w:t>.</w:t>
      </w:r>
    </w:p>
  </w:footnote>
  <w:footnote w:id="67">
    <w:p w14:paraId="13845F2E" w14:textId="7371ABFB" w:rsidR="00CB1D88" w:rsidRDefault="00CB1D88" w:rsidP="00322E70">
      <w:pPr>
        <w:pStyle w:val="Fotnotstext"/>
      </w:pPr>
      <w:r>
        <w:rPr>
          <w:rStyle w:val="Fotnotsreferens"/>
        </w:rPr>
        <w:footnoteRef/>
      </w:r>
      <w:r>
        <w:t xml:space="preserve"> Folkhälsomyndigheten (2022)</w:t>
      </w:r>
      <w:r w:rsidR="008F1202">
        <w:t>.</w:t>
      </w:r>
      <w:r>
        <w:t xml:space="preserve"> Folkhälsans utveckling </w:t>
      </w:r>
      <w:r w:rsidR="003027D5">
        <w:t xml:space="preserve">– </w:t>
      </w:r>
      <w:r>
        <w:t>Årsrapport 2022.</w:t>
      </w:r>
    </w:p>
  </w:footnote>
  <w:footnote w:id="68">
    <w:p w14:paraId="0B1718E6" w14:textId="155848A8" w:rsidR="00326A8F" w:rsidRPr="00466562" w:rsidRDefault="00326A8F" w:rsidP="00326A8F">
      <w:pPr>
        <w:pStyle w:val="Fotnotstext"/>
      </w:pPr>
      <w:r>
        <w:rPr>
          <w:rStyle w:val="Fotnotsreferens"/>
        </w:rPr>
        <w:footnoteRef/>
      </w:r>
      <w:r>
        <w:t xml:space="preserve"> </w:t>
      </w:r>
      <w:r w:rsidRPr="003E464C">
        <w:t>SCB (2022)</w:t>
      </w:r>
      <w:r w:rsidR="008F1202">
        <w:t>.</w:t>
      </w:r>
      <w:r w:rsidRPr="00466562">
        <w:t xml:space="preserve"> Sveriges framtida befolkning 2022–2070</w:t>
      </w:r>
      <w:r>
        <w:t>.</w:t>
      </w:r>
    </w:p>
  </w:footnote>
  <w:footnote w:id="69">
    <w:p w14:paraId="1022D6A2" w14:textId="378BE69B" w:rsidR="00326A8F" w:rsidRDefault="00326A8F" w:rsidP="00326A8F">
      <w:pPr>
        <w:pStyle w:val="Fotnotstext"/>
      </w:pPr>
      <w:r>
        <w:rPr>
          <w:rStyle w:val="Fotnotsreferens"/>
        </w:rPr>
        <w:footnoteRef/>
      </w:r>
      <w:r>
        <w:t xml:space="preserve"> SKR (2020)</w:t>
      </w:r>
      <w:r w:rsidR="008F1202">
        <w:t>.</w:t>
      </w:r>
      <w:r>
        <w:t xml:space="preserve"> Möt välfärden</w:t>
      </w:r>
      <w:r w:rsidR="003027D5">
        <w:t>s</w:t>
      </w:r>
      <w:r>
        <w:t xml:space="preserve"> kompetensutmaning – rekryteringsrapport 2020. </w:t>
      </w:r>
    </w:p>
  </w:footnote>
  <w:footnote w:id="70">
    <w:p w14:paraId="2390C0FC" w14:textId="67F4B2B5" w:rsidR="00326A8F" w:rsidRDefault="00326A8F" w:rsidP="00326A8F">
      <w:pPr>
        <w:pStyle w:val="Fotnotstext"/>
      </w:pPr>
      <w:r>
        <w:rPr>
          <w:rStyle w:val="Fotnotsreferens"/>
        </w:rPr>
        <w:footnoteRef/>
      </w:r>
      <w:r>
        <w:t xml:space="preserve"> KI (2022)</w:t>
      </w:r>
      <w:r w:rsidR="008F1202">
        <w:t>.</w:t>
      </w:r>
      <w:r>
        <w:t xml:space="preserve"> Konjunkturläget, september.</w:t>
      </w:r>
    </w:p>
  </w:footnote>
  <w:footnote w:id="71">
    <w:p w14:paraId="45721D7E" w14:textId="013655B3" w:rsidR="00CB1D88" w:rsidRDefault="00CB1D88" w:rsidP="00322E70">
      <w:pPr>
        <w:pStyle w:val="Fotnotstext"/>
      </w:pPr>
      <w:r>
        <w:rPr>
          <w:rStyle w:val="Fotnotsreferens"/>
        </w:rPr>
        <w:footnoteRef/>
      </w:r>
      <w:r>
        <w:t xml:space="preserve"> Kommunal (2019)</w:t>
      </w:r>
      <w:r w:rsidR="008F1202">
        <w:t>.</w:t>
      </w:r>
      <w:r>
        <w:t xml:space="preserve"> Skatteväxling för välfärden – ett idéprogram.</w:t>
      </w:r>
    </w:p>
  </w:footnote>
  <w:footnote w:id="72">
    <w:p w14:paraId="45E24284" w14:textId="4FC428D0" w:rsidR="00CB1D88" w:rsidRDefault="00CB1D88" w:rsidP="00322E70">
      <w:pPr>
        <w:pStyle w:val="Fotnotstext"/>
      </w:pPr>
      <w:r>
        <w:rPr>
          <w:rStyle w:val="Fotnotsreferens"/>
        </w:rPr>
        <w:footnoteRef/>
      </w:r>
      <w:r>
        <w:t xml:space="preserve"> Larsson, M. (2021)</w:t>
      </w:r>
      <w:r w:rsidR="008F1202">
        <w:t>.</w:t>
      </w:r>
      <w:r>
        <w:t xml:space="preserve"> Lönerapport 2021. Löner och löneutveckling år 1913–2020 efter klass och kön. LO.</w:t>
      </w:r>
    </w:p>
  </w:footnote>
  <w:footnote w:id="73">
    <w:p w14:paraId="141E9055" w14:textId="519CC796" w:rsidR="00CB1D88" w:rsidRDefault="00CB1D88" w:rsidP="00322E70">
      <w:pPr>
        <w:pStyle w:val="Fotnotstext"/>
      </w:pPr>
      <w:r>
        <w:rPr>
          <w:rStyle w:val="Fotnotsreferens"/>
        </w:rPr>
        <w:footnoteRef/>
      </w:r>
      <w:r>
        <w:t xml:space="preserve"> </w:t>
      </w:r>
      <w:r w:rsidRPr="00A93A2E">
        <w:t>Utöver detta anslår vi 40</w:t>
      </w:r>
      <w:r w:rsidR="00476084">
        <w:t> </w:t>
      </w:r>
      <w:r w:rsidRPr="00A93A2E">
        <w:t>miljarder kronor fram till 2026 för att kommuner och regioner ska klara av de kostnadsökningar</w:t>
      </w:r>
      <w:r>
        <w:t xml:space="preserve"> som följer av den demografiska utvecklingen (se vidare under avsnittet ”Mer resurser när befolkningen växer”).</w:t>
      </w:r>
    </w:p>
  </w:footnote>
  <w:footnote w:id="74">
    <w:p w14:paraId="26755771" w14:textId="335EA558" w:rsidR="00CB1D88" w:rsidRDefault="00CB1D88" w:rsidP="00322E70">
      <w:pPr>
        <w:pStyle w:val="Fotnotstext"/>
      </w:pPr>
      <w:r>
        <w:rPr>
          <w:rStyle w:val="Fotnotsreferens"/>
        </w:rPr>
        <w:footnoteRef/>
      </w:r>
      <w:r>
        <w:t xml:space="preserve"> </w:t>
      </w:r>
      <w:r w:rsidRPr="00FE3CF0">
        <w:t>https://www.vardfokus.se/nyheter/hon-fick-betald-specialistutbildning-blev-skyldig-75-000/</w:t>
      </w:r>
      <w:r w:rsidR="008F1202">
        <w:t>.</w:t>
      </w:r>
    </w:p>
  </w:footnote>
  <w:footnote w:id="75">
    <w:p w14:paraId="17CBB007" w14:textId="1D3235C0" w:rsidR="00CB1D88" w:rsidRDefault="00CB1D88" w:rsidP="00322E70">
      <w:pPr>
        <w:pStyle w:val="Fotnotstext"/>
      </w:pPr>
      <w:r>
        <w:rPr>
          <w:rStyle w:val="Fotnotsreferens"/>
        </w:rPr>
        <w:footnoteRef/>
      </w:r>
      <w:r>
        <w:t xml:space="preserve"> Folkhälsomyndigheten (2019)</w:t>
      </w:r>
      <w:r w:rsidR="008F1202">
        <w:t>.</w:t>
      </w:r>
      <w:r>
        <w:t xml:space="preserve"> Öppna jämförelser folkhälsa 2019.</w:t>
      </w:r>
    </w:p>
  </w:footnote>
  <w:footnote w:id="76">
    <w:p w14:paraId="7C2CBA35" w14:textId="77777777" w:rsidR="00CB1D88" w:rsidRDefault="00CB1D88" w:rsidP="00322E70">
      <w:pPr>
        <w:pStyle w:val="Fotnotstext"/>
      </w:pPr>
      <w:r>
        <w:rPr>
          <w:rStyle w:val="Fotnotsreferens"/>
        </w:rPr>
        <w:footnoteRef/>
      </w:r>
      <w:r>
        <w:t xml:space="preserve"> Beräkningen är uppskalad till riket utifrån kostnaderna i region Skåne.</w:t>
      </w:r>
    </w:p>
  </w:footnote>
  <w:footnote w:id="77">
    <w:p w14:paraId="5AF06FE6" w14:textId="2A44C458" w:rsidR="00CB1D88" w:rsidRPr="003E464C" w:rsidRDefault="00CB1D88" w:rsidP="00322E70">
      <w:pPr>
        <w:pStyle w:val="Fotnotstext"/>
        <w:rPr>
          <w:i/>
        </w:rPr>
      </w:pPr>
      <w:r>
        <w:rPr>
          <w:rStyle w:val="Fotnotsreferens"/>
        </w:rPr>
        <w:footnoteRef/>
      </w:r>
      <w:r>
        <w:t xml:space="preserve"> </w:t>
      </w:r>
      <w:r w:rsidRPr="003E464C">
        <w:t>LO (2015)</w:t>
      </w:r>
      <w:r w:rsidR="008F1202">
        <w:t>.</w:t>
      </w:r>
      <w:r w:rsidRPr="003E464C">
        <w:t xml:space="preserve"> </w:t>
      </w:r>
      <w:r w:rsidRPr="001C6DBC">
        <w:rPr>
          <w:iCs/>
        </w:rPr>
        <w:t>Klassamhällets dolda leende: LO:s åtgärdsprogram för en mer jämlik tandhälsa.</w:t>
      </w:r>
    </w:p>
  </w:footnote>
  <w:footnote w:id="78">
    <w:p w14:paraId="5501B314" w14:textId="2B2D2349" w:rsidR="00CB1D88" w:rsidRDefault="00CB1D88" w:rsidP="00322E70">
      <w:pPr>
        <w:pStyle w:val="Fotnotstext"/>
      </w:pPr>
      <w:r>
        <w:rPr>
          <w:rStyle w:val="Fotnotsreferens"/>
        </w:rPr>
        <w:footnoteRef/>
      </w:r>
      <w:r>
        <w:t xml:space="preserve"> </w:t>
      </w:r>
      <w:r w:rsidRPr="00E92F52">
        <w:t>https://arbetet.se/2017/09/13/nattjobb-samre-for-tanderna/</w:t>
      </w:r>
      <w:r w:rsidR="008F1202">
        <w:t>.</w:t>
      </w:r>
    </w:p>
  </w:footnote>
  <w:footnote w:id="79">
    <w:p w14:paraId="3D3FEF04" w14:textId="77777777" w:rsidR="00CB1D88" w:rsidRDefault="00CB1D88" w:rsidP="00322E70">
      <w:pPr>
        <w:pStyle w:val="Fotnotstext"/>
      </w:pPr>
      <w:r>
        <w:rPr>
          <w:rStyle w:val="Fotnotsreferens"/>
        </w:rPr>
        <w:footnoteRef/>
      </w:r>
      <w:r>
        <w:t xml:space="preserve"> </w:t>
      </w:r>
      <w:r w:rsidRPr="004C2D2A">
        <w:t>Enligt modellen för högkostnadsskydd täcker subventioneringen kostnader för ersättningsberättigad tandvård som högst motsvarar respektive åtgärds referenspris, vilket beslutas av TLV, alternativt vårdgivarens pris om detta är lägre.</w:t>
      </w:r>
      <w:r>
        <w:t xml:space="preserve"> </w:t>
      </w:r>
      <w:r w:rsidRPr="00077817">
        <w:t>Högkostnadsskyddet beräknas enligt samma princip som för hälso- och sjukvården, alltså 0,025 gånger prisbasbeloppet avrundat nedåt till närmaste femtiotal kronor.</w:t>
      </w:r>
    </w:p>
  </w:footnote>
  <w:footnote w:id="80">
    <w:p w14:paraId="58C143BE" w14:textId="4AEEAF34" w:rsidR="00CB1D88" w:rsidRPr="003E464C" w:rsidRDefault="00CB1D88" w:rsidP="00322E70">
      <w:pPr>
        <w:pStyle w:val="Fotnotstext"/>
        <w:rPr>
          <w:i/>
        </w:rPr>
      </w:pPr>
      <w:r>
        <w:rPr>
          <w:rStyle w:val="Fotnotsreferens"/>
        </w:rPr>
        <w:footnoteRef/>
      </w:r>
      <w:r>
        <w:t xml:space="preserve"> </w:t>
      </w:r>
      <w:r w:rsidRPr="003E464C">
        <w:t>SOU (2021)</w:t>
      </w:r>
      <w:r w:rsidR="007F5FD5">
        <w:t>.</w:t>
      </w:r>
      <w:r w:rsidRPr="003E464C">
        <w:t xml:space="preserve"> </w:t>
      </w:r>
      <w:r w:rsidRPr="00660BD3">
        <w:rPr>
          <w:iCs/>
        </w:rPr>
        <w:t>När behovet får styra – ett tandvårdssystem för en mer jämlik tandhälsa</w:t>
      </w:r>
      <w:r w:rsidR="002F6415">
        <w:rPr>
          <w:iCs/>
        </w:rPr>
        <w:t>,</w:t>
      </w:r>
      <w:r w:rsidRPr="00660BD3">
        <w:rPr>
          <w:iCs/>
        </w:rPr>
        <w:t xml:space="preserve"> </w:t>
      </w:r>
      <w:r w:rsidR="002F6415">
        <w:rPr>
          <w:iCs/>
        </w:rPr>
        <w:t>v</w:t>
      </w:r>
      <w:r w:rsidRPr="00660BD3">
        <w:rPr>
          <w:iCs/>
        </w:rPr>
        <w:t>ol. 1</w:t>
      </w:r>
      <w:r w:rsidR="008F1202">
        <w:rPr>
          <w:iCs/>
        </w:rPr>
        <w:t>.</w:t>
      </w:r>
    </w:p>
  </w:footnote>
  <w:footnote w:id="81">
    <w:p w14:paraId="0950C152" w14:textId="259291C5" w:rsidR="00CB1D88" w:rsidRDefault="00CB1D88" w:rsidP="00322E70">
      <w:pPr>
        <w:pStyle w:val="Fotnotstext"/>
      </w:pPr>
      <w:r>
        <w:rPr>
          <w:rStyle w:val="Fotnotsreferens"/>
        </w:rPr>
        <w:footnoteRef/>
      </w:r>
      <w:r>
        <w:t xml:space="preserve"> RUT</w:t>
      </w:r>
      <w:r w:rsidR="008F1202">
        <w:t>,</w:t>
      </w:r>
      <w:r>
        <w:t xml:space="preserve"> </w:t>
      </w:r>
      <w:r w:rsidR="002F6415">
        <w:t>d</w:t>
      </w:r>
      <w:r w:rsidRPr="00490145">
        <w:t>nr 2021:918</w:t>
      </w:r>
      <w:r>
        <w:t>.</w:t>
      </w:r>
    </w:p>
  </w:footnote>
  <w:footnote w:id="82">
    <w:p w14:paraId="4DCF129E" w14:textId="098BA2CC" w:rsidR="00CB1D88" w:rsidRPr="00807613" w:rsidRDefault="00CB1D88">
      <w:pPr>
        <w:pStyle w:val="Fotnotstext"/>
      </w:pPr>
      <w:r>
        <w:rPr>
          <w:rStyle w:val="Fotnotsreferens"/>
        </w:rPr>
        <w:footnoteRef/>
      </w:r>
      <w:r w:rsidRPr="00807613">
        <w:t xml:space="preserve"> Katalys (2019)</w:t>
      </w:r>
      <w:r w:rsidR="007F5FD5">
        <w:t>.</w:t>
      </w:r>
      <w:r w:rsidRPr="00807613">
        <w:t xml:space="preserve"> Fattigdom gör inte människan friskare.</w:t>
      </w:r>
    </w:p>
  </w:footnote>
  <w:footnote w:id="83">
    <w:p w14:paraId="39F98266" w14:textId="723216A6" w:rsidR="00CB1D88" w:rsidRPr="00E9286A" w:rsidRDefault="00CB1D88">
      <w:pPr>
        <w:pStyle w:val="Fotnotstext"/>
      </w:pPr>
      <w:r>
        <w:rPr>
          <w:rStyle w:val="Fotnotsreferens"/>
        </w:rPr>
        <w:footnoteRef/>
      </w:r>
      <w:r w:rsidRPr="00E9286A">
        <w:t xml:space="preserve"> Fackförbundet ST (2022)</w:t>
      </w:r>
      <w:r w:rsidR="008F1202">
        <w:t>.</w:t>
      </w:r>
      <w:r w:rsidRPr="00E9286A">
        <w:t xml:space="preserve"> Urholkad stat – en rapport om produktivitetsavdraget i statlig sektor. </w:t>
      </w:r>
    </w:p>
  </w:footnote>
  <w:footnote w:id="84">
    <w:p w14:paraId="6102AC4D" w14:textId="77777777" w:rsidR="00CB1D88" w:rsidRPr="00B061D2" w:rsidRDefault="00CB1D88">
      <w:pPr>
        <w:pStyle w:val="Fotnotstext"/>
      </w:pPr>
      <w:r>
        <w:rPr>
          <w:rStyle w:val="Fotnotsreferens"/>
        </w:rPr>
        <w:footnoteRef/>
      </w:r>
      <w:r w:rsidRPr="00B061D2">
        <w:t xml:space="preserve"> Egna beräkningar.</w:t>
      </w:r>
    </w:p>
  </w:footnote>
  <w:footnote w:id="85">
    <w:p w14:paraId="080A0418" w14:textId="069BDB10" w:rsidR="00CB1D88" w:rsidRDefault="00CB1D88" w:rsidP="008B13D2">
      <w:pPr>
        <w:pStyle w:val="Fotnotstext"/>
      </w:pPr>
      <w:r>
        <w:rPr>
          <w:rStyle w:val="Fotnotsreferens"/>
        </w:rPr>
        <w:footnoteRef/>
      </w:r>
      <w:r>
        <w:t xml:space="preserve"> </w:t>
      </w:r>
      <w:r w:rsidRPr="00DB4594">
        <w:t>Skolinspektionen</w:t>
      </w:r>
      <w:r>
        <w:t xml:space="preserve"> (2018)</w:t>
      </w:r>
      <w:r w:rsidR="008F1202">
        <w:t>.</w:t>
      </w:r>
      <w:r>
        <w:t xml:space="preserve"> </w:t>
      </w:r>
      <w:r w:rsidRPr="00DB4594">
        <w:t>Förskolans kvalitet och måluppfyllelse</w:t>
      </w:r>
      <w:r>
        <w:t>.</w:t>
      </w:r>
    </w:p>
  </w:footnote>
  <w:footnote w:id="86">
    <w:p w14:paraId="638B33F9" w14:textId="77777777" w:rsidR="00CB1D88" w:rsidRDefault="00CB1D88" w:rsidP="008B13D2">
      <w:pPr>
        <w:pStyle w:val="Fotnotstext"/>
      </w:pPr>
      <w:r>
        <w:rPr>
          <w:rStyle w:val="Fotnotsreferens"/>
        </w:rPr>
        <w:footnoteRef/>
      </w:r>
      <w:r>
        <w:t xml:space="preserve"> </w:t>
      </w:r>
      <w:r w:rsidRPr="00971382">
        <w:t>Persson, Sven (2015). En likvärdig förskola för alla barn – innebörder och indikatorer. Stockholm: Vetenskapsrådet.</w:t>
      </w:r>
    </w:p>
  </w:footnote>
  <w:footnote w:id="87">
    <w:p w14:paraId="034BD135" w14:textId="242FB8ED" w:rsidR="00CB1D88" w:rsidRDefault="00CB1D88" w:rsidP="00A6652B">
      <w:pPr>
        <w:pStyle w:val="Fotnotstext"/>
      </w:pPr>
      <w:r w:rsidRPr="00C43B91">
        <w:rPr>
          <w:rStyle w:val="Fotnotsreferens"/>
        </w:rPr>
        <w:footnoteRef/>
      </w:r>
      <w:r w:rsidRPr="00C43B91">
        <w:t xml:space="preserve"> Skelleftea.se</w:t>
      </w:r>
      <w:r w:rsidR="008F1202">
        <w:t>.</w:t>
      </w:r>
    </w:p>
  </w:footnote>
  <w:footnote w:id="88">
    <w:p w14:paraId="4A32E193" w14:textId="61E9FC30" w:rsidR="00CB1D88" w:rsidRDefault="00CB1D88" w:rsidP="00851BFC">
      <w:pPr>
        <w:pStyle w:val="Fotnotstext"/>
      </w:pPr>
      <w:r>
        <w:rPr>
          <w:rStyle w:val="Fotnotsreferens"/>
        </w:rPr>
        <w:footnoteRef/>
      </w:r>
      <w:r>
        <w:t xml:space="preserve"> Inkomster som är avgiftsgrundande: lön/inkomst från eget företag, föräldrapenning, sjukpenning, arbetslöshetsersättning, pension</w:t>
      </w:r>
      <w:r w:rsidR="000A7836">
        <w:t xml:space="preserve"> och</w:t>
      </w:r>
      <w:r>
        <w:t xml:space="preserve"> sjukbidrag. Inkomster som inte är avgiftsgrundande: försörjningsstöd (ekonomiskt bistånd), bostadsbidrag, barnbidrag</w:t>
      </w:r>
      <w:r w:rsidR="000A7836">
        <w:t xml:space="preserve"> och</w:t>
      </w:r>
      <w:r>
        <w:t xml:space="preserve"> studiemedel (bidrag och lån).</w:t>
      </w:r>
    </w:p>
  </w:footnote>
  <w:footnote w:id="89">
    <w:p w14:paraId="1D048E36" w14:textId="77777777" w:rsidR="00CB1D88" w:rsidRDefault="00CB1D88" w:rsidP="00851BFC">
      <w:pPr>
        <w:pStyle w:val="Fotnotstext"/>
      </w:pPr>
      <w:r>
        <w:rPr>
          <w:rStyle w:val="Fotnotsreferens"/>
        </w:rPr>
        <w:footnoteRef/>
      </w:r>
      <w:r>
        <w:t xml:space="preserve"> </w:t>
      </w:r>
      <w:r w:rsidRPr="0060734D">
        <w:t>RUT 2022:750</w:t>
      </w:r>
      <w:r>
        <w:t>.</w:t>
      </w:r>
    </w:p>
  </w:footnote>
  <w:footnote w:id="90">
    <w:p w14:paraId="52D05DDF" w14:textId="55D613D8" w:rsidR="00CB1D88" w:rsidRDefault="00CB1D88" w:rsidP="00851BFC">
      <w:pPr>
        <w:pStyle w:val="Fotnotstext"/>
      </w:pPr>
      <w:r>
        <w:rPr>
          <w:rStyle w:val="Fotnotsreferens"/>
        </w:rPr>
        <w:footnoteRef/>
      </w:r>
      <w:r>
        <w:t xml:space="preserve"> </w:t>
      </w:r>
      <w:r w:rsidRPr="00F81453">
        <w:t>Skolverket (2021)</w:t>
      </w:r>
      <w:r w:rsidR="008F1202">
        <w:t>.</w:t>
      </w:r>
      <w:r w:rsidRPr="00F81453">
        <w:t xml:space="preserve"> Likvärdig förskola i svårigheter</w:t>
      </w:r>
      <w:r>
        <w:t>.</w:t>
      </w:r>
    </w:p>
  </w:footnote>
  <w:footnote w:id="91">
    <w:p w14:paraId="1EAE0CF4" w14:textId="77777777" w:rsidR="00CB1D88" w:rsidRPr="002F63BA" w:rsidRDefault="00CB1D88" w:rsidP="00851BFC">
      <w:pPr>
        <w:pStyle w:val="Fotnotstext"/>
      </w:pPr>
      <w:r>
        <w:rPr>
          <w:rStyle w:val="Fotnotsreferens"/>
        </w:rPr>
        <w:footnoteRef/>
      </w:r>
      <w:r w:rsidRPr="002F63BA">
        <w:t xml:space="preserve"> SOU 2022:34</w:t>
      </w:r>
      <w:r>
        <w:t>.</w:t>
      </w:r>
    </w:p>
  </w:footnote>
  <w:footnote w:id="92">
    <w:p w14:paraId="3B5C80D5" w14:textId="48788819" w:rsidR="00CB1D88" w:rsidRDefault="00CB1D88" w:rsidP="00851BFC">
      <w:pPr>
        <w:pStyle w:val="Fotnotstext"/>
      </w:pPr>
      <w:r>
        <w:rPr>
          <w:rStyle w:val="Fotnotsreferens"/>
        </w:rPr>
        <w:footnoteRef/>
      </w:r>
      <w:r>
        <w:t xml:space="preserve"> Inkomster som är avgiftsgrundande: lön/inkomst från eget företag, föräldrapenning, sjukpenning, arbetslöshetsersättning, pension</w:t>
      </w:r>
      <w:r w:rsidR="000A7836">
        <w:t xml:space="preserve"> och</w:t>
      </w:r>
      <w:r>
        <w:t xml:space="preserve"> sjukbidrag. Inkomster som inte är avgiftsgrundande: försörjningsstöd (ekonomiskt bistånd), bostadsbidrag, barnbidrag</w:t>
      </w:r>
      <w:r w:rsidR="000A7836">
        <w:t xml:space="preserve"> och</w:t>
      </w:r>
      <w:r>
        <w:t xml:space="preserve"> studiemedel (bidrag och lån).</w:t>
      </w:r>
    </w:p>
  </w:footnote>
  <w:footnote w:id="93">
    <w:p w14:paraId="66C73B07" w14:textId="10C424B5" w:rsidR="00CB1D88" w:rsidRPr="000B45DB" w:rsidRDefault="00CB1D88" w:rsidP="00851BFC">
      <w:pPr>
        <w:pStyle w:val="Fotnotstext"/>
      </w:pPr>
      <w:r>
        <w:rPr>
          <w:rStyle w:val="Fotnotsreferens"/>
        </w:rPr>
        <w:footnoteRef/>
      </w:r>
      <w:r w:rsidRPr="000B45DB">
        <w:t xml:space="preserve"> RUT 2022:750</w:t>
      </w:r>
      <w:r w:rsidR="008F1202">
        <w:t>.</w:t>
      </w:r>
    </w:p>
  </w:footnote>
  <w:footnote w:id="94">
    <w:p w14:paraId="74011993" w14:textId="4FC0E20F" w:rsidR="00CB1D88" w:rsidRDefault="00CB1D88" w:rsidP="00E349B8">
      <w:pPr>
        <w:pStyle w:val="Fotnotstext"/>
      </w:pPr>
      <w:r>
        <w:rPr>
          <w:rStyle w:val="Fotnotsreferens"/>
        </w:rPr>
        <w:footnoteRef/>
      </w:r>
      <w:r>
        <w:t xml:space="preserve"> </w:t>
      </w:r>
      <w:r w:rsidRPr="003A6FB1">
        <w:t>https://www.dn.se/debatt/infor-ett-underskottsmal-for-att-betala-klimatsatsningar/</w:t>
      </w:r>
      <w:r w:rsidR="008F1202">
        <w:t>.</w:t>
      </w:r>
    </w:p>
  </w:footnote>
  <w:footnote w:id="95">
    <w:p w14:paraId="693F1D21" w14:textId="520B1EBE" w:rsidR="00CB1D88" w:rsidRDefault="00CB1D88" w:rsidP="00E349B8">
      <w:pPr>
        <w:pStyle w:val="Fotnotstext"/>
      </w:pPr>
      <w:r>
        <w:rPr>
          <w:rStyle w:val="Fotnotsreferens"/>
        </w:rPr>
        <w:footnoteRef/>
      </w:r>
      <w:r>
        <w:t xml:space="preserve"> Konjunkturinstitutet (2021)</w:t>
      </w:r>
      <w:r w:rsidR="008F1202">
        <w:t>.</w:t>
      </w:r>
      <w:r>
        <w:t xml:space="preserve"> Finanspolitiska multiplikatorer i Sverige.</w:t>
      </w:r>
    </w:p>
  </w:footnote>
  <w:footnote w:id="96">
    <w:p w14:paraId="532CA9C7" w14:textId="0FA739C4" w:rsidR="00CC3B9F" w:rsidRDefault="00CC3B9F">
      <w:pPr>
        <w:pStyle w:val="Fotnotstext"/>
      </w:pPr>
      <w:r>
        <w:rPr>
          <w:rStyle w:val="Fotnotsreferens"/>
        </w:rPr>
        <w:footnoteRef/>
      </w:r>
      <w:r>
        <w:t xml:space="preserve"> </w:t>
      </w:r>
      <w:r w:rsidRPr="00CC3B9F">
        <w:t>https://www.vansterpartiet.se/wp-content/uploads/2022/11/elpriskompensation-v221113.pdf</w:t>
      </w:r>
      <w:r w:rsidR="008F1202">
        <w:t>.</w:t>
      </w:r>
    </w:p>
  </w:footnote>
  <w:footnote w:id="97">
    <w:p w14:paraId="4D961E74" w14:textId="7E4B5214" w:rsidR="00CB1D88" w:rsidRDefault="00CB1D88" w:rsidP="000B45DB">
      <w:pPr>
        <w:pStyle w:val="Fotnotstext"/>
      </w:pPr>
      <w:r>
        <w:rPr>
          <w:rStyle w:val="Fotnotsreferens"/>
        </w:rPr>
        <w:footnoteRef/>
      </w:r>
      <w:r w:rsidRPr="006801A0">
        <w:t xml:space="preserve"> FN:s IPCC-rapport (2022)</w:t>
      </w:r>
      <w:r w:rsidR="008F1202">
        <w:t>.</w:t>
      </w:r>
      <w:r w:rsidRPr="006801A0">
        <w:t xml:space="preserve"> Att begränsa klimatförändringen.</w:t>
      </w:r>
    </w:p>
  </w:footnote>
  <w:footnote w:id="98">
    <w:p w14:paraId="6DCD71DD" w14:textId="4164BE8D" w:rsidR="00CB1D88" w:rsidRDefault="00CB1D88">
      <w:pPr>
        <w:pStyle w:val="Fotnotstext"/>
      </w:pPr>
      <w:r>
        <w:rPr>
          <w:rStyle w:val="Fotnotsreferens"/>
        </w:rPr>
        <w:footnoteRef/>
      </w:r>
      <w:r>
        <w:t xml:space="preserve"> </w:t>
      </w:r>
      <w:r w:rsidRPr="004B0D15">
        <w:rPr>
          <w:rFonts w:ascii="Times New Roman" w:hAnsi="Times New Roman" w:cs="Times New Roman"/>
        </w:rPr>
        <w:t>Konjunkturinstitutet (2019)</w:t>
      </w:r>
      <w:r w:rsidR="008F1202">
        <w:rPr>
          <w:rFonts w:ascii="Times New Roman" w:hAnsi="Times New Roman" w:cs="Times New Roman"/>
        </w:rPr>
        <w:t>.</w:t>
      </w:r>
      <w:r w:rsidRPr="004B0D15">
        <w:rPr>
          <w:rFonts w:ascii="Times New Roman" w:hAnsi="Times New Roman" w:cs="Times New Roman"/>
        </w:rPr>
        <w:t xml:space="preserve"> ”Svenska skatter i internationell jämförelse”.</w:t>
      </w:r>
    </w:p>
  </w:footnote>
  <w:footnote w:id="99">
    <w:p w14:paraId="0321070B" w14:textId="7D2527AD" w:rsidR="00CB1D88" w:rsidRDefault="00CB1D88" w:rsidP="00034224">
      <w:pPr>
        <w:pStyle w:val="Fotnotstext"/>
      </w:pPr>
      <w:r>
        <w:rPr>
          <w:rStyle w:val="Fotnotsreferens"/>
        </w:rPr>
        <w:footnoteRef/>
      </w:r>
      <w:r>
        <w:t xml:space="preserve"> </w:t>
      </w:r>
      <w:r w:rsidRPr="00027DB4">
        <w:t>SNS (2018)</w:t>
      </w:r>
      <w:r w:rsidR="008F1202">
        <w:t>.</w:t>
      </w:r>
      <w:r w:rsidRPr="00027DB4">
        <w:t xml:space="preserve"> Konjunkturrådets rapport 2018, ”Kapitalbeskattningens förutsättningar”.</w:t>
      </w:r>
    </w:p>
  </w:footnote>
  <w:footnote w:id="100">
    <w:p w14:paraId="2517E287" w14:textId="1714E64B" w:rsidR="00CB1D88" w:rsidRDefault="00CB1D88" w:rsidP="00034224">
      <w:pPr>
        <w:pStyle w:val="Fotnotstext"/>
      </w:pPr>
      <w:r>
        <w:rPr>
          <w:rStyle w:val="Fotnotsreferens"/>
        </w:rPr>
        <w:footnoteRef/>
      </w:r>
      <w:r>
        <w:t xml:space="preserve"> </w:t>
      </w:r>
      <w:r w:rsidRPr="00027DB4">
        <w:t>Ownershift (2019)</w:t>
      </w:r>
      <w:r w:rsidR="008F1202">
        <w:t>.</w:t>
      </w:r>
      <w:r w:rsidRPr="00027DB4">
        <w:t xml:space="preserve"> ”Vem äger Sverige?”</w:t>
      </w:r>
    </w:p>
  </w:footnote>
  <w:footnote w:id="101">
    <w:p w14:paraId="063B2629" w14:textId="77777777" w:rsidR="00CB1D88" w:rsidRDefault="00CB1D88" w:rsidP="00411F52">
      <w:pPr>
        <w:pStyle w:val="Fotnotstext"/>
      </w:pPr>
      <w:r>
        <w:rPr>
          <w:rStyle w:val="Fotnotsreferens"/>
        </w:rPr>
        <w:footnoteRef/>
      </w:r>
      <w:r>
        <w:t xml:space="preserve"> </w:t>
      </w:r>
      <w:r w:rsidRPr="0083637B">
        <w:t>Regeringens skrivelse 2020/21:98 Redovisning av skatteutgifter 2021.</w:t>
      </w:r>
    </w:p>
  </w:footnote>
  <w:footnote w:id="102">
    <w:p w14:paraId="26339F8E" w14:textId="2A5D721A" w:rsidR="00CB1D88" w:rsidRDefault="00CB1D88" w:rsidP="00411F52">
      <w:pPr>
        <w:pStyle w:val="Fotnotstext"/>
      </w:pPr>
      <w:r>
        <w:rPr>
          <w:rStyle w:val="Fotnotsreferens"/>
        </w:rPr>
        <w:footnoteRef/>
      </w:r>
      <w:r>
        <w:t xml:space="preserve"> RUT, </w:t>
      </w:r>
      <w:r w:rsidR="008F1202">
        <w:t>d</w:t>
      </w:r>
      <w:r>
        <w:t>nr 2022:838</w:t>
      </w:r>
      <w:r w:rsidR="007F5FD5">
        <w:t>.</w:t>
      </w:r>
    </w:p>
  </w:footnote>
  <w:footnote w:id="103">
    <w:p w14:paraId="257CC7F4" w14:textId="77777777" w:rsidR="00CB1D88" w:rsidRDefault="00CB1D88" w:rsidP="00411F52">
      <w:pPr>
        <w:pStyle w:val="Fotnotstext"/>
      </w:pPr>
      <w:r>
        <w:rPr>
          <w:rStyle w:val="Fotnotsreferens"/>
        </w:rPr>
        <w:footnoteRef/>
      </w:r>
      <w:r>
        <w:t xml:space="preserve"> Ibid.</w:t>
      </w:r>
    </w:p>
  </w:footnote>
  <w:footnote w:id="104">
    <w:p w14:paraId="185299A5" w14:textId="42020F36" w:rsidR="00CB1D88" w:rsidRDefault="00CB1D88" w:rsidP="0027719D">
      <w:pPr>
        <w:pStyle w:val="Fotnotstext"/>
      </w:pPr>
      <w:r>
        <w:rPr>
          <w:rStyle w:val="Fotnotsreferens"/>
        </w:rPr>
        <w:footnoteRef/>
      </w:r>
      <w:r>
        <w:t xml:space="preserve"> Reformen baserades på förslag i utredningen av Edin, Hansson, Lodin (2005). ”Reformerad ägarbeskattning – effektivitet, prevention, legitimitet”, Finansdepartementet.</w:t>
      </w:r>
    </w:p>
  </w:footnote>
  <w:footnote w:id="105">
    <w:p w14:paraId="0AB4EF57" w14:textId="07ED5DB1" w:rsidR="00CB1D88" w:rsidRDefault="00CB1D88" w:rsidP="00003DB2">
      <w:pPr>
        <w:pStyle w:val="Fotnotstext"/>
      </w:pPr>
      <w:r>
        <w:rPr>
          <w:rStyle w:val="Fotnotsreferens"/>
        </w:rPr>
        <w:footnoteRef/>
      </w:r>
      <w:r>
        <w:t xml:space="preserve"> Boendetjänsten kan jämföras med den hyra som betalas för boende i </w:t>
      </w:r>
      <w:r w:rsidR="00932DBE">
        <w:t xml:space="preserve">en </w:t>
      </w:r>
      <w:r>
        <w:t>hyresbostad.</w:t>
      </w:r>
    </w:p>
  </w:footnote>
  <w:footnote w:id="106">
    <w:p w14:paraId="5A4E92AA" w14:textId="77777777" w:rsidR="00CB1D88" w:rsidRDefault="00CB1D88" w:rsidP="00003DB2">
      <w:pPr>
        <w:pStyle w:val="Fotnotstext"/>
      </w:pPr>
      <w:r>
        <w:rPr>
          <w:rStyle w:val="Fotnotsreferens"/>
        </w:rPr>
        <w:footnoteRef/>
      </w:r>
      <w:r>
        <w:t xml:space="preserve"> Den </w:t>
      </w:r>
      <w:r w:rsidRPr="005D4958">
        <w:t>kommunal fastighetsavgift</w:t>
      </w:r>
      <w:r>
        <w:t>en har dock alla drag av en skatt.</w:t>
      </w:r>
    </w:p>
  </w:footnote>
  <w:footnote w:id="107">
    <w:p w14:paraId="135D72D8" w14:textId="27085602" w:rsidR="00CB1D88" w:rsidRDefault="00CB1D88" w:rsidP="00003DB2">
      <w:pPr>
        <w:pStyle w:val="Fotnotstext"/>
      </w:pPr>
      <w:r>
        <w:rPr>
          <w:rStyle w:val="Fotnotsreferens"/>
        </w:rPr>
        <w:footnoteRef/>
      </w:r>
      <w:r>
        <w:t xml:space="preserve"> </w:t>
      </w:r>
      <w:bookmarkStart w:id="222" w:name="_Hlk112411692"/>
      <w:r>
        <w:t xml:space="preserve">RUT, </w:t>
      </w:r>
      <w:r w:rsidR="008F1202">
        <w:t>d</w:t>
      </w:r>
      <w:r>
        <w:t xml:space="preserve">nr 2022:659 </w:t>
      </w:r>
      <w:bookmarkEnd w:id="222"/>
      <w:r>
        <w:t xml:space="preserve">och </w:t>
      </w:r>
      <w:r w:rsidRPr="00912508">
        <w:t>https://www.scb.se/hitta-statistik/statistik-efter-amne/boende-byggande-och-bebyggelse/fastighetstaxeringar/fastighetstaxeringar/pong/tabell-och-diagram/fastighetsbestandet/</w:t>
      </w:r>
      <w:r>
        <w:t>.</w:t>
      </w:r>
    </w:p>
  </w:footnote>
  <w:footnote w:id="108">
    <w:p w14:paraId="030B73A2" w14:textId="78A832A7" w:rsidR="00CB1D88" w:rsidRDefault="00CB1D88" w:rsidP="00003DB2">
      <w:pPr>
        <w:pStyle w:val="Fotnotstext"/>
      </w:pPr>
      <w:r>
        <w:rPr>
          <w:rStyle w:val="Fotnotsreferens"/>
        </w:rPr>
        <w:footnoteRef/>
      </w:r>
      <w:r>
        <w:t xml:space="preserve"> RUT, </w:t>
      </w:r>
      <w:r w:rsidR="008F1202">
        <w:t>d</w:t>
      </w:r>
      <w:r>
        <w:t>nr 2022:659</w:t>
      </w:r>
      <w:r w:rsidR="008F1202">
        <w:t>.</w:t>
      </w:r>
      <w:r>
        <w:t xml:space="preserve"> </w:t>
      </w:r>
    </w:p>
  </w:footnote>
  <w:footnote w:id="109">
    <w:p w14:paraId="7CFD6B75" w14:textId="58D4188C" w:rsidR="003258A1" w:rsidRDefault="003258A1" w:rsidP="003258A1">
      <w:pPr>
        <w:pStyle w:val="Fotnotstext"/>
      </w:pPr>
      <w:r>
        <w:rPr>
          <w:rStyle w:val="Fotnotsreferens"/>
        </w:rPr>
        <w:footnoteRef/>
      </w:r>
      <w:r>
        <w:t xml:space="preserve"> </w:t>
      </w:r>
      <w:r w:rsidRPr="00A87DE4">
        <w:t>2019 slopades värnskatten och brytpunkten för statlig inkomstskatt höjdes, sammanlagt till en kostnad på 10</w:t>
      </w:r>
      <w:r w:rsidR="00812949">
        <w:t> </w:t>
      </w:r>
      <w:r w:rsidRPr="00A87DE4">
        <w:t>miljarder kronor, men det har inte minskat kraven.</w:t>
      </w:r>
    </w:p>
  </w:footnote>
  <w:footnote w:id="110">
    <w:p w14:paraId="21106F80" w14:textId="52409F2D" w:rsidR="003258A1" w:rsidRDefault="003258A1" w:rsidP="003258A1">
      <w:pPr>
        <w:pStyle w:val="Fotnotstext"/>
      </w:pPr>
      <w:r>
        <w:rPr>
          <w:rStyle w:val="Fotnotsreferens"/>
        </w:rPr>
        <w:footnoteRef/>
      </w:r>
      <w:r>
        <w:t xml:space="preserve"> </w:t>
      </w:r>
      <w:r w:rsidRPr="00A87DE4">
        <w:t xml:space="preserve">RUT, </w:t>
      </w:r>
      <w:r w:rsidR="008F1202">
        <w:t>d</w:t>
      </w:r>
      <w:r w:rsidRPr="00A87DE4">
        <w:t>nr 2022:614.</w:t>
      </w:r>
    </w:p>
  </w:footnote>
  <w:footnote w:id="111">
    <w:p w14:paraId="0E924F0E" w14:textId="77777777" w:rsidR="003258A1" w:rsidRDefault="003258A1" w:rsidP="003258A1">
      <w:pPr>
        <w:pStyle w:val="Fotnotstext"/>
      </w:pPr>
      <w:r>
        <w:rPr>
          <w:rStyle w:val="Fotnotsreferens"/>
        </w:rPr>
        <w:footnoteRef/>
      </w:r>
      <w:r>
        <w:t xml:space="preserve"> Ibid.</w:t>
      </w:r>
    </w:p>
  </w:footnote>
  <w:footnote w:id="112">
    <w:p w14:paraId="1DEF7F7D" w14:textId="77777777" w:rsidR="003258A1" w:rsidRDefault="003258A1" w:rsidP="003258A1">
      <w:pPr>
        <w:pStyle w:val="Fotnotstext"/>
      </w:pPr>
      <w:r>
        <w:rPr>
          <w:rStyle w:val="Fotnotsreferens"/>
        </w:rPr>
        <w:footnoteRef/>
      </w:r>
      <w:r>
        <w:t xml:space="preserve"> Ibid.</w:t>
      </w:r>
    </w:p>
  </w:footnote>
  <w:footnote w:id="113">
    <w:p w14:paraId="3BAD31CA" w14:textId="200A7041" w:rsidR="00F54986" w:rsidRDefault="00F54986">
      <w:pPr>
        <w:pStyle w:val="Fotnotstext"/>
      </w:pPr>
      <w:r>
        <w:rPr>
          <w:rStyle w:val="Fotnotsreferens"/>
        </w:rPr>
        <w:footnoteRef/>
      </w:r>
      <w:r>
        <w:t xml:space="preserve"> De förslag som ingår i analysen är: i) Ny skatt på inkomster över 62 000 kr/mån</w:t>
      </w:r>
      <w:r w:rsidR="005250C5">
        <w:t>.</w:t>
      </w:r>
      <w:r>
        <w:t>, ii) Avtrappat jobbskatteavdrag från 43 000 kr/mån</w:t>
      </w:r>
      <w:r w:rsidR="005250C5">
        <w:t>.</w:t>
      </w:r>
      <w:r>
        <w:t>, iii) Lika skatt på lika inkomst och iv) Brytpunkten för statlig inkomstskatt behålls på 2022 års nivå.</w:t>
      </w:r>
    </w:p>
  </w:footnote>
  <w:footnote w:id="114">
    <w:p w14:paraId="2A2C4A65" w14:textId="36E368B2" w:rsidR="00EB30FE" w:rsidRDefault="00EB30FE">
      <w:pPr>
        <w:pStyle w:val="Fotnotstext"/>
      </w:pPr>
      <w:r>
        <w:rPr>
          <w:rStyle w:val="Fotnotsreferens"/>
        </w:rPr>
        <w:footnoteRef/>
      </w:r>
      <w:r>
        <w:t xml:space="preserve"> RUT, </w:t>
      </w:r>
      <w:r w:rsidR="008F1202">
        <w:t>d</w:t>
      </w:r>
      <w:r>
        <w:t>nr 2022:1227.</w:t>
      </w:r>
    </w:p>
  </w:footnote>
  <w:footnote w:id="115">
    <w:p w14:paraId="07FAA91E" w14:textId="6A446194" w:rsidR="003258A1" w:rsidRDefault="003258A1" w:rsidP="003258A1">
      <w:pPr>
        <w:pStyle w:val="Fotnotstext"/>
      </w:pPr>
      <w:r>
        <w:rPr>
          <w:rStyle w:val="Fotnotsreferens"/>
        </w:rPr>
        <w:footnoteRef/>
      </w:r>
      <w:r>
        <w:t xml:space="preserve"> </w:t>
      </w:r>
      <w:r w:rsidRPr="002D0700">
        <w:t>Riksrevisionen (2020)</w:t>
      </w:r>
      <w:r w:rsidR="008F1202">
        <w:t>.</w:t>
      </w:r>
      <w:r w:rsidRPr="002D0700">
        <w:t xml:space="preserve"> Rutavdraget – konsekvenser av reformen, RiR 2020:2.</w:t>
      </w:r>
    </w:p>
  </w:footnote>
  <w:footnote w:id="116">
    <w:p w14:paraId="36369B0C" w14:textId="77777777" w:rsidR="003258A1" w:rsidRDefault="003258A1" w:rsidP="003258A1">
      <w:pPr>
        <w:pStyle w:val="Fotnotstext"/>
      </w:pPr>
      <w:r>
        <w:rPr>
          <w:rStyle w:val="Fotnotsreferens"/>
        </w:rPr>
        <w:footnoteRef/>
      </w:r>
      <w:r>
        <w:t xml:space="preserve"> </w:t>
      </w:r>
      <w:r w:rsidRPr="002D0700">
        <w:t>Beräkningen baseras på SCB:s lönestrukturstatistik för 2021, genomsnittslöner för undersköterskor inom äldreomsorgen m.m. Lönekostnaderna har räknats upp med en faktor 1,5 för att inkludera arbetsgivaravgifter, avtalsförsäkringar och avtalspensioner.</w:t>
      </w:r>
    </w:p>
  </w:footnote>
  <w:footnote w:id="117">
    <w:p w14:paraId="67E6E935" w14:textId="5C604B6C" w:rsidR="003258A1" w:rsidRDefault="003258A1" w:rsidP="003258A1">
      <w:pPr>
        <w:pStyle w:val="Fotnotstext"/>
      </w:pPr>
      <w:r>
        <w:rPr>
          <w:rStyle w:val="Fotnotsreferens"/>
        </w:rPr>
        <w:footnoteRef/>
      </w:r>
      <w:r>
        <w:t xml:space="preserve"> </w:t>
      </w:r>
      <w:r w:rsidRPr="00EF7805">
        <w:t>SOU 2020:46 Jämlikhetskommissionen. En gemensam angelägenhet.</w:t>
      </w:r>
    </w:p>
  </w:footnote>
  <w:footnote w:id="118">
    <w:p w14:paraId="208D8BE5" w14:textId="6F15B699" w:rsidR="003258A1" w:rsidRDefault="003258A1" w:rsidP="003258A1">
      <w:pPr>
        <w:pStyle w:val="Fotnotstext"/>
      </w:pPr>
      <w:r>
        <w:rPr>
          <w:rStyle w:val="Fotnotsreferens"/>
        </w:rPr>
        <w:footnoteRef/>
      </w:r>
      <w:r>
        <w:t xml:space="preserve"> </w:t>
      </w:r>
      <w:r w:rsidRPr="00EF7805">
        <w:t>Egelbark, J</w:t>
      </w:r>
      <w:r w:rsidR="008F1202">
        <w:t>.</w:t>
      </w:r>
      <w:r w:rsidRPr="00EF7805">
        <w:t xml:space="preserve"> och Kaunitz</w:t>
      </w:r>
      <w:r w:rsidR="008F1202">
        <w:t xml:space="preserve">, </w:t>
      </w:r>
      <w:r w:rsidR="008F1202" w:rsidRPr="00EF7805">
        <w:t xml:space="preserve">N. </w:t>
      </w:r>
      <w:r w:rsidRPr="00EF7805">
        <w:t>(2013)</w:t>
      </w:r>
      <w:r w:rsidR="008F1202">
        <w:t>.</w:t>
      </w:r>
      <w:r w:rsidRPr="00EF7805">
        <w:t xml:space="preserve"> ”Sänkta arbetsgivaravgifter för unga”, IFAU Rapport 2013:26.</w:t>
      </w:r>
    </w:p>
  </w:footnote>
  <w:footnote w:id="119">
    <w:p w14:paraId="713C8A68" w14:textId="0901F1DF" w:rsidR="003258A1" w:rsidRDefault="003258A1" w:rsidP="003258A1">
      <w:pPr>
        <w:pStyle w:val="Fotnotstext"/>
      </w:pPr>
      <w:r>
        <w:rPr>
          <w:rStyle w:val="Fotnotsreferens"/>
        </w:rPr>
        <w:footnoteRef/>
      </w:r>
      <w:r>
        <w:t xml:space="preserve"> </w:t>
      </w:r>
      <w:r w:rsidRPr="00B43470">
        <w:t>Tillfällig nedsättning. Nedsättningen av arbetsgivaravgifterna för denna grupp upphör den 31</w:t>
      </w:r>
      <w:r w:rsidR="00605F48">
        <w:t> </w:t>
      </w:r>
      <w:r w:rsidRPr="00B43470">
        <w:t>mars 2023.</w:t>
      </w:r>
    </w:p>
  </w:footnote>
  <w:footnote w:id="120">
    <w:p w14:paraId="10F56548" w14:textId="7A434BAC" w:rsidR="00CB1D88" w:rsidRDefault="00CB1D88">
      <w:pPr>
        <w:pStyle w:val="Fotnotstext"/>
      </w:pPr>
      <w:r>
        <w:rPr>
          <w:rStyle w:val="Fotnotsreferens"/>
        </w:rPr>
        <w:footnoteRef/>
      </w:r>
      <w:r>
        <w:t xml:space="preserve"> </w:t>
      </w:r>
      <w:r w:rsidRPr="002C5F5D">
        <w:t>För den del av ränteutgifterna som överstiger 100</w:t>
      </w:r>
      <w:r w:rsidR="008F1202">
        <w:t> </w:t>
      </w:r>
      <w:r w:rsidRPr="002C5F5D">
        <w:t>000 kronor får avdrag göras med 21</w:t>
      </w:r>
      <w:r w:rsidR="008F1202">
        <w:t> </w:t>
      </w:r>
      <w:r w:rsidRPr="002C5F5D">
        <w:t>procent.</w:t>
      </w:r>
    </w:p>
  </w:footnote>
  <w:footnote w:id="121">
    <w:p w14:paraId="26C8B428" w14:textId="02BB0803" w:rsidR="00CB1D88" w:rsidRDefault="00CB1D88">
      <w:pPr>
        <w:pStyle w:val="Fotnotstext"/>
      </w:pPr>
      <w:r>
        <w:rPr>
          <w:rStyle w:val="Fotnotsreferens"/>
        </w:rPr>
        <w:footnoteRef/>
      </w:r>
      <w:r>
        <w:t xml:space="preserve"> </w:t>
      </w:r>
      <w:r w:rsidRPr="002C5F5D">
        <w:t>https://www.fi.se/sv/publicerat/nyheter/2021/fragor-och-svar-om-amorteringskravet-som-borjar-galla-igen-fran-och-med-i-morgon/</w:t>
      </w:r>
      <w:r w:rsidR="008F1202">
        <w:t>.</w:t>
      </w:r>
    </w:p>
  </w:footnote>
  <w:footnote w:id="122">
    <w:p w14:paraId="00F14352" w14:textId="77777777" w:rsidR="00CB1D88" w:rsidRPr="00AA25C4" w:rsidRDefault="00CB1D88" w:rsidP="0059395E">
      <w:pPr>
        <w:pStyle w:val="Fotnotstext"/>
      </w:pPr>
      <w:r>
        <w:rPr>
          <w:rStyle w:val="Fotnotsreferens"/>
        </w:rPr>
        <w:footnoteRef/>
      </w:r>
      <w:r w:rsidRPr="00AA25C4">
        <w:t xml:space="preserve"> Ibid.</w:t>
      </w:r>
    </w:p>
  </w:footnote>
  <w:footnote w:id="123">
    <w:p w14:paraId="55FDCABA" w14:textId="16BB866B" w:rsidR="00CB1D88" w:rsidRDefault="00CB1D88">
      <w:pPr>
        <w:pStyle w:val="Fotnotstext"/>
      </w:pPr>
      <w:r>
        <w:rPr>
          <w:rStyle w:val="Fotnotsreferens"/>
        </w:rPr>
        <w:footnoteRef/>
      </w:r>
      <w:r>
        <w:t xml:space="preserve"> </w:t>
      </w:r>
      <w:r w:rsidRPr="005201AE">
        <w:t>Konjunkturinstitutet (2022)</w:t>
      </w:r>
      <w:r w:rsidR="008F1202">
        <w:t>.</w:t>
      </w:r>
      <w:r w:rsidRPr="005201AE">
        <w:t xml:space="preserve"> ”Hållbarhetsrapport 2022 för de offentliga finanserna”.</w:t>
      </w:r>
    </w:p>
  </w:footnote>
  <w:footnote w:id="124">
    <w:p w14:paraId="53209844" w14:textId="17F7F41A" w:rsidR="00CB1D88" w:rsidRDefault="00CB1D88">
      <w:pPr>
        <w:pStyle w:val="Fotnotstext"/>
      </w:pPr>
      <w:r>
        <w:rPr>
          <w:rStyle w:val="Fotnotsreferens"/>
        </w:rPr>
        <w:footnoteRef/>
      </w:r>
      <w:r>
        <w:t xml:space="preserve"> </w:t>
      </w:r>
      <w:r w:rsidRPr="0023113E">
        <w:t>Baserat på Konjunkturinstitutets (</w:t>
      </w:r>
      <w:r>
        <w:t>september</w:t>
      </w:r>
      <w:r w:rsidRPr="0023113E">
        <w:t xml:space="preserve"> 2022) BNP-prognos för 2023 på 6</w:t>
      </w:r>
      <w:r w:rsidR="008F1202">
        <w:t> </w:t>
      </w:r>
      <w:r>
        <w:t>135</w:t>
      </w:r>
      <w:r w:rsidRPr="0023113E">
        <w:t xml:space="preserve"> miljarder kronor.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30B5" w14:textId="77777777" w:rsidR="00CB1D88" w:rsidRDefault="00CB1D8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55943525" wp14:editId="31C7A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F3A37" w14:textId="213F3C3B" w:rsidR="00CB1D88" w:rsidRDefault="00FD6A85" w:rsidP="008103B5">
                          <w:pPr>
                            <w:jc w:val="right"/>
                          </w:pPr>
                          <w:sdt>
                            <w:sdtPr>
                              <w:alias w:val="CC_Noformat_Partikod"/>
                              <w:tag w:val="CC_Noformat_Partikod"/>
                              <w:id w:val="-53464382"/>
                              <w:text/>
                            </w:sdtPr>
                            <w:sdtEndPr/>
                            <w:sdtContent>
                              <w:r w:rsidR="00CB1D88">
                                <w:t>V</w:t>
                              </w:r>
                            </w:sdtContent>
                          </w:sdt>
                          <w:sdt>
                            <w:sdtPr>
                              <w:alias w:val="CC_Noformat_Partinummer"/>
                              <w:tag w:val="CC_Noformat_Partinummer"/>
                              <w:id w:val="-1709555926"/>
                              <w:text/>
                            </w:sdtPr>
                            <w:sdtEndPr/>
                            <w:sdtContent>
                              <w:r w:rsidR="00BB02FA">
                                <w:t>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435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AF3A37" w14:textId="213F3C3B" w:rsidR="00CB1D88" w:rsidRDefault="00FD6A85" w:rsidP="008103B5">
                    <w:pPr>
                      <w:jc w:val="right"/>
                    </w:pPr>
                    <w:sdt>
                      <w:sdtPr>
                        <w:alias w:val="CC_Noformat_Partikod"/>
                        <w:tag w:val="CC_Noformat_Partikod"/>
                        <w:id w:val="-53464382"/>
                        <w:text/>
                      </w:sdtPr>
                      <w:sdtEndPr/>
                      <w:sdtContent>
                        <w:r w:rsidR="00CB1D88">
                          <w:t>V</w:t>
                        </w:r>
                      </w:sdtContent>
                    </w:sdt>
                    <w:sdt>
                      <w:sdtPr>
                        <w:alias w:val="CC_Noformat_Partinummer"/>
                        <w:tag w:val="CC_Noformat_Partinummer"/>
                        <w:id w:val="-1709555926"/>
                        <w:text/>
                      </w:sdtPr>
                      <w:sdtEndPr/>
                      <w:sdtContent>
                        <w:r w:rsidR="00BB02FA">
                          <w:t>700</w:t>
                        </w:r>
                      </w:sdtContent>
                    </w:sdt>
                  </w:p>
                </w:txbxContent>
              </v:textbox>
              <w10:wrap anchorx="page"/>
            </v:shape>
          </w:pict>
        </mc:Fallback>
      </mc:AlternateContent>
    </w:r>
  </w:p>
  <w:p w14:paraId="2BE05AAF" w14:textId="77777777" w:rsidR="00CB1D88" w:rsidRPr="00293C4F" w:rsidRDefault="00CB1D8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5CF9" w14:textId="77777777" w:rsidR="00CB1D88" w:rsidRDefault="00CB1D88" w:rsidP="008563AC">
    <w:pPr>
      <w:jc w:val="right"/>
    </w:pPr>
  </w:p>
  <w:p w14:paraId="1C03B339" w14:textId="77777777" w:rsidR="00CB1D88" w:rsidRDefault="00CB1D8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7432" w14:textId="77777777" w:rsidR="00CB1D88" w:rsidRDefault="00FD6A85" w:rsidP="008563AC">
    <w:pPr>
      <w:jc w:val="right"/>
    </w:pPr>
    <w:sdt>
      <w:sdtPr>
        <w:alias w:val="cc_Logo"/>
        <w:tag w:val="cc_Logo"/>
        <w:id w:val="-2124838662"/>
        <w:lock w:val="sdtContentLocked"/>
      </w:sdtPr>
      <w:sdtEndPr/>
      <w:sdtContent>
        <w:r w:rsidR="00CB1D88">
          <w:rPr>
            <w:noProof/>
            <w:lang w:eastAsia="sv-SE"/>
          </w:rPr>
          <w:drawing>
            <wp:anchor distT="0" distB="0" distL="114300" distR="114300" simplePos="0" relativeHeight="251658241" behindDoc="0" locked="0" layoutInCell="1" allowOverlap="1" wp14:anchorId="541A8021" wp14:editId="17B249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54891E" w14:textId="36DD875D" w:rsidR="00CB1D88" w:rsidRDefault="00FD6A85" w:rsidP="00A314CF">
    <w:pPr>
      <w:pStyle w:val="FSHNormal"/>
      <w:spacing w:before="40"/>
    </w:pPr>
    <w:sdt>
      <w:sdtPr>
        <w:alias w:val="CC_Noformat_Motionstyp"/>
        <w:tag w:val="CC_Noformat_Motionstyp"/>
        <w:id w:val="1162973129"/>
        <w:lock w:val="sdtContentLocked"/>
        <w15:appearance w15:val="hidden"/>
        <w:text/>
      </w:sdtPr>
      <w:sdtEndPr/>
      <w:sdtContent>
        <w:r w:rsidR="00FC2616">
          <w:t>Partimotion</w:t>
        </w:r>
      </w:sdtContent>
    </w:sdt>
    <w:r w:rsidR="00CB1D88">
      <w:t xml:space="preserve"> </w:t>
    </w:r>
    <w:sdt>
      <w:sdtPr>
        <w:alias w:val="CC_Noformat_Partikod"/>
        <w:tag w:val="CC_Noformat_Partikod"/>
        <w:id w:val="1471015553"/>
        <w:text/>
      </w:sdtPr>
      <w:sdtEndPr/>
      <w:sdtContent>
        <w:r w:rsidR="00CB1D88">
          <w:t>V</w:t>
        </w:r>
      </w:sdtContent>
    </w:sdt>
    <w:sdt>
      <w:sdtPr>
        <w:alias w:val="CC_Noformat_Partinummer"/>
        <w:tag w:val="CC_Noformat_Partinummer"/>
        <w:id w:val="-2014525982"/>
        <w:text/>
      </w:sdtPr>
      <w:sdtEndPr/>
      <w:sdtContent>
        <w:r w:rsidR="00BB02FA">
          <w:t>700</w:t>
        </w:r>
      </w:sdtContent>
    </w:sdt>
  </w:p>
  <w:p w14:paraId="121D0D68" w14:textId="77777777" w:rsidR="00CB1D88" w:rsidRPr="008227B3" w:rsidRDefault="00FD6A85" w:rsidP="008227B3">
    <w:pPr>
      <w:pStyle w:val="MotionTIllRiksdagen"/>
    </w:pPr>
    <w:sdt>
      <w:sdtPr>
        <w:alias w:val="CC_Boilerplate_1"/>
        <w:tag w:val="CC_Boilerplate_1"/>
        <w:id w:val="2134750458"/>
        <w:lock w:val="sdtContentLocked"/>
        <w15:appearance w15:val="hidden"/>
        <w:text/>
      </w:sdtPr>
      <w:sdtEndPr/>
      <w:sdtContent>
        <w:r w:rsidR="00CB1D88" w:rsidRPr="008227B3">
          <w:t>Motion till riksdagen </w:t>
        </w:r>
      </w:sdtContent>
    </w:sdt>
  </w:p>
  <w:p w14:paraId="7F980985" w14:textId="77777777" w:rsidR="00CB1D88" w:rsidRPr="008227B3" w:rsidRDefault="00FD6A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261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2616">
          <w:t>:1299</w:t>
        </w:r>
      </w:sdtContent>
    </w:sdt>
  </w:p>
  <w:p w14:paraId="06B2431C" w14:textId="638F7355" w:rsidR="00CB1D88" w:rsidRDefault="00FD6A85" w:rsidP="00E03A3D">
    <w:pPr>
      <w:pStyle w:val="Motionr"/>
    </w:pPr>
    <w:sdt>
      <w:sdtPr>
        <w:alias w:val="CC_Noformat_Avtext"/>
        <w:tag w:val="CC_Noformat_Avtext"/>
        <w:id w:val="-2020768203"/>
        <w:lock w:val="sdtContentLocked"/>
        <w15:appearance w15:val="hidden"/>
        <w:text/>
      </w:sdtPr>
      <w:sdtEndPr/>
      <w:sdtContent>
        <w:r w:rsidR="00FC2616">
          <w:t>av Nooshi Dadgostar m.fl. (V)</w:t>
        </w:r>
      </w:sdtContent>
    </w:sdt>
  </w:p>
  <w:sdt>
    <w:sdtPr>
      <w:alias w:val="CC_Noformat_Rubtext"/>
      <w:tag w:val="CC_Noformat_Rubtext"/>
      <w:id w:val="-218060500"/>
      <w:lock w:val="sdtLocked"/>
      <w:text/>
    </w:sdtPr>
    <w:sdtEndPr/>
    <w:sdtContent>
      <w:p w14:paraId="7FC52C29" w14:textId="674BCEEE" w:rsidR="00CB1D88" w:rsidRDefault="00906524" w:rsidP="00283E0F">
        <w:pPr>
          <w:pStyle w:val="FSHRub2"/>
        </w:pPr>
        <w:r>
          <w:t>En rättvis väg genom krisen – Vänsterpartiets budgetmotion för 2023</w:t>
        </w:r>
      </w:p>
    </w:sdtContent>
  </w:sdt>
  <w:sdt>
    <w:sdtPr>
      <w:alias w:val="CC_Boilerplate_3"/>
      <w:tag w:val="CC_Boilerplate_3"/>
      <w:id w:val="1606463544"/>
      <w:lock w:val="sdtContentLocked"/>
      <w15:appearance w15:val="hidden"/>
      <w:text w:multiLine="1"/>
    </w:sdtPr>
    <w:sdtEndPr/>
    <w:sdtContent>
      <w:p w14:paraId="4A3C1A6E" w14:textId="77777777" w:rsidR="00CB1D88" w:rsidRDefault="00CB1D88"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F080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C641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144F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EAC5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0A20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AC4E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FC79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64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81A28380"/>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C7788C"/>
    <w:multiLevelType w:val="hybridMultilevel"/>
    <w:tmpl w:val="DCEE30F8"/>
    <w:lvl w:ilvl="0" w:tplc="EC4E2E7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36D6CF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4D3E12A0"/>
    <w:multiLevelType w:val="hybridMultilevel"/>
    <w:tmpl w:val="73A8827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7" w15:restartNumberingAfterBreak="0">
    <w:nsid w:val="4F36223B"/>
    <w:multiLevelType w:val="hybridMultilevel"/>
    <w:tmpl w:val="E384C030"/>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EE573D"/>
    <w:multiLevelType w:val="hybridMultilevel"/>
    <w:tmpl w:val="15944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DE6A0514"/>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3208"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AFA52F5"/>
    <w:multiLevelType w:val="hybridMultilevel"/>
    <w:tmpl w:val="5D8668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A306F6"/>
    <w:multiLevelType w:val="hybridMultilevel"/>
    <w:tmpl w:val="0E040A6E"/>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4E42DA"/>
    <w:multiLevelType w:val="hybridMultilevel"/>
    <w:tmpl w:val="D71CD9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0"/>
  </w:num>
  <w:num w:numId="4">
    <w:abstractNumId w:val="14"/>
  </w:num>
  <w:num w:numId="5">
    <w:abstractNumId w:val="21"/>
  </w:num>
  <w:num w:numId="6">
    <w:abstractNumId w:val="10"/>
  </w:num>
  <w:num w:numId="7">
    <w:abstractNumId w:val="23"/>
  </w:num>
  <w:num w:numId="8">
    <w:abstractNumId w:val="12"/>
  </w:num>
  <w:num w:numId="9">
    <w:abstractNumId w:val="13"/>
  </w:num>
  <w:num w:numId="10">
    <w:abstractNumId w:val="18"/>
  </w:num>
  <w:num w:numId="11">
    <w:abstractNumId w:val="22"/>
  </w:num>
  <w:num w:numId="12">
    <w:abstractNumId w:val="15"/>
  </w:num>
  <w:num w:numId="13">
    <w:abstractNumId w:val="19"/>
  </w:num>
  <w:num w:numId="14">
    <w:abstractNumId w:val="24"/>
  </w:num>
  <w:num w:numId="15">
    <w:abstractNumId w:val="16"/>
  </w:num>
  <w:num w:numId="16">
    <w:abstractNumId w:val="21"/>
  </w:num>
  <w:num w:numId="17">
    <w:abstractNumId w:val="21"/>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2453D"/>
    <w:rsid w:val="000000E0"/>
    <w:rsid w:val="0000057A"/>
    <w:rsid w:val="00000761"/>
    <w:rsid w:val="000014AF"/>
    <w:rsid w:val="000016FE"/>
    <w:rsid w:val="00001CF2"/>
    <w:rsid w:val="0000201B"/>
    <w:rsid w:val="00002216"/>
    <w:rsid w:val="00002310"/>
    <w:rsid w:val="00002CB4"/>
    <w:rsid w:val="000030B6"/>
    <w:rsid w:val="00003202"/>
    <w:rsid w:val="00003AC4"/>
    <w:rsid w:val="00003CCB"/>
    <w:rsid w:val="00003DB2"/>
    <w:rsid w:val="00003F79"/>
    <w:rsid w:val="00004126"/>
    <w:rsid w:val="0000412E"/>
    <w:rsid w:val="00004250"/>
    <w:rsid w:val="000043C1"/>
    <w:rsid w:val="000043C3"/>
    <w:rsid w:val="00004F03"/>
    <w:rsid w:val="000055B5"/>
    <w:rsid w:val="00006BF0"/>
    <w:rsid w:val="000073E7"/>
    <w:rsid w:val="0000743A"/>
    <w:rsid w:val="000076F0"/>
    <w:rsid w:val="00007716"/>
    <w:rsid w:val="000079D7"/>
    <w:rsid w:val="00007D10"/>
    <w:rsid w:val="00010051"/>
    <w:rsid w:val="00010168"/>
    <w:rsid w:val="0001036B"/>
    <w:rsid w:val="000103BF"/>
    <w:rsid w:val="000104C3"/>
    <w:rsid w:val="000108DA"/>
    <w:rsid w:val="00010DF8"/>
    <w:rsid w:val="00011227"/>
    <w:rsid w:val="00011724"/>
    <w:rsid w:val="00011754"/>
    <w:rsid w:val="00011820"/>
    <w:rsid w:val="00011B85"/>
    <w:rsid w:val="00011C61"/>
    <w:rsid w:val="00011CEC"/>
    <w:rsid w:val="00011EBB"/>
    <w:rsid w:val="00011F33"/>
    <w:rsid w:val="00012E11"/>
    <w:rsid w:val="00012EAF"/>
    <w:rsid w:val="000132DC"/>
    <w:rsid w:val="00014003"/>
    <w:rsid w:val="00014034"/>
    <w:rsid w:val="00014823"/>
    <w:rsid w:val="00014A14"/>
    <w:rsid w:val="00014F39"/>
    <w:rsid w:val="00015064"/>
    <w:rsid w:val="000151E8"/>
    <w:rsid w:val="00015205"/>
    <w:rsid w:val="000156D9"/>
    <w:rsid w:val="000166A9"/>
    <w:rsid w:val="00016E07"/>
    <w:rsid w:val="000171D9"/>
    <w:rsid w:val="000176B5"/>
    <w:rsid w:val="000200F6"/>
    <w:rsid w:val="0002068F"/>
    <w:rsid w:val="000214C8"/>
    <w:rsid w:val="00022A2A"/>
    <w:rsid w:val="00022F5C"/>
    <w:rsid w:val="000232AB"/>
    <w:rsid w:val="00024356"/>
    <w:rsid w:val="000243A4"/>
    <w:rsid w:val="000244B8"/>
    <w:rsid w:val="00024712"/>
    <w:rsid w:val="00024921"/>
    <w:rsid w:val="00024FEA"/>
    <w:rsid w:val="000250D5"/>
    <w:rsid w:val="00025359"/>
    <w:rsid w:val="000256D5"/>
    <w:rsid w:val="00026034"/>
    <w:rsid w:val="00026191"/>
    <w:rsid w:val="00026307"/>
    <w:rsid w:val="000265CA"/>
    <w:rsid w:val="000269AE"/>
    <w:rsid w:val="000269D1"/>
    <w:rsid w:val="00026D19"/>
    <w:rsid w:val="00026E2E"/>
    <w:rsid w:val="0002759A"/>
    <w:rsid w:val="000275ED"/>
    <w:rsid w:val="000300BF"/>
    <w:rsid w:val="00030C4D"/>
    <w:rsid w:val="000311F6"/>
    <w:rsid w:val="0003127D"/>
    <w:rsid w:val="0003143D"/>
    <w:rsid w:val="000314C1"/>
    <w:rsid w:val="00031AF1"/>
    <w:rsid w:val="00031D4B"/>
    <w:rsid w:val="0003208D"/>
    <w:rsid w:val="0003287D"/>
    <w:rsid w:val="00032A5E"/>
    <w:rsid w:val="00033025"/>
    <w:rsid w:val="000338B4"/>
    <w:rsid w:val="00033C04"/>
    <w:rsid w:val="00033D8B"/>
    <w:rsid w:val="00034224"/>
    <w:rsid w:val="000356A2"/>
    <w:rsid w:val="00035775"/>
    <w:rsid w:val="00035BF0"/>
    <w:rsid w:val="00036A17"/>
    <w:rsid w:val="00036E35"/>
    <w:rsid w:val="00036E88"/>
    <w:rsid w:val="000370AD"/>
    <w:rsid w:val="00037E4A"/>
    <w:rsid w:val="000405FF"/>
    <w:rsid w:val="000409A3"/>
    <w:rsid w:val="00040E0A"/>
    <w:rsid w:val="00040F34"/>
    <w:rsid w:val="00040F89"/>
    <w:rsid w:val="000411AD"/>
    <w:rsid w:val="00041BE8"/>
    <w:rsid w:val="00041C75"/>
    <w:rsid w:val="0004211D"/>
    <w:rsid w:val="00042445"/>
    <w:rsid w:val="00042A31"/>
    <w:rsid w:val="00042A9E"/>
    <w:rsid w:val="00042D83"/>
    <w:rsid w:val="00042DD2"/>
    <w:rsid w:val="0004311E"/>
    <w:rsid w:val="00043426"/>
    <w:rsid w:val="00043449"/>
    <w:rsid w:val="000435C1"/>
    <w:rsid w:val="00043657"/>
    <w:rsid w:val="0004395D"/>
    <w:rsid w:val="00043AA9"/>
    <w:rsid w:val="00043F2E"/>
    <w:rsid w:val="000443CA"/>
    <w:rsid w:val="000444CA"/>
    <w:rsid w:val="00044653"/>
    <w:rsid w:val="00044E70"/>
    <w:rsid w:val="00045385"/>
    <w:rsid w:val="000455CF"/>
    <w:rsid w:val="0004563F"/>
    <w:rsid w:val="00045815"/>
    <w:rsid w:val="0004587D"/>
    <w:rsid w:val="00045F88"/>
    <w:rsid w:val="00046699"/>
    <w:rsid w:val="000466E4"/>
    <w:rsid w:val="00046AC8"/>
    <w:rsid w:val="00046B18"/>
    <w:rsid w:val="00047044"/>
    <w:rsid w:val="00047BFE"/>
    <w:rsid w:val="00047CB1"/>
    <w:rsid w:val="00050A98"/>
    <w:rsid w:val="00050DBC"/>
    <w:rsid w:val="00051115"/>
    <w:rsid w:val="0005184F"/>
    <w:rsid w:val="00051929"/>
    <w:rsid w:val="0005206D"/>
    <w:rsid w:val="0005239A"/>
    <w:rsid w:val="00052A07"/>
    <w:rsid w:val="00052D68"/>
    <w:rsid w:val="00053479"/>
    <w:rsid w:val="00053A2F"/>
    <w:rsid w:val="00053AC8"/>
    <w:rsid w:val="000542C8"/>
    <w:rsid w:val="0005439E"/>
    <w:rsid w:val="00054973"/>
    <w:rsid w:val="00054F97"/>
    <w:rsid w:val="0005546D"/>
    <w:rsid w:val="000558E2"/>
    <w:rsid w:val="00055933"/>
    <w:rsid w:val="00055B43"/>
    <w:rsid w:val="0005623E"/>
    <w:rsid w:val="000562A1"/>
    <w:rsid w:val="00056CD8"/>
    <w:rsid w:val="00056FBD"/>
    <w:rsid w:val="0005734F"/>
    <w:rsid w:val="000573DA"/>
    <w:rsid w:val="00057629"/>
    <w:rsid w:val="000577E2"/>
    <w:rsid w:val="0006032F"/>
    <w:rsid w:val="0006039A"/>
    <w:rsid w:val="000603CF"/>
    <w:rsid w:val="0006043F"/>
    <w:rsid w:val="00060B63"/>
    <w:rsid w:val="00061445"/>
    <w:rsid w:val="000618A5"/>
    <w:rsid w:val="00061E36"/>
    <w:rsid w:val="00062963"/>
    <w:rsid w:val="0006339B"/>
    <w:rsid w:val="0006386B"/>
    <w:rsid w:val="00063DDE"/>
    <w:rsid w:val="0006435B"/>
    <w:rsid w:val="00064AE2"/>
    <w:rsid w:val="00064CB8"/>
    <w:rsid w:val="00065011"/>
    <w:rsid w:val="000654F6"/>
    <w:rsid w:val="0006565A"/>
    <w:rsid w:val="0006570C"/>
    <w:rsid w:val="0006571A"/>
    <w:rsid w:val="0006595D"/>
    <w:rsid w:val="00065CDF"/>
    <w:rsid w:val="00065CE6"/>
    <w:rsid w:val="00065DBD"/>
    <w:rsid w:val="00065FED"/>
    <w:rsid w:val="000663E5"/>
    <w:rsid w:val="0006665B"/>
    <w:rsid w:val="00066674"/>
    <w:rsid w:val="0006753D"/>
    <w:rsid w:val="0006767D"/>
    <w:rsid w:val="00067B69"/>
    <w:rsid w:val="00067FC5"/>
    <w:rsid w:val="00070097"/>
    <w:rsid w:val="00070A5C"/>
    <w:rsid w:val="00070C0B"/>
    <w:rsid w:val="00070D31"/>
    <w:rsid w:val="000710A5"/>
    <w:rsid w:val="000711BD"/>
    <w:rsid w:val="00071630"/>
    <w:rsid w:val="00071671"/>
    <w:rsid w:val="000719B7"/>
    <w:rsid w:val="000721ED"/>
    <w:rsid w:val="0007238C"/>
    <w:rsid w:val="000724B8"/>
    <w:rsid w:val="00072835"/>
    <w:rsid w:val="0007290B"/>
    <w:rsid w:val="000732C2"/>
    <w:rsid w:val="000734AE"/>
    <w:rsid w:val="00073DBB"/>
    <w:rsid w:val="000743FF"/>
    <w:rsid w:val="00074588"/>
    <w:rsid w:val="000756EB"/>
    <w:rsid w:val="00075B69"/>
    <w:rsid w:val="0007641D"/>
    <w:rsid w:val="000769DA"/>
    <w:rsid w:val="00076CCB"/>
    <w:rsid w:val="000771CE"/>
    <w:rsid w:val="0007749C"/>
    <w:rsid w:val="000777E3"/>
    <w:rsid w:val="00077950"/>
    <w:rsid w:val="000779A3"/>
    <w:rsid w:val="00077CD4"/>
    <w:rsid w:val="0008003A"/>
    <w:rsid w:val="0008022F"/>
    <w:rsid w:val="00080390"/>
    <w:rsid w:val="000808FE"/>
    <w:rsid w:val="00080B5C"/>
    <w:rsid w:val="0008121C"/>
    <w:rsid w:val="00081246"/>
    <w:rsid w:val="000820F2"/>
    <w:rsid w:val="00082BEA"/>
    <w:rsid w:val="00083467"/>
    <w:rsid w:val="00083A0B"/>
    <w:rsid w:val="0008427B"/>
    <w:rsid w:val="000845E2"/>
    <w:rsid w:val="00084C74"/>
    <w:rsid w:val="00084CE8"/>
    <w:rsid w:val="00084E2A"/>
    <w:rsid w:val="00084E38"/>
    <w:rsid w:val="000859E4"/>
    <w:rsid w:val="00086446"/>
    <w:rsid w:val="0008692C"/>
    <w:rsid w:val="00086B78"/>
    <w:rsid w:val="00087231"/>
    <w:rsid w:val="000878D4"/>
    <w:rsid w:val="00087CF5"/>
    <w:rsid w:val="00090064"/>
    <w:rsid w:val="000900F7"/>
    <w:rsid w:val="000908BE"/>
    <w:rsid w:val="000909BE"/>
    <w:rsid w:val="00091064"/>
    <w:rsid w:val="00091476"/>
    <w:rsid w:val="00091494"/>
    <w:rsid w:val="00091A21"/>
    <w:rsid w:val="00092765"/>
    <w:rsid w:val="00092F08"/>
    <w:rsid w:val="00093636"/>
    <w:rsid w:val="00093646"/>
    <w:rsid w:val="00093B21"/>
    <w:rsid w:val="00093F48"/>
    <w:rsid w:val="000941C3"/>
    <w:rsid w:val="0009440B"/>
    <w:rsid w:val="00094A50"/>
    <w:rsid w:val="00094A68"/>
    <w:rsid w:val="00094AC0"/>
    <w:rsid w:val="00094BFD"/>
    <w:rsid w:val="00094FAE"/>
    <w:rsid w:val="000953C2"/>
    <w:rsid w:val="0009550E"/>
    <w:rsid w:val="00095517"/>
    <w:rsid w:val="00095B69"/>
    <w:rsid w:val="00095E31"/>
    <w:rsid w:val="0009610E"/>
    <w:rsid w:val="00097186"/>
    <w:rsid w:val="00097AA4"/>
    <w:rsid w:val="000A06E9"/>
    <w:rsid w:val="000A0ECF"/>
    <w:rsid w:val="000A1014"/>
    <w:rsid w:val="000A19A5"/>
    <w:rsid w:val="000A1D1D"/>
    <w:rsid w:val="000A2547"/>
    <w:rsid w:val="000A2668"/>
    <w:rsid w:val="000A315C"/>
    <w:rsid w:val="000A31FB"/>
    <w:rsid w:val="000A3770"/>
    <w:rsid w:val="000A3A14"/>
    <w:rsid w:val="000A4018"/>
    <w:rsid w:val="000A413E"/>
    <w:rsid w:val="000A43CB"/>
    <w:rsid w:val="000A4671"/>
    <w:rsid w:val="000A4821"/>
    <w:rsid w:val="000A4FED"/>
    <w:rsid w:val="000A52B8"/>
    <w:rsid w:val="000A5D87"/>
    <w:rsid w:val="000A620B"/>
    <w:rsid w:val="000A6935"/>
    <w:rsid w:val="000A6F87"/>
    <w:rsid w:val="000A70FB"/>
    <w:rsid w:val="000A7836"/>
    <w:rsid w:val="000B0968"/>
    <w:rsid w:val="000B1ECF"/>
    <w:rsid w:val="000B20D9"/>
    <w:rsid w:val="000B21F3"/>
    <w:rsid w:val="000B22C0"/>
    <w:rsid w:val="000B2DAD"/>
    <w:rsid w:val="000B2E6B"/>
    <w:rsid w:val="000B2ECF"/>
    <w:rsid w:val="000B3279"/>
    <w:rsid w:val="000B3359"/>
    <w:rsid w:val="000B3BB1"/>
    <w:rsid w:val="000B3D5A"/>
    <w:rsid w:val="000B3D83"/>
    <w:rsid w:val="000B4478"/>
    <w:rsid w:val="000B45DB"/>
    <w:rsid w:val="000B472D"/>
    <w:rsid w:val="000B480A"/>
    <w:rsid w:val="000B4A60"/>
    <w:rsid w:val="000B4FD0"/>
    <w:rsid w:val="000B4FD1"/>
    <w:rsid w:val="000B559E"/>
    <w:rsid w:val="000B578A"/>
    <w:rsid w:val="000B5A17"/>
    <w:rsid w:val="000B5BD0"/>
    <w:rsid w:val="000B5F84"/>
    <w:rsid w:val="000B5FA9"/>
    <w:rsid w:val="000B60DC"/>
    <w:rsid w:val="000B612A"/>
    <w:rsid w:val="000B680E"/>
    <w:rsid w:val="000B799D"/>
    <w:rsid w:val="000B79EA"/>
    <w:rsid w:val="000B7D13"/>
    <w:rsid w:val="000C04BA"/>
    <w:rsid w:val="000C1CAD"/>
    <w:rsid w:val="000C1D31"/>
    <w:rsid w:val="000C23A4"/>
    <w:rsid w:val="000C25D7"/>
    <w:rsid w:val="000C2779"/>
    <w:rsid w:val="000C28AB"/>
    <w:rsid w:val="000C2EF9"/>
    <w:rsid w:val="000C34E6"/>
    <w:rsid w:val="000C4251"/>
    <w:rsid w:val="000C43B1"/>
    <w:rsid w:val="000C4AA9"/>
    <w:rsid w:val="000C4C95"/>
    <w:rsid w:val="000C4D65"/>
    <w:rsid w:val="000C4F8A"/>
    <w:rsid w:val="000C50E8"/>
    <w:rsid w:val="000C5873"/>
    <w:rsid w:val="000C58E3"/>
    <w:rsid w:val="000C5962"/>
    <w:rsid w:val="000C5DA7"/>
    <w:rsid w:val="000C5DCB"/>
    <w:rsid w:val="000C644B"/>
    <w:rsid w:val="000C6478"/>
    <w:rsid w:val="000C64F6"/>
    <w:rsid w:val="000C6623"/>
    <w:rsid w:val="000C69AE"/>
    <w:rsid w:val="000C6A22"/>
    <w:rsid w:val="000C7548"/>
    <w:rsid w:val="000C766A"/>
    <w:rsid w:val="000C77B4"/>
    <w:rsid w:val="000C7AB8"/>
    <w:rsid w:val="000D021E"/>
    <w:rsid w:val="000D0387"/>
    <w:rsid w:val="000D1089"/>
    <w:rsid w:val="000D10B4"/>
    <w:rsid w:val="000D121B"/>
    <w:rsid w:val="000D147F"/>
    <w:rsid w:val="000D2039"/>
    <w:rsid w:val="000D2097"/>
    <w:rsid w:val="000D214E"/>
    <w:rsid w:val="000D23A4"/>
    <w:rsid w:val="000D298A"/>
    <w:rsid w:val="000D30D6"/>
    <w:rsid w:val="000D3A36"/>
    <w:rsid w:val="000D3A56"/>
    <w:rsid w:val="000D40C0"/>
    <w:rsid w:val="000D44D2"/>
    <w:rsid w:val="000D4796"/>
    <w:rsid w:val="000D48DD"/>
    <w:rsid w:val="000D4BE9"/>
    <w:rsid w:val="000D4D53"/>
    <w:rsid w:val="000D5030"/>
    <w:rsid w:val="000D51C0"/>
    <w:rsid w:val="000D532C"/>
    <w:rsid w:val="000D60E8"/>
    <w:rsid w:val="000D6584"/>
    <w:rsid w:val="000D69BA"/>
    <w:rsid w:val="000D6A2D"/>
    <w:rsid w:val="000D6BB1"/>
    <w:rsid w:val="000D77E2"/>
    <w:rsid w:val="000D7A5F"/>
    <w:rsid w:val="000E0404"/>
    <w:rsid w:val="000E06CC"/>
    <w:rsid w:val="000E0CE1"/>
    <w:rsid w:val="000E1B02"/>
    <w:rsid w:val="000E1B08"/>
    <w:rsid w:val="000E2141"/>
    <w:rsid w:val="000E24B9"/>
    <w:rsid w:val="000E3115"/>
    <w:rsid w:val="000E394D"/>
    <w:rsid w:val="000E3C11"/>
    <w:rsid w:val="000E3EF7"/>
    <w:rsid w:val="000E4474"/>
    <w:rsid w:val="000E4A72"/>
    <w:rsid w:val="000E4B2C"/>
    <w:rsid w:val="000E4CD8"/>
    <w:rsid w:val="000E4D0E"/>
    <w:rsid w:val="000E504A"/>
    <w:rsid w:val="000E58DE"/>
    <w:rsid w:val="000E5C3C"/>
    <w:rsid w:val="000E5DF7"/>
    <w:rsid w:val="000E64C3"/>
    <w:rsid w:val="000E6606"/>
    <w:rsid w:val="000E6A23"/>
    <w:rsid w:val="000E712B"/>
    <w:rsid w:val="000E718F"/>
    <w:rsid w:val="000E79FF"/>
    <w:rsid w:val="000E7A08"/>
    <w:rsid w:val="000F0131"/>
    <w:rsid w:val="000F05D9"/>
    <w:rsid w:val="000F13A0"/>
    <w:rsid w:val="000F1549"/>
    <w:rsid w:val="000F18CF"/>
    <w:rsid w:val="000F1B85"/>
    <w:rsid w:val="000F1E4C"/>
    <w:rsid w:val="000F222B"/>
    <w:rsid w:val="000F2CA8"/>
    <w:rsid w:val="000F2D20"/>
    <w:rsid w:val="000F3030"/>
    <w:rsid w:val="000F3685"/>
    <w:rsid w:val="000F3901"/>
    <w:rsid w:val="000F4004"/>
    <w:rsid w:val="000F4411"/>
    <w:rsid w:val="000F4ECF"/>
    <w:rsid w:val="000F527F"/>
    <w:rsid w:val="000F5329"/>
    <w:rsid w:val="000F5B00"/>
    <w:rsid w:val="000F5CF0"/>
    <w:rsid w:val="000F5DE8"/>
    <w:rsid w:val="000F6943"/>
    <w:rsid w:val="000F7955"/>
    <w:rsid w:val="000F7965"/>
    <w:rsid w:val="000F7BDA"/>
    <w:rsid w:val="0010013B"/>
    <w:rsid w:val="00100EC4"/>
    <w:rsid w:val="00101204"/>
    <w:rsid w:val="00101AB2"/>
    <w:rsid w:val="00101FEF"/>
    <w:rsid w:val="001020F3"/>
    <w:rsid w:val="00102143"/>
    <w:rsid w:val="00102980"/>
    <w:rsid w:val="00103567"/>
    <w:rsid w:val="0010386F"/>
    <w:rsid w:val="00104669"/>
    <w:rsid w:val="0010493C"/>
    <w:rsid w:val="00104ACE"/>
    <w:rsid w:val="00104F19"/>
    <w:rsid w:val="00105035"/>
    <w:rsid w:val="0010535A"/>
    <w:rsid w:val="0010544C"/>
    <w:rsid w:val="0010587C"/>
    <w:rsid w:val="00105DEF"/>
    <w:rsid w:val="00106455"/>
    <w:rsid w:val="00106BFE"/>
    <w:rsid w:val="00106C22"/>
    <w:rsid w:val="001079A2"/>
    <w:rsid w:val="00107B3A"/>
    <w:rsid w:val="00107DE7"/>
    <w:rsid w:val="00110498"/>
    <w:rsid w:val="00110680"/>
    <w:rsid w:val="00111029"/>
    <w:rsid w:val="0011115F"/>
    <w:rsid w:val="001112E7"/>
    <w:rsid w:val="00111D52"/>
    <w:rsid w:val="00111E99"/>
    <w:rsid w:val="00112283"/>
    <w:rsid w:val="00112359"/>
    <w:rsid w:val="001127BC"/>
    <w:rsid w:val="00112839"/>
    <w:rsid w:val="001128E4"/>
    <w:rsid w:val="00112A07"/>
    <w:rsid w:val="00113652"/>
    <w:rsid w:val="00113966"/>
    <w:rsid w:val="0011426C"/>
    <w:rsid w:val="001146B5"/>
    <w:rsid w:val="00114C71"/>
    <w:rsid w:val="00114CAC"/>
    <w:rsid w:val="001152A4"/>
    <w:rsid w:val="001153D8"/>
    <w:rsid w:val="00115747"/>
    <w:rsid w:val="00115783"/>
    <w:rsid w:val="00116172"/>
    <w:rsid w:val="00116CAF"/>
    <w:rsid w:val="00116EC0"/>
    <w:rsid w:val="00116EED"/>
    <w:rsid w:val="00117500"/>
    <w:rsid w:val="00117F41"/>
    <w:rsid w:val="00117F43"/>
    <w:rsid w:val="0012005B"/>
    <w:rsid w:val="00120C3F"/>
    <w:rsid w:val="00120D15"/>
    <w:rsid w:val="00121164"/>
    <w:rsid w:val="001214B7"/>
    <w:rsid w:val="00121851"/>
    <w:rsid w:val="00121C4A"/>
    <w:rsid w:val="0012236A"/>
    <w:rsid w:val="0012239C"/>
    <w:rsid w:val="001225BD"/>
    <w:rsid w:val="00122A01"/>
    <w:rsid w:val="00122A74"/>
    <w:rsid w:val="00122B30"/>
    <w:rsid w:val="00123B88"/>
    <w:rsid w:val="00123D27"/>
    <w:rsid w:val="00123D9C"/>
    <w:rsid w:val="00123FA3"/>
    <w:rsid w:val="001241BB"/>
    <w:rsid w:val="001243B6"/>
    <w:rsid w:val="0012443D"/>
    <w:rsid w:val="001244FE"/>
    <w:rsid w:val="00124543"/>
    <w:rsid w:val="001247ED"/>
    <w:rsid w:val="00124944"/>
    <w:rsid w:val="00124ACE"/>
    <w:rsid w:val="00124ED7"/>
    <w:rsid w:val="001259BC"/>
    <w:rsid w:val="00125F4A"/>
    <w:rsid w:val="00126422"/>
    <w:rsid w:val="00127217"/>
    <w:rsid w:val="001273C2"/>
    <w:rsid w:val="00127C49"/>
    <w:rsid w:val="00130490"/>
    <w:rsid w:val="00130FEC"/>
    <w:rsid w:val="001313D8"/>
    <w:rsid w:val="00131549"/>
    <w:rsid w:val="001332AB"/>
    <w:rsid w:val="00133BE2"/>
    <w:rsid w:val="0013458A"/>
    <w:rsid w:val="001351A7"/>
    <w:rsid w:val="001354CF"/>
    <w:rsid w:val="0013597D"/>
    <w:rsid w:val="00135A19"/>
    <w:rsid w:val="00135E5D"/>
    <w:rsid w:val="00135E74"/>
    <w:rsid w:val="00136491"/>
    <w:rsid w:val="001364A1"/>
    <w:rsid w:val="00136BC5"/>
    <w:rsid w:val="00137371"/>
    <w:rsid w:val="0013783E"/>
    <w:rsid w:val="00137D27"/>
    <w:rsid w:val="00137DC4"/>
    <w:rsid w:val="00137E1A"/>
    <w:rsid w:val="001400BB"/>
    <w:rsid w:val="001400BD"/>
    <w:rsid w:val="00140735"/>
    <w:rsid w:val="001409E3"/>
    <w:rsid w:val="00140A01"/>
    <w:rsid w:val="00140AEC"/>
    <w:rsid w:val="00140AFA"/>
    <w:rsid w:val="00141566"/>
    <w:rsid w:val="00141C2A"/>
    <w:rsid w:val="001426D1"/>
    <w:rsid w:val="0014285A"/>
    <w:rsid w:val="00142FDB"/>
    <w:rsid w:val="00143366"/>
    <w:rsid w:val="00143D44"/>
    <w:rsid w:val="001443AC"/>
    <w:rsid w:val="0014498E"/>
    <w:rsid w:val="00144BFE"/>
    <w:rsid w:val="00145FFE"/>
    <w:rsid w:val="00146B8E"/>
    <w:rsid w:val="00146DB1"/>
    <w:rsid w:val="00147063"/>
    <w:rsid w:val="0014776C"/>
    <w:rsid w:val="00147EBC"/>
    <w:rsid w:val="00147F9E"/>
    <w:rsid w:val="001500C1"/>
    <w:rsid w:val="00150108"/>
    <w:rsid w:val="001506BC"/>
    <w:rsid w:val="00150D87"/>
    <w:rsid w:val="00151546"/>
    <w:rsid w:val="00151EA2"/>
    <w:rsid w:val="001524F0"/>
    <w:rsid w:val="00152664"/>
    <w:rsid w:val="001530F4"/>
    <w:rsid w:val="001532BF"/>
    <w:rsid w:val="0015385D"/>
    <w:rsid w:val="00153EE6"/>
    <w:rsid w:val="00154348"/>
    <w:rsid w:val="001544D6"/>
    <w:rsid w:val="001545B9"/>
    <w:rsid w:val="0015505D"/>
    <w:rsid w:val="001556D8"/>
    <w:rsid w:val="00155B56"/>
    <w:rsid w:val="0015610E"/>
    <w:rsid w:val="00156570"/>
    <w:rsid w:val="00156688"/>
    <w:rsid w:val="001567C6"/>
    <w:rsid w:val="00156D2C"/>
    <w:rsid w:val="00157681"/>
    <w:rsid w:val="00160034"/>
    <w:rsid w:val="00160091"/>
    <w:rsid w:val="001600AA"/>
    <w:rsid w:val="00160AE9"/>
    <w:rsid w:val="00161593"/>
    <w:rsid w:val="0016163F"/>
    <w:rsid w:val="00161EC6"/>
    <w:rsid w:val="00162EFD"/>
    <w:rsid w:val="0016354B"/>
    <w:rsid w:val="00163563"/>
    <w:rsid w:val="00163AAF"/>
    <w:rsid w:val="00163BEC"/>
    <w:rsid w:val="0016444A"/>
    <w:rsid w:val="00164C00"/>
    <w:rsid w:val="001654D5"/>
    <w:rsid w:val="00165805"/>
    <w:rsid w:val="001660EA"/>
    <w:rsid w:val="0016692F"/>
    <w:rsid w:val="00166E29"/>
    <w:rsid w:val="0016706E"/>
    <w:rsid w:val="00167246"/>
    <w:rsid w:val="001679A5"/>
    <w:rsid w:val="00167A54"/>
    <w:rsid w:val="00167B25"/>
    <w:rsid w:val="00167B65"/>
    <w:rsid w:val="001701C2"/>
    <w:rsid w:val="0017077B"/>
    <w:rsid w:val="00170841"/>
    <w:rsid w:val="001712D6"/>
    <w:rsid w:val="001718AD"/>
    <w:rsid w:val="001721ED"/>
    <w:rsid w:val="00172555"/>
    <w:rsid w:val="001727A9"/>
    <w:rsid w:val="001731C7"/>
    <w:rsid w:val="001734CF"/>
    <w:rsid w:val="00173855"/>
    <w:rsid w:val="00173A61"/>
    <w:rsid w:val="00173D59"/>
    <w:rsid w:val="00173DFF"/>
    <w:rsid w:val="00174454"/>
    <w:rsid w:val="001748A6"/>
    <w:rsid w:val="001751B0"/>
    <w:rsid w:val="00175515"/>
    <w:rsid w:val="00175F8E"/>
    <w:rsid w:val="0017612F"/>
    <w:rsid w:val="00176706"/>
    <w:rsid w:val="001769E6"/>
    <w:rsid w:val="0017746C"/>
    <w:rsid w:val="00177678"/>
    <w:rsid w:val="001776B8"/>
    <w:rsid w:val="0018024E"/>
    <w:rsid w:val="00181416"/>
    <w:rsid w:val="00182F4B"/>
    <w:rsid w:val="00182F7B"/>
    <w:rsid w:val="001839DB"/>
    <w:rsid w:val="001844D3"/>
    <w:rsid w:val="00184516"/>
    <w:rsid w:val="0018464C"/>
    <w:rsid w:val="0018599C"/>
    <w:rsid w:val="00185B0C"/>
    <w:rsid w:val="00185D30"/>
    <w:rsid w:val="00185F89"/>
    <w:rsid w:val="001861A0"/>
    <w:rsid w:val="001869FD"/>
    <w:rsid w:val="00186CE7"/>
    <w:rsid w:val="001878BB"/>
    <w:rsid w:val="001878F9"/>
    <w:rsid w:val="00187CED"/>
    <w:rsid w:val="00190135"/>
    <w:rsid w:val="001908EC"/>
    <w:rsid w:val="00190ADD"/>
    <w:rsid w:val="00190E1F"/>
    <w:rsid w:val="0019105C"/>
    <w:rsid w:val="0019157B"/>
    <w:rsid w:val="00191EA5"/>
    <w:rsid w:val="00191F20"/>
    <w:rsid w:val="001924C1"/>
    <w:rsid w:val="001925CF"/>
    <w:rsid w:val="00192707"/>
    <w:rsid w:val="00192C79"/>
    <w:rsid w:val="00192E2B"/>
    <w:rsid w:val="00193973"/>
    <w:rsid w:val="00193B6B"/>
    <w:rsid w:val="00194937"/>
    <w:rsid w:val="00194A96"/>
    <w:rsid w:val="00194ACE"/>
    <w:rsid w:val="00194E0E"/>
    <w:rsid w:val="00194E1E"/>
    <w:rsid w:val="00195150"/>
    <w:rsid w:val="00195425"/>
    <w:rsid w:val="001954DF"/>
    <w:rsid w:val="00195E9F"/>
    <w:rsid w:val="001961C8"/>
    <w:rsid w:val="0019629A"/>
    <w:rsid w:val="00196358"/>
    <w:rsid w:val="00196657"/>
    <w:rsid w:val="00196EBD"/>
    <w:rsid w:val="00197339"/>
    <w:rsid w:val="00197737"/>
    <w:rsid w:val="00197D0A"/>
    <w:rsid w:val="00197DB7"/>
    <w:rsid w:val="001A0025"/>
    <w:rsid w:val="001A0693"/>
    <w:rsid w:val="001A0B9C"/>
    <w:rsid w:val="001A193E"/>
    <w:rsid w:val="001A1B76"/>
    <w:rsid w:val="001A1E0F"/>
    <w:rsid w:val="001A2309"/>
    <w:rsid w:val="001A25FF"/>
    <w:rsid w:val="001A2775"/>
    <w:rsid w:val="001A2F45"/>
    <w:rsid w:val="001A3711"/>
    <w:rsid w:val="001A3763"/>
    <w:rsid w:val="001A3EC3"/>
    <w:rsid w:val="001A4463"/>
    <w:rsid w:val="001A49E1"/>
    <w:rsid w:val="001A50EB"/>
    <w:rsid w:val="001A50F8"/>
    <w:rsid w:val="001A5115"/>
    <w:rsid w:val="001A5B65"/>
    <w:rsid w:val="001A6048"/>
    <w:rsid w:val="001A679A"/>
    <w:rsid w:val="001A690A"/>
    <w:rsid w:val="001A7129"/>
    <w:rsid w:val="001A7550"/>
    <w:rsid w:val="001A758E"/>
    <w:rsid w:val="001A78AD"/>
    <w:rsid w:val="001A7D3D"/>
    <w:rsid w:val="001A7F59"/>
    <w:rsid w:val="001B08B6"/>
    <w:rsid w:val="001B0912"/>
    <w:rsid w:val="001B1273"/>
    <w:rsid w:val="001B1478"/>
    <w:rsid w:val="001B20A4"/>
    <w:rsid w:val="001B2688"/>
    <w:rsid w:val="001B2732"/>
    <w:rsid w:val="001B2CC2"/>
    <w:rsid w:val="001B33E9"/>
    <w:rsid w:val="001B3C6D"/>
    <w:rsid w:val="001B43AD"/>
    <w:rsid w:val="001B481B"/>
    <w:rsid w:val="001B49CD"/>
    <w:rsid w:val="001B5338"/>
    <w:rsid w:val="001B5424"/>
    <w:rsid w:val="001B6645"/>
    <w:rsid w:val="001B66CE"/>
    <w:rsid w:val="001B6716"/>
    <w:rsid w:val="001B697A"/>
    <w:rsid w:val="001B7753"/>
    <w:rsid w:val="001B7923"/>
    <w:rsid w:val="001B7D5C"/>
    <w:rsid w:val="001B7F40"/>
    <w:rsid w:val="001C0645"/>
    <w:rsid w:val="001C1556"/>
    <w:rsid w:val="001C1720"/>
    <w:rsid w:val="001C1BA7"/>
    <w:rsid w:val="001C1DDA"/>
    <w:rsid w:val="001C2470"/>
    <w:rsid w:val="001C263A"/>
    <w:rsid w:val="001C3B42"/>
    <w:rsid w:val="001C3D6B"/>
    <w:rsid w:val="001C4D01"/>
    <w:rsid w:val="001C56A7"/>
    <w:rsid w:val="001C5944"/>
    <w:rsid w:val="001C5EFB"/>
    <w:rsid w:val="001C6D75"/>
    <w:rsid w:val="001C6DBC"/>
    <w:rsid w:val="001C71C7"/>
    <w:rsid w:val="001C7455"/>
    <w:rsid w:val="001C756B"/>
    <w:rsid w:val="001C774A"/>
    <w:rsid w:val="001C77F8"/>
    <w:rsid w:val="001D019A"/>
    <w:rsid w:val="001D0666"/>
    <w:rsid w:val="001D0E3E"/>
    <w:rsid w:val="001D10A8"/>
    <w:rsid w:val="001D218A"/>
    <w:rsid w:val="001D2247"/>
    <w:rsid w:val="001D228A"/>
    <w:rsid w:val="001D2BAE"/>
    <w:rsid w:val="001D2F8E"/>
    <w:rsid w:val="001D2FF1"/>
    <w:rsid w:val="001D3682"/>
    <w:rsid w:val="001D3EE8"/>
    <w:rsid w:val="001D40B9"/>
    <w:rsid w:val="001D4232"/>
    <w:rsid w:val="001D4A48"/>
    <w:rsid w:val="001D4A9A"/>
    <w:rsid w:val="001D535F"/>
    <w:rsid w:val="001D5A93"/>
    <w:rsid w:val="001D5C51"/>
    <w:rsid w:val="001D6A05"/>
    <w:rsid w:val="001D6A7A"/>
    <w:rsid w:val="001D6FA9"/>
    <w:rsid w:val="001D7002"/>
    <w:rsid w:val="001D7E07"/>
    <w:rsid w:val="001D7E6D"/>
    <w:rsid w:val="001E000C"/>
    <w:rsid w:val="001E03AA"/>
    <w:rsid w:val="001E04D9"/>
    <w:rsid w:val="001E06C1"/>
    <w:rsid w:val="001E09D5"/>
    <w:rsid w:val="001E0B05"/>
    <w:rsid w:val="001E10E8"/>
    <w:rsid w:val="001E11B4"/>
    <w:rsid w:val="001E189E"/>
    <w:rsid w:val="001E1962"/>
    <w:rsid w:val="001E1C98"/>
    <w:rsid w:val="001E1ECB"/>
    <w:rsid w:val="001E2120"/>
    <w:rsid w:val="001E2474"/>
    <w:rsid w:val="001E257C"/>
    <w:rsid w:val="001E258B"/>
    <w:rsid w:val="001E25EB"/>
    <w:rsid w:val="001E3788"/>
    <w:rsid w:val="001E37F3"/>
    <w:rsid w:val="001E3935"/>
    <w:rsid w:val="001E4A86"/>
    <w:rsid w:val="001E4DBC"/>
    <w:rsid w:val="001E5156"/>
    <w:rsid w:val="001E5D65"/>
    <w:rsid w:val="001E5F7F"/>
    <w:rsid w:val="001E68BF"/>
    <w:rsid w:val="001E6C8B"/>
    <w:rsid w:val="001E6F3A"/>
    <w:rsid w:val="001E723D"/>
    <w:rsid w:val="001E7D9B"/>
    <w:rsid w:val="001F0615"/>
    <w:rsid w:val="001F0971"/>
    <w:rsid w:val="001F1053"/>
    <w:rsid w:val="001F2091"/>
    <w:rsid w:val="001F21FD"/>
    <w:rsid w:val="001F22DC"/>
    <w:rsid w:val="001F2513"/>
    <w:rsid w:val="001F369D"/>
    <w:rsid w:val="001F3A0A"/>
    <w:rsid w:val="001F3BE9"/>
    <w:rsid w:val="001F3FA8"/>
    <w:rsid w:val="001F4096"/>
    <w:rsid w:val="001F4293"/>
    <w:rsid w:val="001F4E32"/>
    <w:rsid w:val="001F4FF8"/>
    <w:rsid w:val="001F5326"/>
    <w:rsid w:val="001F582C"/>
    <w:rsid w:val="001F5A5C"/>
    <w:rsid w:val="001F5E90"/>
    <w:rsid w:val="001F6236"/>
    <w:rsid w:val="001F6811"/>
    <w:rsid w:val="001F6B5C"/>
    <w:rsid w:val="001F6E2C"/>
    <w:rsid w:val="001F7360"/>
    <w:rsid w:val="001F73D7"/>
    <w:rsid w:val="001F7729"/>
    <w:rsid w:val="0020030E"/>
    <w:rsid w:val="00200B9A"/>
    <w:rsid w:val="00200BAB"/>
    <w:rsid w:val="00201355"/>
    <w:rsid w:val="002013EA"/>
    <w:rsid w:val="002014E8"/>
    <w:rsid w:val="00201655"/>
    <w:rsid w:val="00201AED"/>
    <w:rsid w:val="00201B5C"/>
    <w:rsid w:val="00201E08"/>
    <w:rsid w:val="00202D08"/>
    <w:rsid w:val="002030D2"/>
    <w:rsid w:val="002032E3"/>
    <w:rsid w:val="0020395E"/>
    <w:rsid w:val="002039A9"/>
    <w:rsid w:val="00203AD6"/>
    <w:rsid w:val="00203B90"/>
    <w:rsid w:val="00203C39"/>
    <w:rsid w:val="00203DE2"/>
    <w:rsid w:val="00204478"/>
    <w:rsid w:val="002048DD"/>
    <w:rsid w:val="002048F3"/>
    <w:rsid w:val="00204A38"/>
    <w:rsid w:val="00204D01"/>
    <w:rsid w:val="00206041"/>
    <w:rsid w:val="002064B1"/>
    <w:rsid w:val="00206C33"/>
    <w:rsid w:val="002072CA"/>
    <w:rsid w:val="0020768B"/>
    <w:rsid w:val="002076C2"/>
    <w:rsid w:val="00207EDF"/>
    <w:rsid w:val="00210904"/>
    <w:rsid w:val="00210D4F"/>
    <w:rsid w:val="00210EDD"/>
    <w:rsid w:val="002111F3"/>
    <w:rsid w:val="0021178C"/>
    <w:rsid w:val="0021181B"/>
    <w:rsid w:val="0021239A"/>
    <w:rsid w:val="00212A8C"/>
    <w:rsid w:val="0021317E"/>
    <w:rsid w:val="002136C3"/>
    <w:rsid w:val="00213C6A"/>
    <w:rsid w:val="00213E34"/>
    <w:rsid w:val="002140EF"/>
    <w:rsid w:val="002141AE"/>
    <w:rsid w:val="00214425"/>
    <w:rsid w:val="00214E1F"/>
    <w:rsid w:val="00214FC4"/>
    <w:rsid w:val="00215274"/>
    <w:rsid w:val="00215432"/>
    <w:rsid w:val="00215AD1"/>
    <w:rsid w:val="00215B12"/>
    <w:rsid w:val="00215FE8"/>
    <w:rsid w:val="00216208"/>
    <w:rsid w:val="002163D7"/>
    <w:rsid w:val="00216462"/>
    <w:rsid w:val="002165DB"/>
    <w:rsid w:val="002166EB"/>
    <w:rsid w:val="00216C56"/>
    <w:rsid w:val="002172F4"/>
    <w:rsid w:val="002175A5"/>
    <w:rsid w:val="00217A05"/>
    <w:rsid w:val="00217FB0"/>
    <w:rsid w:val="002201E2"/>
    <w:rsid w:val="002203D1"/>
    <w:rsid w:val="00220CDE"/>
    <w:rsid w:val="00220DA8"/>
    <w:rsid w:val="0022111A"/>
    <w:rsid w:val="002218C1"/>
    <w:rsid w:val="00222013"/>
    <w:rsid w:val="002224E2"/>
    <w:rsid w:val="00222C9E"/>
    <w:rsid w:val="00223315"/>
    <w:rsid w:val="00223328"/>
    <w:rsid w:val="0022373F"/>
    <w:rsid w:val="00224466"/>
    <w:rsid w:val="00224866"/>
    <w:rsid w:val="00224E07"/>
    <w:rsid w:val="00225404"/>
    <w:rsid w:val="002257F5"/>
    <w:rsid w:val="00225DB9"/>
    <w:rsid w:val="00230143"/>
    <w:rsid w:val="0023042C"/>
    <w:rsid w:val="00230D48"/>
    <w:rsid w:val="00230D6F"/>
    <w:rsid w:val="0023113E"/>
    <w:rsid w:val="00231E1F"/>
    <w:rsid w:val="00231E56"/>
    <w:rsid w:val="00232638"/>
    <w:rsid w:val="00232770"/>
    <w:rsid w:val="00232A75"/>
    <w:rsid w:val="00232D3A"/>
    <w:rsid w:val="00233501"/>
    <w:rsid w:val="002336C7"/>
    <w:rsid w:val="0023395C"/>
    <w:rsid w:val="002344F4"/>
    <w:rsid w:val="00234A25"/>
    <w:rsid w:val="002350F5"/>
    <w:rsid w:val="002352C3"/>
    <w:rsid w:val="00235535"/>
    <w:rsid w:val="00235A20"/>
    <w:rsid w:val="00235CF2"/>
    <w:rsid w:val="002360E4"/>
    <w:rsid w:val="0023665B"/>
    <w:rsid w:val="00237557"/>
    <w:rsid w:val="0023767D"/>
    <w:rsid w:val="00237947"/>
    <w:rsid w:val="00237A4F"/>
    <w:rsid w:val="00237DB8"/>
    <w:rsid w:val="00237EA6"/>
    <w:rsid w:val="00240007"/>
    <w:rsid w:val="002400E7"/>
    <w:rsid w:val="00240196"/>
    <w:rsid w:val="00240542"/>
    <w:rsid w:val="00240D3B"/>
    <w:rsid w:val="002412AA"/>
    <w:rsid w:val="002415C3"/>
    <w:rsid w:val="00241A86"/>
    <w:rsid w:val="00241B75"/>
    <w:rsid w:val="00242295"/>
    <w:rsid w:val="00242A12"/>
    <w:rsid w:val="00242E25"/>
    <w:rsid w:val="002432AF"/>
    <w:rsid w:val="0024357F"/>
    <w:rsid w:val="002436ED"/>
    <w:rsid w:val="00244992"/>
    <w:rsid w:val="00244BF3"/>
    <w:rsid w:val="00244D52"/>
    <w:rsid w:val="002453AE"/>
    <w:rsid w:val="0024542A"/>
    <w:rsid w:val="002454BA"/>
    <w:rsid w:val="002459B9"/>
    <w:rsid w:val="00245B13"/>
    <w:rsid w:val="00246FD0"/>
    <w:rsid w:val="002471E2"/>
    <w:rsid w:val="002474C8"/>
    <w:rsid w:val="002477A3"/>
    <w:rsid w:val="00247FE0"/>
    <w:rsid w:val="0025056B"/>
    <w:rsid w:val="00250CA2"/>
    <w:rsid w:val="002510EB"/>
    <w:rsid w:val="002512C0"/>
    <w:rsid w:val="00251533"/>
    <w:rsid w:val="00251565"/>
    <w:rsid w:val="00251C52"/>
    <w:rsid w:val="00251F8B"/>
    <w:rsid w:val="00252E6A"/>
    <w:rsid w:val="0025348F"/>
    <w:rsid w:val="002539E9"/>
    <w:rsid w:val="00253FFE"/>
    <w:rsid w:val="002543B3"/>
    <w:rsid w:val="00254E5A"/>
    <w:rsid w:val="0025501B"/>
    <w:rsid w:val="002551EA"/>
    <w:rsid w:val="00255261"/>
    <w:rsid w:val="00255577"/>
    <w:rsid w:val="0025646A"/>
    <w:rsid w:val="0025672C"/>
    <w:rsid w:val="00256A9E"/>
    <w:rsid w:val="00256E82"/>
    <w:rsid w:val="002576F1"/>
    <w:rsid w:val="00257E6C"/>
    <w:rsid w:val="00257F10"/>
    <w:rsid w:val="002600A3"/>
    <w:rsid w:val="0026051F"/>
    <w:rsid w:val="00260671"/>
    <w:rsid w:val="002607A3"/>
    <w:rsid w:val="00260A22"/>
    <w:rsid w:val="00260A2F"/>
    <w:rsid w:val="00260A58"/>
    <w:rsid w:val="00260A63"/>
    <w:rsid w:val="0026112F"/>
    <w:rsid w:val="002611B9"/>
    <w:rsid w:val="002615E4"/>
    <w:rsid w:val="002618F3"/>
    <w:rsid w:val="00261988"/>
    <w:rsid w:val="002629DF"/>
    <w:rsid w:val="00262A0C"/>
    <w:rsid w:val="00262EA3"/>
    <w:rsid w:val="002633CE"/>
    <w:rsid w:val="00263613"/>
    <w:rsid w:val="00263A75"/>
    <w:rsid w:val="00263B31"/>
    <w:rsid w:val="00263CFF"/>
    <w:rsid w:val="002643C2"/>
    <w:rsid w:val="0026451C"/>
    <w:rsid w:val="00264811"/>
    <w:rsid w:val="00264B5F"/>
    <w:rsid w:val="00264BBE"/>
    <w:rsid w:val="00264C8D"/>
    <w:rsid w:val="00264F2C"/>
    <w:rsid w:val="00265321"/>
    <w:rsid w:val="00265E72"/>
    <w:rsid w:val="002662C0"/>
    <w:rsid w:val="002662C5"/>
    <w:rsid w:val="0026644A"/>
    <w:rsid w:val="00266609"/>
    <w:rsid w:val="0026689A"/>
    <w:rsid w:val="00267B3B"/>
    <w:rsid w:val="002700E9"/>
    <w:rsid w:val="00270A2E"/>
    <w:rsid w:val="00270B86"/>
    <w:rsid w:val="002710C5"/>
    <w:rsid w:val="00271566"/>
    <w:rsid w:val="002720E5"/>
    <w:rsid w:val="002722DE"/>
    <w:rsid w:val="0027267B"/>
    <w:rsid w:val="002726BA"/>
    <w:rsid w:val="002729EF"/>
    <w:rsid w:val="00274136"/>
    <w:rsid w:val="00274466"/>
    <w:rsid w:val="002751ED"/>
    <w:rsid w:val="002755AF"/>
    <w:rsid w:val="002755B9"/>
    <w:rsid w:val="002756BD"/>
    <w:rsid w:val="00275B02"/>
    <w:rsid w:val="00275BC8"/>
    <w:rsid w:val="00275E33"/>
    <w:rsid w:val="00275FBD"/>
    <w:rsid w:val="0027602A"/>
    <w:rsid w:val="002766FE"/>
    <w:rsid w:val="00276819"/>
    <w:rsid w:val="00276B6D"/>
    <w:rsid w:val="00276BEE"/>
    <w:rsid w:val="0027719D"/>
    <w:rsid w:val="002772DB"/>
    <w:rsid w:val="00277466"/>
    <w:rsid w:val="00277B33"/>
    <w:rsid w:val="00277C40"/>
    <w:rsid w:val="00277F22"/>
    <w:rsid w:val="0028015F"/>
    <w:rsid w:val="0028019F"/>
    <w:rsid w:val="002809DE"/>
    <w:rsid w:val="00280A47"/>
    <w:rsid w:val="00280BC7"/>
    <w:rsid w:val="0028154C"/>
    <w:rsid w:val="0028170C"/>
    <w:rsid w:val="002818F9"/>
    <w:rsid w:val="00282016"/>
    <w:rsid w:val="002822D1"/>
    <w:rsid w:val="00282565"/>
    <w:rsid w:val="002826D2"/>
    <w:rsid w:val="002827D4"/>
    <w:rsid w:val="00283220"/>
    <w:rsid w:val="00283521"/>
    <w:rsid w:val="00283E0F"/>
    <w:rsid w:val="00283EAE"/>
    <w:rsid w:val="00283F39"/>
    <w:rsid w:val="002842FF"/>
    <w:rsid w:val="00284492"/>
    <w:rsid w:val="00285D03"/>
    <w:rsid w:val="00286469"/>
    <w:rsid w:val="0028654F"/>
    <w:rsid w:val="002866FF"/>
    <w:rsid w:val="00286996"/>
    <w:rsid w:val="00286E1F"/>
    <w:rsid w:val="00286FD6"/>
    <w:rsid w:val="002871B2"/>
    <w:rsid w:val="002875AA"/>
    <w:rsid w:val="00287793"/>
    <w:rsid w:val="00287A2E"/>
    <w:rsid w:val="00287A8A"/>
    <w:rsid w:val="00287AB4"/>
    <w:rsid w:val="00287E4A"/>
    <w:rsid w:val="00287E68"/>
    <w:rsid w:val="002900CF"/>
    <w:rsid w:val="002906D3"/>
    <w:rsid w:val="00291297"/>
    <w:rsid w:val="00292035"/>
    <w:rsid w:val="002923F3"/>
    <w:rsid w:val="0029328D"/>
    <w:rsid w:val="00293810"/>
    <w:rsid w:val="0029399D"/>
    <w:rsid w:val="00293C4F"/>
    <w:rsid w:val="00293D90"/>
    <w:rsid w:val="00294728"/>
    <w:rsid w:val="002947AF"/>
    <w:rsid w:val="00294853"/>
    <w:rsid w:val="00294BDD"/>
    <w:rsid w:val="00294F6F"/>
    <w:rsid w:val="0029533F"/>
    <w:rsid w:val="00295A2F"/>
    <w:rsid w:val="00295CD4"/>
    <w:rsid w:val="00295FBC"/>
    <w:rsid w:val="00296108"/>
    <w:rsid w:val="00296D32"/>
    <w:rsid w:val="00297661"/>
    <w:rsid w:val="002978CC"/>
    <w:rsid w:val="002978EC"/>
    <w:rsid w:val="00297B2D"/>
    <w:rsid w:val="00297F48"/>
    <w:rsid w:val="00297F9F"/>
    <w:rsid w:val="002A0241"/>
    <w:rsid w:val="002A085D"/>
    <w:rsid w:val="002A0F24"/>
    <w:rsid w:val="002A123D"/>
    <w:rsid w:val="002A1626"/>
    <w:rsid w:val="002A1670"/>
    <w:rsid w:val="002A18F8"/>
    <w:rsid w:val="002A1FE8"/>
    <w:rsid w:val="002A1FFB"/>
    <w:rsid w:val="002A2A83"/>
    <w:rsid w:val="002A2BB4"/>
    <w:rsid w:val="002A2CCD"/>
    <w:rsid w:val="002A2EA1"/>
    <w:rsid w:val="002A3955"/>
    <w:rsid w:val="002A3C6C"/>
    <w:rsid w:val="002A3EE7"/>
    <w:rsid w:val="002A4323"/>
    <w:rsid w:val="002A49B7"/>
    <w:rsid w:val="002A4E10"/>
    <w:rsid w:val="002A5062"/>
    <w:rsid w:val="002A5523"/>
    <w:rsid w:val="002A58BE"/>
    <w:rsid w:val="002A5B64"/>
    <w:rsid w:val="002A5CAB"/>
    <w:rsid w:val="002A5D67"/>
    <w:rsid w:val="002A5E89"/>
    <w:rsid w:val="002A63C7"/>
    <w:rsid w:val="002A660E"/>
    <w:rsid w:val="002A6F00"/>
    <w:rsid w:val="002A7116"/>
    <w:rsid w:val="002A7709"/>
    <w:rsid w:val="002A7737"/>
    <w:rsid w:val="002A7E53"/>
    <w:rsid w:val="002B0EC2"/>
    <w:rsid w:val="002B0FB4"/>
    <w:rsid w:val="002B1874"/>
    <w:rsid w:val="002B1B4E"/>
    <w:rsid w:val="002B1DD3"/>
    <w:rsid w:val="002B2021"/>
    <w:rsid w:val="002B21B2"/>
    <w:rsid w:val="002B221E"/>
    <w:rsid w:val="002B2944"/>
    <w:rsid w:val="002B2C9F"/>
    <w:rsid w:val="002B2EF2"/>
    <w:rsid w:val="002B3236"/>
    <w:rsid w:val="002B33E4"/>
    <w:rsid w:val="002B375C"/>
    <w:rsid w:val="002B3E98"/>
    <w:rsid w:val="002B48BE"/>
    <w:rsid w:val="002B6349"/>
    <w:rsid w:val="002B639F"/>
    <w:rsid w:val="002B6FC2"/>
    <w:rsid w:val="002B6FC6"/>
    <w:rsid w:val="002B7046"/>
    <w:rsid w:val="002B71E2"/>
    <w:rsid w:val="002B738D"/>
    <w:rsid w:val="002B79EF"/>
    <w:rsid w:val="002B7E1C"/>
    <w:rsid w:val="002B7E5E"/>
    <w:rsid w:val="002B7FFA"/>
    <w:rsid w:val="002C253A"/>
    <w:rsid w:val="002C29A8"/>
    <w:rsid w:val="002C3879"/>
    <w:rsid w:val="002C3CFC"/>
    <w:rsid w:val="002C3E32"/>
    <w:rsid w:val="002C4B2D"/>
    <w:rsid w:val="002C4D23"/>
    <w:rsid w:val="002C4E34"/>
    <w:rsid w:val="002C4F99"/>
    <w:rsid w:val="002C51D6"/>
    <w:rsid w:val="002C52A4"/>
    <w:rsid w:val="002C563C"/>
    <w:rsid w:val="002C5D51"/>
    <w:rsid w:val="002C5F5D"/>
    <w:rsid w:val="002C6280"/>
    <w:rsid w:val="002C6591"/>
    <w:rsid w:val="002C686F"/>
    <w:rsid w:val="002C6A56"/>
    <w:rsid w:val="002C6CDD"/>
    <w:rsid w:val="002C740B"/>
    <w:rsid w:val="002C7993"/>
    <w:rsid w:val="002C7CA4"/>
    <w:rsid w:val="002D0111"/>
    <w:rsid w:val="002D01CA"/>
    <w:rsid w:val="002D05EE"/>
    <w:rsid w:val="002D0700"/>
    <w:rsid w:val="002D14A2"/>
    <w:rsid w:val="002D1607"/>
    <w:rsid w:val="002D1779"/>
    <w:rsid w:val="002D251C"/>
    <w:rsid w:val="002D280F"/>
    <w:rsid w:val="002D2A33"/>
    <w:rsid w:val="002D3202"/>
    <w:rsid w:val="002D32A5"/>
    <w:rsid w:val="002D35E1"/>
    <w:rsid w:val="002D4427"/>
    <w:rsid w:val="002D4685"/>
    <w:rsid w:val="002D4B3B"/>
    <w:rsid w:val="002D4C1F"/>
    <w:rsid w:val="002D4D50"/>
    <w:rsid w:val="002D5149"/>
    <w:rsid w:val="002D54CC"/>
    <w:rsid w:val="002D5558"/>
    <w:rsid w:val="002D5CED"/>
    <w:rsid w:val="002D5E2F"/>
    <w:rsid w:val="002D5F1C"/>
    <w:rsid w:val="002D61FA"/>
    <w:rsid w:val="002D63F1"/>
    <w:rsid w:val="002D64BA"/>
    <w:rsid w:val="002D66AC"/>
    <w:rsid w:val="002D6AA0"/>
    <w:rsid w:val="002D778F"/>
    <w:rsid w:val="002D7A20"/>
    <w:rsid w:val="002D7DBD"/>
    <w:rsid w:val="002E085A"/>
    <w:rsid w:val="002E0A17"/>
    <w:rsid w:val="002E0C77"/>
    <w:rsid w:val="002E0E38"/>
    <w:rsid w:val="002E11E5"/>
    <w:rsid w:val="002E1620"/>
    <w:rsid w:val="002E19D1"/>
    <w:rsid w:val="002E1E8F"/>
    <w:rsid w:val="002E23AC"/>
    <w:rsid w:val="002E250F"/>
    <w:rsid w:val="002E3A52"/>
    <w:rsid w:val="002E45FE"/>
    <w:rsid w:val="002E4BBB"/>
    <w:rsid w:val="002E4F2C"/>
    <w:rsid w:val="002E500B"/>
    <w:rsid w:val="002E5340"/>
    <w:rsid w:val="002E59A6"/>
    <w:rsid w:val="002E59D4"/>
    <w:rsid w:val="002E5B01"/>
    <w:rsid w:val="002E5B64"/>
    <w:rsid w:val="002E668F"/>
    <w:rsid w:val="002E676C"/>
    <w:rsid w:val="002E6D85"/>
    <w:rsid w:val="002E6E29"/>
    <w:rsid w:val="002E6FF5"/>
    <w:rsid w:val="002E70CE"/>
    <w:rsid w:val="002E78B7"/>
    <w:rsid w:val="002E7A94"/>
    <w:rsid w:val="002E7DF0"/>
    <w:rsid w:val="002F01E7"/>
    <w:rsid w:val="002F07FD"/>
    <w:rsid w:val="002F0803"/>
    <w:rsid w:val="002F22F3"/>
    <w:rsid w:val="002F2617"/>
    <w:rsid w:val="002F295A"/>
    <w:rsid w:val="002F298C"/>
    <w:rsid w:val="002F2A35"/>
    <w:rsid w:val="002F2F9E"/>
    <w:rsid w:val="002F3291"/>
    <w:rsid w:val="002F3404"/>
    <w:rsid w:val="002F3BE2"/>
    <w:rsid w:val="002F3D93"/>
    <w:rsid w:val="002F4358"/>
    <w:rsid w:val="002F4437"/>
    <w:rsid w:val="002F4843"/>
    <w:rsid w:val="002F4ED8"/>
    <w:rsid w:val="002F60C4"/>
    <w:rsid w:val="002F6415"/>
    <w:rsid w:val="002F693B"/>
    <w:rsid w:val="002F6E41"/>
    <w:rsid w:val="002F7487"/>
    <w:rsid w:val="003010E0"/>
    <w:rsid w:val="003014FE"/>
    <w:rsid w:val="003020B6"/>
    <w:rsid w:val="003027D5"/>
    <w:rsid w:val="00302C37"/>
    <w:rsid w:val="003032C9"/>
    <w:rsid w:val="00303AC5"/>
    <w:rsid w:val="00303C09"/>
    <w:rsid w:val="0030446D"/>
    <w:rsid w:val="00304E25"/>
    <w:rsid w:val="0030531E"/>
    <w:rsid w:val="003053E0"/>
    <w:rsid w:val="0030562F"/>
    <w:rsid w:val="00305959"/>
    <w:rsid w:val="0030689D"/>
    <w:rsid w:val="003071D8"/>
    <w:rsid w:val="00307246"/>
    <w:rsid w:val="00310241"/>
    <w:rsid w:val="00310461"/>
    <w:rsid w:val="00310F6D"/>
    <w:rsid w:val="003119A7"/>
    <w:rsid w:val="00311EB7"/>
    <w:rsid w:val="00312304"/>
    <w:rsid w:val="003123AB"/>
    <w:rsid w:val="00313374"/>
    <w:rsid w:val="00313439"/>
    <w:rsid w:val="00313E6D"/>
    <w:rsid w:val="00313F21"/>
    <w:rsid w:val="00314099"/>
    <w:rsid w:val="003140DC"/>
    <w:rsid w:val="0031417D"/>
    <w:rsid w:val="00314BCB"/>
    <w:rsid w:val="00314D2A"/>
    <w:rsid w:val="00314E04"/>
    <w:rsid w:val="00314E5A"/>
    <w:rsid w:val="00315356"/>
    <w:rsid w:val="003155A2"/>
    <w:rsid w:val="00316334"/>
    <w:rsid w:val="0031675A"/>
    <w:rsid w:val="00316DC7"/>
    <w:rsid w:val="003170AE"/>
    <w:rsid w:val="00317544"/>
    <w:rsid w:val="00317A26"/>
    <w:rsid w:val="00317FAB"/>
    <w:rsid w:val="00320169"/>
    <w:rsid w:val="00320780"/>
    <w:rsid w:val="00321173"/>
    <w:rsid w:val="003211C8"/>
    <w:rsid w:val="00321492"/>
    <w:rsid w:val="0032169A"/>
    <w:rsid w:val="0032197E"/>
    <w:rsid w:val="003224B5"/>
    <w:rsid w:val="003226A0"/>
    <w:rsid w:val="003229EC"/>
    <w:rsid w:val="00322D62"/>
    <w:rsid w:val="00322E70"/>
    <w:rsid w:val="003230DA"/>
    <w:rsid w:val="003234B5"/>
    <w:rsid w:val="0032387D"/>
    <w:rsid w:val="00323D66"/>
    <w:rsid w:val="00323EAC"/>
    <w:rsid w:val="00323F94"/>
    <w:rsid w:val="00324864"/>
    <w:rsid w:val="00324BD9"/>
    <w:rsid w:val="00324C74"/>
    <w:rsid w:val="00324E87"/>
    <w:rsid w:val="00324FA7"/>
    <w:rsid w:val="003250F9"/>
    <w:rsid w:val="00325515"/>
    <w:rsid w:val="003258A1"/>
    <w:rsid w:val="003258C5"/>
    <w:rsid w:val="00325E7A"/>
    <w:rsid w:val="00325EDF"/>
    <w:rsid w:val="00326A8F"/>
    <w:rsid w:val="00326AD4"/>
    <w:rsid w:val="00326B98"/>
    <w:rsid w:val="00326E82"/>
    <w:rsid w:val="00327353"/>
    <w:rsid w:val="003277FC"/>
    <w:rsid w:val="0033026D"/>
    <w:rsid w:val="003307CC"/>
    <w:rsid w:val="00330A12"/>
    <w:rsid w:val="00331427"/>
    <w:rsid w:val="003325DB"/>
    <w:rsid w:val="00332D91"/>
    <w:rsid w:val="0033371A"/>
    <w:rsid w:val="00333E95"/>
    <w:rsid w:val="00334093"/>
    <w:rsid w:val="00334938"/>
    <w:rsid w:val="00335FEE"/>
    <w:rsid w:val="00335FFF"/>
    <w:rsid w:val="0033631F"/>
    <w:rsid w:val="003366FF"/>
    <w:rsid w:val="0033691F"/>
    <w:rsid w:val="00336D1E"/>
    <w:rsid w:val="00336F3D"/>
    <w:rsid w:val="003370B9"/>
    <w:rsid w:val="003371FF"/>
    <w:rsid w:val="00337327"/>
    <w:rsid w:val="003373C0"/>
    <w:rsid w:val="00337855"/>
    <w:rsid w:val="00341459"/>
    <w:rsid w:val="003422E7"/>
    <w:rsid w:val="00342613"/>
    <w:rsid w:val="00342773"/>
    <w:rsid w:val="00342BD2"/>
    <w:rsid w:val="003430A0"/>
    <w:rsid w:val="003430B4"/>
    <w:rsid w:val="003430E4"/>
    <w:rsid w:val="00343927"/>
    <w:rsid w:val="003443DF"/>
    <w:rsid w:val="003447BC"/>
    <w:rsid w:val="00345DD9"/>
    <w:rsid w:val="003464A4"/>
    <w:rsid w:val="0034654E"/>
    <w:rsid w:val="00347453"/>
    <w:rsid w:val="00347F27"/>
    <w:rsid w:val="003503EC"/>
    <w:rsid w:val="003504DC"/>
    <w:rsid w:val="00350FCC"/>
    <w:rsid w:val="00351240"/>
    <w:rsid w:val="0035132E"/>
    <w:rsid w:val="0035148D"/>
    <w:rsid w:val="00351B38"/>
    <w:rsid w:val="00351F47"/>
    <w:rsid w:val="003522C8"/>
    <w:rsid w:val="003524A9"/>
    <w:rsid w:val="0035261B"/>
    <w:rsid w:val="003530A3"/>
    <w:rsid w:val="00353737"/>
    <w:rsid w:val="00353F9D"/>
    <w:rsid w:val="0035416A"/>
    <w:rsid w:val="00354ADE"/>
    <w:rsid w:val="00354C9A"/>
    <w:rsid w:val="00354EC0"/>
    <w:rsid w:val="003552B2"/>
    <w:rsid w:val="00355B35"/>
    <w:rsid w:val="003561F1"/>
    <w:rsid w:val="003565C8"/>
    <w:rsid w:val="00356D57"/>
    <w:rsid w:val="00357229"/>
    <w:rsid w:val="00357325"/>
    <w:rsid w:val="00357D93"/>
    <w:rsid w:val="00360851"/>
    <w:rsid w:val="00360E21"/>
    <w:rsid w:val="0036177A"/>
    <w:rsid w:val="00361F52"/>
    <w:rsid w:val="0036201D"/>
    <w:rsid w:val="00362029"/>
    <w:rsid w:val="003628E9"/>
    <w:rsid w:val="00362C00"/>
    <w:rsid w:val="00362C5B"/>
    <w:rsid w:val="00363439"/>
    <w:rsid w:val="00363D98"/>
    <w:rsid w:val="00365A6C"/>
    <w:rsid w:val="00365CB8"/>
    <w:rsid w:val="00365ED9"/>
    <w:rsid w:val="00366306"/>
    <w:rsid w:val="00366EBE"/>
    <w:rsid w:val="0036716E"/>
    <w:rsid w:val="00367FF3"/>
    <w:rsid w:val="003706E6"/>
    <w:rsid w:val="00370C71"/>
    <w:rsid w:val="00370E4A"/>
    <w:rsid w:val="003711D4"/>
    <w:rsid w:val="0037271B"/>
    <w:rsid w:val="00372C04"/>
    <w:rsid w:val="00373907"/>
    <w:rsid w:val="00374408"/>
    <w:rsid w:val="003745D6"/>
    <w:rsid w:val="00374CEA"/>
    <w:rsid w:val="00374D38"/>
    <w:rsid w:val="003756B0"/>
    <w:rsid w:val="0037649D"/>
    <w:rsid w:val="00376A32"/>
    <w:rsid w:val="00377CEB"/>
    <w:rsid w:val="00380152"/>
    <w:rsid w:val="003805D2"/>
    <w:rsid w:val="003809C1"/>
    <w:rsid w:val="00380F67"/>
    <w:rsid w:val="00381104"/>
    <w:rsid w:val="003811A4"/>
    <w:rsid w:val="00381484"/>
    <w:rsid w:val="00381B4B"/>
    <w:rsid w:val="00381D71"/>
    <w:rsid w:val="00382C28"/>
    <w:rsid w:val="00382E06"/>
    <w:rsid w:val="003830EF"/>
    <w:rsid w:val="00383742"/>
    <w:rsid w:val="00383AF3"/>
    <w:rsid w:val="00383B34"/>
    <w:rsid w:val="00383C72"/>
    <w:rsid w:val="00384416"/>
    <w:rsid w:val="00384563"/>
    <w:rsid w:val="0038458E"/>
    <w:rsid w:val="003848B6"/>
    <w:rsid w:val="00385870"/>
    <w:rsid w:val="00385B8C"/>
    <w:rsid w:val="00385CB1"/>
    <w:rsid w:val="00385E4D"/>
    <w:rsid w:val="003866AA"/>
    <w:rsid w:val="003868FC"/>
    <w:rsid w:val="00386CC5"/>
    <w:rsid w:val="00387073"/>
    <w:rsid w:val="0038723A"/>
    <w:rsid w:val="003877B7"/>
    <w:rsid w:val="00387B0A"/>
    <w:rsid w:val="00387EB4"/>
    <w:rsid w:val="003901BC"/>
    <w:rsid w:val="00390382"/>
    <w:rsid w:val="00390826"/>
    <w:rsid w:val="00390D47"/>
    <w:rsid w:val="003910EE"/>
    <w:rsid w:val="00391158"/>
    <w:rsid w:val="00391371"/>
    <w:rsid w:val="003915A9"/>
    <w:rsid w:val="0039164F"/>
    <w:rsid w:val="00391CB9"/>
    <w:rsid w:val="00391CCF"/>
    <w:rsid w:val="003922B4"/>
    <w:rsid w:val="003934D0"/>
    <w:rsid w:val="00393526"/>
    <w:rsid w:val="0039392F"/>
    <w:rsid w:val="00393D06"/>
    <w:rsid w:val="00394387"/>
    <w:rsid w:val="00394AAE"/>
    <w:rsid w:val="00394AF4"/>
    <w:rsid w:val="00394B6B"/>
    <w:rsid w:val="00394D29"/>
    <w:rsid w:val="00394EF2"/>
    <w:rsid w:val="00395026"/>
    <w:rsid w:val="003951C0"/>
    <w:rsid w:val="00395BBE"/>
    <w:rsid w:val="00395D38"/>
    <w:rsid w:val="00395F33"/>
    <w:rsid w:val="0039637F"/>
    <w:rsid w:val="00396398"/>
    <w:rsid w:val="0039678F"/>
    <w:rsid w:val="00396C72"/>
    <w:rsid w:val="00396FA3"/>
    <w:rsid w:val="0039739C"/>
    <w:rsid w:val="003977AD"/>
    <w:rsid w:val="00397D42"/>
    <w:rsid w:val="00397F00"/>
    <w:rsid w:val="003A0322"/>
    <w:rsid w:val="003A0A78"/>
    <w:rsid w:val="003A0D3E"/>
    <w:rsid w:val="003A1C1B"/>
    <w:rsid w:val="003A1D3C"/>
    <w:rsid w:val="003A223C"/>
    <w:rsid w:val="003A2952"/>
    <w:rsid w:val="003A38A9"/>
    <w:rsid w:val="003A3B3A"/>
    <w:rsid w:val="003A415A"/>
    <w:rsid w:val="003A4576"/>
    <w:rsid w:val="003A45BC"/>
    <w:rsid w:val="003A46B0"/>
    <w:rsid w:val="003A4EF7"/>
    <w:rsid w:val="003A4F38"/>
    <w:rsid w:val="003A5093"/>
    <w:rsid w:val="003A50FA"/>
    <w:rsid w:val="003A517F"/>
    <w:rsid w:val="003A54B9"/>
    <w:rsid w:val="003A5917"/>
    <w:rsid w:val="003A5A52"/>
    <w:rsid w:val="003A6283"/>
    <w:rsid w:val="003A63D3"/>
    <w:rsid w:val="003A6583"/>
    <w:rsid w:val="003A69D1"/>
    <w:rsid w:val="003A6F73"/>
    <w:rsid w:val="003A70C6"/>
    <w:rsid w:val="003A7434"/>
    <w:rsid w:val="003A7543"/>
    <w:rsid w:val="003A7C19"/>
    <w:rsid w:val="003B0413"/>
    <w:rsid w:val="003B053A"/>
    <w:rsid w:val="003B0D95"/>
    <w:rsid w:val="003B0F9B"/>
    <w:rsid w:val="003B1AFC"/>
    <w:rsid w:val="003B2109"/>
    <w:rsid w:val="003B2154"/>
    <w:rsid w:val="003B2811"/>
    <w:rsid w:val="003B2CE4"/>
    <w:rsid w:val="003B309A"/>
    <w:rsid w:val="003B350B"/>
    <w:rsid w:val="003B35A1"/>
    <w:rsid w:val="003B36E1"/>
    <w:rsid w:val="003B38E9"/>
    <w:rsid w:val="003B49A6"/>
    <w:rsid w:val="003B51FD"/>
    <w:rsid w:val="003B5920"/>
    <w:rsid w:val="003B59F6"/>
    <w:rsid w:val="003B5A31"/>
    <w:rsid w:val="003B6AA5"/>
    <w:rsid w:val="003B6B3B"/>
    <w:rsid w:val="003B6FC8"/>
    <w:rsid w:val="003B7796"/>
    <w:rsid w:val="003B7E11"/>
    <w:rsid w:val="003C06ED"/>
    <w:rsid w:val="003C0929"/>
    <w:rsid w:val="003C09DC"/>
    <w:rsid w:val="003C0B96"/>
    <w:rsid w:val="003C0BEB"/>
    <w:rsid w:val="003C0D8C"/>
    <w:rsid w:val="003C0E35"/>
    <w:rsid w:val="003C0F20"/>
    <w:rsid w:val="003C0FA5"/>
    <w:rsid w:val="003C10FB"/>
    <w:rsid w:val="003C1239"/>
    <w:rsid w:val="003C1A2D"/>
    <w:rsid w:val="003C2383"/>
    <w:rsid w:val="003C267A"/>
    <w:rsid w:val="003C28AE"/>
    <w:rsid w:val="003C2EB7"/>
    <w:rsid w:val="003C3343"/>
    <w:rsid w:val="003C3E83"/>
    <w:rsid w:val="003C47BD"/>
    <w:rsid w:val="003C48F5"/>
    <w:rsid w:val="003C4B50"/>
    <w:rsid w:val="003C4DA1"/>
    <w:rsid w:val="003C535B"/>
    <w:rsid w:val="003C54BA"/>
    <w:rsid w:val="003C576C"/>
    <w:rsid w:val="003C59AE"/>
    <w:rsid w:val="003C5D01"/>
    <w:rsid w:val="003C6151"/>
    <w:rsid w:val="003C6A01"/>
    <w:rsid w:val="003C709E"/>
    <w:rsid w:val="003C7235"/>
    <w:rsid w:val="003C72A0"/>
    <w:rsid w:val="003C77FA"/>
    <w:rsid w:val="003C7B5E"/>
    <w:rsid w:val="003C7BAC"/>
    <w:rsid w:val="003C7CC6"/>
    <w:rsid w:val="003D0371"/>
    <w:rsid w:val="003D075F"/>
    <w:rsid w:val="003D08F8"/>
    <w:rsid w:val="003D09B1"/>
    <w:rsid w:val="003D0BD0"/>
    <w:rsid w:val="003D0D72"/>
    <w:rsid w:val="003D122F"/>
    <w:rsid w:val="003D13CB"/>
    <w:rsid w:val="003D17CE"/>
    <w:rsid w:val="003D2C8C"/>
    <w:rsid w:val="003D3534"/>
    <w:rsid w:val="003D3D91"/>
    <w:rsid w:val="003D4127"/>
    <w:rsid w:val="003D47DF"/>
    <w:rsid w:val="003D4C5B"/>
    <w:rsid w:val="003D51A4"/>
    <w:rsid w:val="003D5855"/>
    <w:rsid w:val="003D61D5"/>
    <w:rsid w:val="003D6505"/>
    <w:rsid w:val="003D69B6"/>
    <w:rsid w:val="003D6C15"/>
    <w:rsid w:val="003D6E61"/>
    <w:rsid w:val="003D7243"/>
    <w:rsid w:val="003D7F21"/>
    <w:rsid w:val="003D7FDF"/>
    <w:rsid w:val="003E0A33"/>
    <w:rsid w:val="003E0F24"/>
    <w:rsid w:val="003E102A"/>
    <w:rsid w:val="003E19A1"/>
    <w:rsid w:val="003E19A8"/>
    <w:rsid w:val="003E1AAD"/>
    <w:rsid w:val="003E1BC9"/>
    <w:rsid w:val="003E2067"/>
    <w:rsid w:val="003E2129"/>
    <w:rsid w:val="003E247C"/>
    <w:rsid w:val="003E2B46"/>
    <w:rsid w:val="003E2DDF"/>
    <w:rsid w:val="003E34E5"/>
    <w:rsid w:val="003E3A90"/>
    <w:rsid w:val="003E3AA5"/>
    <w:rsid w:val="003E3C81"/>
    <w:rsid w:val="003E4A4C"/>
    <w:rsid w:val="003E4E86"/>
    <w:rsid w:val="003E58E2"/>
    <w:rsid w:val="003E61EB"/>
    <w:rsid w:val="003E65F8"/>
    <w:rsid w:val="003E6657"/>
    <w:rsid w:val="003E6AAA"/>
    <w:rsid w:val="003E7028"/>
    <w:rsid w:val="003E736C"/>
    <w:rsid w:val="003F0542"/>
    <w:rsid w:val="003F0C65"/>
    <w:rsid w:val="003F0DD3"/>
    <w:rsid w:val="003F11B3"/>
    <w:rsid w:val="003F13F3"/>
    <w:rsid w:val="003F1473"/>
    <w:rsid w:val="003F1CA9"/>
    <w:rsid w:val="003F1E52"/>
    <w:rsid w:val="003F2909"/>
    <w:rsid w:val="003F2B70"/>
    <w:rsid w:val="003F2D43"/>
    <w:rsid w:val="003F43EF"/>
    <w:rsid w:val="003F4715"/>
    <w:rsid w:val="003F4798"/>
    <w:rsid w:val="003F4B69"/>
    <w:rsid w:val="003F53AE"/>
    <w:rsid w:val="003F5993"/>
    <w:rsid w:val="003F640F"/>
    <w:rsid w:val="003F6449"/>
    <w:rsid w:val="003F6814"/>
    <w:rsid w:val="003F6835"/>
    <w:rsid w:val="003F71DB"/>
    <w:rsid w:val="003F72C9"/>
    <w:rsid w:val="003F75A4"/>
    <w:rsid w:val="003F75CF"/>
    <w:rsid w:val="0040054D"/>
    <w:rsid w:val="00401163"/>
    <w:rsid w:val="00401C41"/>
    <w:rsid w:val="00401FE6"/>
    <w:rsid w:val="0040265C"/>
    <w:rsid w:val="004029D8"/>
    <w:rsid w:val="00402AA0"/>
    <w:rsid w:val="00402C37"/>
    <w:rsid w:val="00402F29"/>
    <w:rsid w:val="004035BC"/>
    <w:rsid w:val="004039F5"/>
    <w:rsid w:val="00403C6E"/>
    <w:rsid w:val="00403CDC"/>
    <w:rsid w:val="004046BA"/>
    <w:rsid w:val="00404B0E"/>
    <w:rsid w:val="004059AB"/>
    <w:rsid w:val="00406010"/>
    <w:rsid w:val="004062B3"/>
    <w:rsid w:val="004066D3"/>
    <w:rsid w:val="00406717"/>
    <w:rsid w:val="00406843"/>
    <w:rsid w:val="00406CFF"/>
    <w:rsid w:val="00406EA4"/>
    <w:rsid w:val="00406EB6"/>
    <w:rsid w:val="00407193"/>
    <w:rsid w:val="004071A4"/>
    <w:rsid w:val="0040787D"/>
    <w:rsid w:val="004113EC"/>
    <w:rsid w:val="004117AF"/>
    <w:rsid w:val="00411F52"/>
    <w:rsid w:val="00411F92"/>
    <w:rsid w:val="0041215B"/>
    <w:rsid w:val="00412C4B"/>
    <w:rsid w:val="00412D8B"/>
    <w:rsid w:val="00413DE2"/>
    <w:rsid w:val="00414697"/>
    <w:rsid w:val="00414BA5"/>
    <w:rsid w:val="004156F1"/>
    <w:rsid w:val="00415928"/>
    <w:rsid w:val="00415B2B"/>
    <w:rsid w:val="00416089"/>
    <w:rsid w:val="00416619"/>
    <w:rsid w:val="00416858"/>
    <w:rsid w:val="00416C48"/>
    <w:rsid w:val="00416FE1"/>
    <w:rsid w:val="00417756"/>
    <w:rsid w:val="00417820"/>
    <w:rsid w:val="00420189"/>
    <w:rsid w:val="0042062C"/>
    <w:rsid w:val="00420847"/>
    <w:rsid w:val="00420C14"/>
    <w:rsid w:val="00420C98"/>
    <w:rsid w:val="00421492"/>
    <w:rsid w:val="00421CE9"/>
    <w:rsid w:val="00422AD2"/>
    <w:rsid w:val="00422B5D"/>
    <w:rsid w:val="00422B62"/>
    <w:rsid w:val="00422B9E"/>
    <w:rsid w:val="00422C2A"/>
    <w:rsid w:val="00422D02"/>
    <w:rsid w:val="00422D45"/>
    <w:rsid w:val="00423699"/>
    <w:rsid w:val="00423883"/>
    <w:rsid w:val="00423BE4"/>
    <w:rsid w:val="00423C8D"/>
    <w:rsid w:val="00424BC2"/>
    <w:rsid w:val="00424E2C"/>
    <w:rsid w:val="00425C71"/>
    <w:rsid w:val="00425D56"/>
    <w:rsid w:val="00426629"/>
    <w:rsid w:val="0042666B"/>
    <w:rsid w:val="00426691"/>
    <w:rsid w:val="00426A94"/>
    <w:rsid w:val="004274D8"/>
    <w:rsid w:val="004301E2"/>
    <w:rsid w:val="00430342"/>
    <w:rsid w:val="00430B56"/>
    <w:rsid w:val="00430F36"/>
    <w:rsid w:val="004311F9"/>
    <w:rsid w:val="00431DDA"/>
    <w:rsid w:val="0043226D"/>
    <w:rsid w:val="0043229C"/>
    <w:rsid w:val="004325BE"/>
    <w:rsid w:val="004326B7"/>
    <w:rsid w:val="00432794"/>
    <w:rsid w:val="00432A7A"/>
    <w:rsid w:val="00432B63"/>
    <w:rsid w:val="00432D22"/>
    <w:rsid w:val="00433C13"/>
    <w:rsid w:val="00433F7A"/>
    <w:rsid w:val="00433FB5"/>
    <w:rsid w:val="00434324"/>
    <w:rsid w:val="004343C8"/>
    <w:rsid w:val="004343F4"/>
    <w:rsid w:val="004345A5"/>
    <w:rsid w:val="0043480A"/>
    <w:rsid w:val="00434C54"/>
    <w:rsid w:val="0043512E"/>
    <w:rsid w:val="00435275"/>
    <w:rsid w:val="00435841"/>
    <w:rsid w:val="004365A5"/>
    <w:rsid w:val="004365E6"/>
    <w:rsid w:val="0043660E"/>
    <w:rsid w:val="00436F91"/>
    <w:rsid w:val="004371ED"/>
    <w:rsid w:val="00437422"/>
    <w:rsid w:val="00437455"/>
    <w:rsid w:val="00437517"/>
    <w:rsid w:val="00437F4C"/>
    <w:rsid w:val="00437FBC"/>
    <w:rsid w:val="004409FE"/>
    <w:rsid w:val="00440BFE"/>
    <w:rsid w:val="00440E0F"/>
    <w:rsid w:val="00440FEF"/>
    <w:rsid w:val="004412C0"/>
    <w:rsid w:val="00441D50"/>
    <w:rsid w:val="00441F0F"/>
    <w:rsid w:val="00442E4D"/>
    <w:rsid w:val="00443190"/>
    <w:rsid w:val="0044336A"/>
    <w:rsid w:val="00443447"/>
    <w:rsid w:val="00443989"/>
    <w:rsid w:val="00443EB4"/>
    <w:rsid w:val="0044488E"/>
    <w:rsid w:val="00444B14"/>
    <w:rsid w:val="00444F17"/>
    <w:rsid w:val="00444FE1"/>
    <w:rsid w:val="0044506D"/>
    <w:rsid w:val="00445847"/>
    <w:rsid w:val="00446347"/>
    <w:rsid w:val="00446C4A"/>
    <w:rsid w:val="00446CD6"/>
    <w:rsid w:val="00446DBB"/>
    <w:rsid w:val="00446F11"/>
    <w:rsid w:val="00446FE9"/>
    <w:rsid w:val="0044767E"/>
    <w:rsid w:val="00450331"/>
    <w:rsid w:val="00450E13"/>
    <w:rsid w:val="00451074"/>
    <w:rsid w:val="0045124F"/>
    <w:rsid w:val="004512CA"/>
    <w:rsid w:val="00451393"/>
    <w:rsid w:val="004515D2"/>
    <w:rsid w:val="004517A4"/>
    <w:rsid w:val="00451CD3"/>
    <w:rsid w:val="0045225B"/>
    <w:rsid w:val="00452DE6"/>
    <w:rsid w:val="004533EF"/>
    <w:rsid w:val="004535C8"/>
    <w:rsid w:val="0045366D"/>
    <w:rsid w:val="00453795"/>
    <w:rsid w:val="0045386A"/>
    <w:rsid w:val="00453A80"/>
    <w:rsid w:val="00453C3A"/>
    <w:rsid w:val="00453C4F"/>
    <w:rsid w:val="00453DF4"/>
    <w:rsid w:val="00454102"/>
    <w:rsid w:val="00454903"/>
    <w:rsid w:val="00454CBD"/>
    <w:rsid w:val="00454DEA"/>
    <w:rsid w:val="0045575E"/>
    <w:rsid w:val="004559B4"/>
    <w:rsid w:val="00456633"/>
    <w:rsid w:val="00456FC7"/>
    <w:rsid w:val="0045748C"/>
    <w:rsid w:val="00457938"/>
    <w:rsid w:val="00457943"/>
    <w:rsid w:val="00460900"/>
    <w:rsid w:val="00460C75"/>
    <w:rsid w:val="00460DA5"/>
    <w:rsid w:val="00460FA4"/>
    <w:rsid w:val="00461517"/>
    <w:rsid w:val="004615F9"/>
    <w:rsid w:val="004617EB"/>
    <w:rsid w:val="00461DF1"/>
    <w:rsid w:val="0046239C"/>
    <w:rsid w:val="00462881"/>
    <w:rsid w:val="00462BFB"/>
    <w:rsid w:val="00462DF0"/>
    <w:rsid w:val="00462E44"/>
    <w:rsid w:val="004630C6"/>
    <w:rsid w:val="00463341"/>
    <w:rsid w:val="00463965"/>
    <w:rsid w:val="00463CE7"/>
    <w:rsid w:val="00463DD7"/>
    <w:rsid w:val="00463ED3"/>
    <w:rsid w:val="00464190"/>
    <w:rsid w:val="0046589C"/>
    <w:rsid w:val="00466051"/>
    <w:rsid w:val="00466326"/>
    <w:rsid w:val="00466424"/>
    <w:rsid w:val="004666A3"/>
    <w:rsid w:val="00466D75"/>
    <w:rsid w:val="00467151"/>
    <w:rsid w:val="004671C7"/>
    <w:rsid w:val="0046745D"/>
    <w:rsid w:val="00467873"/>
    <w:rsid w:val="0046792C"/>
    <w:rsid w:val="00467F96"/>
    <w:rsid w:val="0047003B"/>
    <w:rsid w:val="00470096"/>
    <w:rsid w:val="004700E1"/>
    <w:rsid w:val="00470315"/>
    <w:rsid w:val="004703A7"/>
    <w:rsid w:val="004705F3"/>
    <w:rsid w:val="00470AE9"/>
    <w:rsid w:val="00470D1B"/>
    <w:rsid w:val="00470FD5"/>
    <w:rsid w:val="00471922"/>
    <w:rsid w:val="0047226E"/>
    <w:rsid w:val="00472CF1"/>
    <w:rsid w:val="00472E4B"/>
    <w:rsid w:val="00473202"/>
    <w:rsid w:val="00473426"/>
    <w:rsid w:val="00474043"/>
    <w:rsid w:val="004745C8"/>
    <w:rsid w:val="004745FC"/>
    <w:rsid w:val="004749E0"/>
    <w:rsid w:val="0047554D"/>
    <w:rsid w:val="004756EA"/>
    <w:rsid w:val="00476084"/>
    <w:rsid w:val="00476A7B"/>
    <w:rsid w:val="00476CDA"/>
    <w:rsid w:val="00477162"/>
    <w:rsid w:val="004774BF"/>
    <w:rsid w:val="004801AC"/>
    <w:rsid w:val="00480455"/>
    <w:rsid w:val="00480957"/>
    <w:rsid w:val="00480D74"/>
    <w:rsid w:val="00481310"/>
    <w:rsid w:val="00481972"/>
    <w:rsid w:val="00482093"/>
    <w:rsid w:val="004822AA"/>
    <w:rsid w:val="0048365E"/>
    <w:rsid w:val="004836FD"/>
    <w:rsid w:val="00483D90"/>
    <w:rsid w:val="00483FB9"/>
    <w:rsid w:val="004840CE"/>
    <w:rsid w:val="0048434C"/>
    <w:rsid w:val="004843B4"/>
    <w:rsid w:val="00484B1B"/>
    <w:rsid w:val="004854D7"/>
    <w:rsid w:val="004860AB"/>
    <w:rsid w:val="004869AE"/>
    <w:rsid w:val="00486C68"/>
    <w:rsid w:val="00486E64"/>
    <w:rsid w:val="00487491"/>
    <w:rsid w:val="00487536"/>
    <w:rsid w:val="004875E6"/>
    <w:rsid w:val="00487D43"/>
    <w:rsid w:val="00487D91"/>
    <w:rsid w:val="00487F44"/>
    <w:rsid w:val="00487FB5"/>
    <w:rsid w:val="0049056D"/>
    <w:rsid w:val="00490C47"/>
    <w:rsid w:val="00491103"/>
    <w:rsid w:val="00491391"/>
    <w:rsid w:val="004916B5"/>
    <w:rsid w:val="00491DAE"/>
    <w:rsid w:val="0049262F"/>
    <w:rsid w:val="00492987"/>
    <w:rsid w:val="00492AE4"/>
    <w:rsid w:val="00492AF8"/>
    <w:rsid w:val="00493332"/>
    <w:rsid w:val="00493741"/>
    <w:rsid w:val="00493802"/>
    <w:rsid w:val="0049382A"/>
    <w:rsid w:val="0049397A"/>
    <w:rsid w:val="00493E3E"/>
    <w:rsid w:val="00493EB7"/>
    <w:rsid w:val="00494029"/>
    <w:rsid w:val="00494302"/>
    <w:rsid w:val="004947A9"/>
    <w:rsid w:val="00494F49"/>
    <w:rsid w:val="00495495"/>
    <w:rsid w:val="00495766"/>
    <w:rsid w:val="00495838"/>
    <w:rsid w:val="00495FA5"/>
    <w:rsid w:val="0049685F"/>
    <w:rsid w:val="00496D2C"/>
    <w:rsid w:val="00497029"/>
    <w:rsid w:val="004972B7"/>
    <w:rsid w:val="00497417"/>
    <w:rsid w:val="004976AB"/>
    <w:rsid w:val="004A0AF2"/>
    <w:rsid w:val="004A1326"/>
    <w:rsid w:val="004A14D2"/>
    <w:rsid w:val="004A1769"/>
    <w:rsid w:val="004A2C77"/>
    <w:rsid w:val="004A3655"/>
    <w:rsid w:val="004A3BB1"/>
    <w:rsid w:val="004A3DFF"/>
    <w:rsid w:val="004A4062"/>
    <w:rsid w:val="004A408E"/>
    <w:rsid w:val="004A445D"/>
    <w:rsid w:val="004A4976"/>
    <w:rsid w:val="004A49F9"/>
    <w:rsid w:val="004A4D83"/>
    <w:rsid w:val="004A5194"/>
    <w:rsid w:val="004A5B0C"/>
    <w:rsid w:val="004A5F12"/>
    <w:rsid w:val="004A6876"/>
    <w:rsid w:val="004A6E85"/>
    <w:rsid w:val="004A7394"/>
    <w:rsid w:val="004B0046"/>
    <w:rsid w:val="004B0189"/>
    <w:rsid w:val="004B01B7"/>
    <w:rsid w:val="004B079D"/>
    <w:rsid w:val="004B0E94"/>
    <w:rsid w:val="004B135A"/>
    <w:rsid w:val="004B16EE"/>
    <w:rsid w:val="004B1A11"/>
    <w:rsid w:val="004B1A5C"/>
    <w:rsid w:val="004B1F70"/>
    <w:rsid w:val="004B205D"/>
    <w:rsid w:val="004B21F5"/>
    <w:rsid w:val="004B2503"/>
    <w:rsid w:val="004B262F"/>
    <w:rsid w:val="004B27C4"/>
    <w:rsid w:val="004B2A87"/>
    <w:rsid w:val="004B2D94"/>
    <w:rsid w:val="004B3731"/>
    <w:rsid w:val="004B37A4"/>
    <w:rsid w:val="004B3910"/>
    <w:rsid w:val="004B4492"/>
    <w:rsid w:val="004B5B5E"/>
    <w:rsid w:val="004B5C44"/>
    <w:rsid w:val="004B626D"/>
    <w:rsid w:val="004B65BC"/>
    <w:rsid w:val="004B6CB9"/>
    <w:rsid w:val="004B7B5D"/>
    <w:rsid w:val="004C04D0"/>
    <w:rsid w:val="004C051E"/>
    <w:rsid w:val="004C0749"/>
    <w:rsid w:val="004C08A1"/>
    <w:rsid w:val="004C1277"/>
    <w:rsid w:val="004C1910"/>
    <w:rsid w:val="004C2192"/>
    <w:rsid w:val="004C27E5"/>
    <w:rsid w:val="004C2B00"/>
    <w:rsid w:val="004C2BA2"/>
    <w:rsid w:val="004C2E86"/>
    <w:rsid w:val="004C300C"/>
    <w:rsid w:val="004C32C3"/>
    <w:rsid w:val="004C3731"/>
    <w:rsid w:val="004C428F"/>
    <w:rsid w:val="004C4428"/>
    <w:rsid w:val="004C4BD6"/>
    <w:rsid w:val="004C531A"/>
    <w:rsid w:val="004C5B7D"/>
    <w:rsid w:val="004C5B93"/>
    <w:rsid w:val="004C6421"/>
    <w:rsid w:val="004C65F5"/>
    <w:rsid w:val="004C6AA7"/>
    <w:rsid w:val="004C6CF3"/>
    <w:rsid w:val="004C7951"/>
    <w:rsid w:val="004C7B2E"/>
    <w:rsid w:val="004D0199"/>
    <w:rsid w:val="004D0B22"/>
    <w:rsid w:val="004D0B7F"/>
    <w:rsid w:val="004D0C2A"/>
    <w:rsid w:val="004D118F"/>
    <w:rsid w:val="004D13F2"/>
    <w:rsid w:val="004D1A35"/>
    <w:rsid w:val="004D1BF5"/>
    <w:rsid w:val="004D1C66"/>
    <w:rsid w:val="004D1CE1"/>
    <w:rsid w:val="004D3929"/>
    <w:rsid w:val="004D3C78"/>
    <w:rsid w:val="004D471C"/>
    <w:rsid w:val="004D486C"/>
    <w:rsid w:val="004D49F8"/>
    <w:rsid w:val="004D4EC8"/>
    <w:rsid w:val="004D50EE"/>
    <w:rsid w:val="004D61FF"/>
    <w:rsid w:val="004D6467"/>
    <w:rsid w:val="004D6C6B"/>
    <w:rsid w:val="004D6C84"/>
    <w:rsid w:val="004D6FFE"/>
    <w:rsid w:val="004D71B8"/>
    <w:rsid w:val="004D7FB4"/>
    <w:rsid w:val="004D7FE2"/>
    <w:rsid w:val="004E00A1"/>
    <w:rsid w:val="004E05F8"/>
    <w:rsid w:val="004E0715"/>
    <w:rsid w:val="004E1287"/>
    <w:rsid w:val="004E1445"/>
    <w:rsid w:val="004E144F"/>
    <w:rsid w:val="004E1564"/>
    <w:rsid w:val="004E1B8C"/>
    <w:rsid w:val="004E2AA6"/>
    <w:rsid w:val="004E3280"/>
    <w:rsid w:val="004E34DB"/>
    <w:rsid w:val="004E46C6"/>
    <w:rsid w:val="004E5125"/>
    <w:rsid w:val="004E51DD"/>
    <w:rsid w:val="004E556C"/>
    <w:rsid w:val="004E62BE"/>
    <w:rsid w:val="004E6B02"/>
    <w:rsid w:val="004E6B3F"/>
    <w:rsid w:val="004E7131"/>
    <w:rsid w:val="004E7C93"/>
    <w:rsid w:val="004F06EC"/>
    <w:rsid w:val="004F08B5"/>
    <w:rsid w:val="004F10F0"/>
    <w:rsid w:val="004F1398"/>
    <w:rsid w:val="004F1DAC"/>
    <w:rsid w:val="004F2C12"/>
    <w:rsid w:val="004F2C26"/>
    <w:rsid w:val="004F2D25"/>
    <w:rsid w:val="004F2EB8"/>
    <w:rsid w:val="004F35FE"/>
    <w:rsid w:val="004F3AE7"/>
    <w:rsid w:val="004F3FB2"/>
    <w:rsid w:val="004F43F8"/>
    <w:rsid w:val="004F455E"/>
    <w:rsid w:val="004F4B0C"/>
    <w:rsid w:val="004F4D9E"/>
    <w:rsid w:val="004F50AF"/>
    <w:rsid w:val="004F529B"/>
    <w:rsid w:val="004F5A7B"/>
    <w:rsid w:val="004F6287"/>
    <w:rsid w:val="004F64AD"/>
    <w:rsid w:val="004F66B9"/>
    <w:rsid w:val="004F6776"/>
    <w:rsid w:val="004F6B7F"/>
    <w:rsid w:val="004F6C6C"/>
    <w:rsid w:val="004F7611"/>
    <w:rsid w:val="004F7752"/>
    <w:rsid w:val="00500AF3"/>
    <w:rsid w:val="00500CF1"/>
    <w:rsid w:val="00500D58"/>
    <w:rsid w:val="00500E24"/>
    <w:rsid w:val="00501184"/>
    <w:rsid w:val="005015AC"/>
    <w:rsid w:val="00502512"/>
    <w:rsid w:val="00502655"/>
    <w:rsid w:val="005029EC"/>
    <w:rsid w:val="00503035"/>
    <w:rsid w:val="00503104"/>
    <w:rsid w:val="00503781"/>
    <w:rsid w:val="00503E5E"/>
    <w:rsid w:val="00504301"/>
    <w:rsid w:val="005043A4"/>
    <w:rsid w:val="00504B41"/>
    <w:rsid w:val="00504BA3"/>
    <w:rsid w:val="00504F15"/>
    <w:rsid w:val="00504FB1"/>
    <w:rsid w:val="00505298"/>
    <w:rsid w:val="00505683"/>
    <w:rsid w:val="005056AE"/>
    <w:rsid w:val="00506005"/>
    <w:rsid w:val="005060F4"/>
    <w:rsid w:val="00506377"/>
    <w:rsid w:val="00506709"/>
    <w:rsid w:val="00506755"/>
    <w:rsid w:val="0050680F"/>
    <w:rsid w:val="0050733D"/>
    <w:rsid w:val="005076A3"/>
    <w:rsid w:val="00507B60"/>
    <w:rsid w:val="00507CFA"/>
    <w:rsid w:val="005101B3"/>
    <w:rsid w:val="00510390"/>
    <w:rsid w:val="00510442"/>
    <w:rsid w:val="005109C2"/>
    <w:rsid w:val="005111A5"/>
    <w:rsid w:val="005112C3"/>
    <w:rsid w:val="005113E0"/>
    <w:rsid w:val="0051149F"/>
    <w:rsid w:val="00512761"/>
    <w:rsid w:val="0051283E"/>
    <w:rsid w:val="00512A93"/>
    <w:rsid w:val="00512DB9"/>
    <w:rsid w:val="00512F96"/>
    <w:rsid w:val="005133C5"/>
    <w:rsid w:val="005135B5"/>
    <w:rsid w:val="005137A5"/>
    <w:rsid w:val="00513B70"/>
    <w:rsid w:val="00514190"/>
    <w:rsid w:val="005141A0"/>
    <w:rsid w:val="0051430A"/>
    <w:rsid w:val="005149BA"/>
    <w:rsid w:val="0051584C"/>
    <w:rsid w:val="00515BF0"/>
    <w:rsid w:val="00515C10"/>
    <w:rsid w:val="00516222"/>
    <w:rsid w:val="0051649C"/>
    <w:rsid w:val="00516798"/>
    <w:rsid w:val="005169D5"/>
    <w:rsid w:val="00517749"/>
    <w:rsid w:val="005179DC"/>
    <w:rsid w:val="005201AE"/>
    <w:rsid w:val="005201D2"/>
    <w:rsid w:val="0052069A"/>
    <w:rsid w:val="00520833"/>
    <w:rsid w:val="0052091A"/>
    <w:rsid w:val="00520C16"/>
    <w:rsid w:val="0052164E"/>
    <w:rsid w:val="00522962"/>
    <w:rsid w:val="00522D65"/>
    <w:rsid w:val="00523041"/>
    <w:rsid w:val="005231E7"/>
    <w:rsid w:val="005233A7"/>
    <w:rsid w:val="0052357B"/>
    <w:rsid w:val="00523FDC"/>
    <w:rsid w:val="005240B6"/>
    <w:rsid w:val="00524254"/>
    <w:rsid w:val="005245CB"/>
    <w:rsid w:val="00524798"/>
    <w:rsid w:val="00524D25"/>
    <w:rsid w:val="005250C5"/>
    <w:rsid w:val="005266EF"/>
    <w:rsid w:val="00526C4A"/>
    <w:rsid w:val="005304EB"/>
    <w:rsid w:val="005305C6"/>
    <w:rsid w:val="00530A64"/>
    <w:rsid w:val="00530CDD"/>
    <w:rsid w:val="00531578"/>
    <w:rsid w:val="005315D0"/>
    <w:rsid w:val="00531901"/>
    <w:rsid w:val="00531ABE"/>
    <w:rsid w:val="005322F9"/>
    <w:rsid w:val="00532553"/>
    <w:rsid w:val="00532673"/>
    <w:rsid w:val="00532A3C"/>
    <w:rsid w:val="0053362D"/>
    <w:rsid w:val="00533A72"/>
    <w:rsid w:val="00533AF2"/>
    <w:rsid w:val="00533DEC"/>
    <w:rsid w:val="005340D9"/>
    <w:rsid w:val="005349AE"/>
    <w:rsid w:val="00534BBA"/>
    <w:rsid w:val="00535B70"/>
    <w:rsid w:val="00535EAA"/>
    <w:rsid w:val="00535EE7"/>
    <w:rsid w:val="00536192"/>
    <w:rsid w:val="00536C91"/>
    <w:rsid w:val="00537275"/>
    <w:rsid w:val="00537502"/>
    <w:rsid w:val="005376A1"/>
    <w:rsid w:val="00537BD2"/>
    <w:rsid w:val="0054000D"/>
    <w:rsid w:val="00540B1D"/>
    <w:rsid w:val="00540B75"/>
    <w:rsid w:val="00540E15"/>
    <w:rsid w:val="00541D22"/>
    <w:rsid w:val="00542743"/>
    <w:rsid w:val="00542806"/>
    <w:rsid w:val="00542C5A"/>
    <w:rsid w:val="00543302"/>
    <w:rsid w:val="005434AF"/>
    <w:rsid w:val="00543509"/>
    <w:rsid w:val="00543A7C"/>
    <w:rsid w:val="00543F66"/>
    <w:rsid w:val="005442FA"/>
    <w:rsid w:val="005446FF"/>
    <w:rsid w:val="005450D5"/>
    <w:rsid w:val="0054517B"/>
    <w:rsid w:val="00545ADF"/>
    <w:rsid w:val="00545C84"/>
    <w:rsid w:val="00546A69"/>
    <w:rsid w:val="00547388"/>
    <w:rsid w:val="00547A51"/>
    <w:rsid w:val="00547A8A"/>
    <w:rsid w:val="00547C78"/>
    <w:rsid w:val="00550E82"/>
    <w:rsid w:val="00550FBD"/>
    <w:rsid w:val="005518E6"/>
    <w:rsid w:val="00551D0D"/>
    <w:rsid w:val="0055213D"/>
    <w:rsid w:val="00552455"/>
    <w:rsid w:val="00552617"/>
    <w:rsid w:val="005526D9"/>
    <w:rsid w:val="00552763"/>
    <w:rsid w:val="00552A2A"/>
    <w:rsid w:val="00552AFC"/>
    <w:rsid w:val="00552F3C"/>
    <w:rsid w:val="00553508"/>
    <w:rsid w:val="0055392F"/>
    <w:rsid w:val="00553967"/>
    <w:rsid w:val="00553C35"/>
    <w:rsid w:val="00553E8B"/>
    <w:rsid w:val="005542C9"/>
    <w:rsid w:val="0055432F"/>
    <w:rsid w:val="005544FD"/>
    <w:rsid w:val="005547DF"/>
    <w:rsid w:val="00554895"/>
    <w:rsid w:val="00554971"/>
    <w:rsid w:val="00554D4C"/>
    <w:rsid w:val="0055512A"/>
    <w:rsid w:val="00555A4A"/>
    <w:rsid w:val="00555C97"/>
    <w:rsid w:val="00556500"/>
    <w:rsid w:val="00556DA8"/>
    <w:rsid w:val="00556FDB"/>
    <w:rsid w:val="005572C0"/>
    <w:rsid w:val="00557C3D"/>
    <w:rsid w:val="00560085"/>
    <w:rsid w:val="0056117A"/>
    <w:rsid w:val="0056186B"/>
    <w:rsid w:val="00561F11"/>
    <w:rsid w:val="00562506"/>
    <w:rsid w:val="0056283C"/>
    <w:rsid w:val="00562C61"/>
    <w:rsid w:val="0056353B"/>
    <w:rsid w:val="00564499"/>
    <w:rsid w:val="005651AB"/>
    <w:rsid w:val="0056539C"/>
    <w:rsid w:val="00565611"/>
    <w:rsid w:val="005656F2"/>
    <w:rsid w:val="00565E8F"/>
    <w:rsid w:val="00566A0D"/>
    <w:rsid w:val="00566CCF"/>
    <w:rsid w:val="00566CDC"/>
    <w:rsid w:val="00566D2D"/>
    <w:rsid w:val="00567139"/>
    <w:rsid w:val="00567212"/>
    <w:rsid w:val="005678B2"/>
    <w:rsid w:val="005708E7"/>
    <w:rsid w:val="00570A68"/>
    <w:rsid w:val="005717C0"/>
    <w:rsid w:val="0057199F"/>
    <w:rsid w:val="00572360"/>
    <w:rsid w:val="005723E6"/>
    <w:rsid w:val="005729D3"/>
    <w:rsid w:val="00572EFF"/>
    <w:rsid w:val="00573324"/>
    <w:rsid w:val="0057383B"/>
    <w:rsid w:val="00573A9E"/>
    <w:rsid w:val="00573E8D"/>
    <w:rsid w:val="0057436E"/>
    <w:rsid w:val="005744FC"/>
    <w:rsid w:val="00574AFD"/>
    <w:rsid w:val="00574BAA"/>
    <w:rsid w:val="00574E44"/>
    <w:rsid w:val="00575613"/>
    <w:rsid w:val="00575963"/>
    <w:rsid w:val="00575F0F"/>
    <w:rsid w:val="00576057"/>
    <w:rsid w:val="0057621F"/>
    <w:rsid w:val="00576313"/>
    <w:rsid w:val="0057668F"/>
    <w:rsid w:val="00576989"/>
    <w:rsid w:val="00576F35"/>
    <w:rsid w:val="00576F3F"/>
    <w:rsid w:val="0057722E"/>
    <w:rsid w:val="00577BB2"/>
    <w:rsid w:val="00580236"/>
    <w:rsid w:val="0058081B"/>
    <w:rsid w:val="0058153A"/>
    <w:rsid w:val="00581C57"/>
    <w:rsid w:val="005828F4"/>
    <w:rsid w:val="00582DF0"/>
    <w:rsid w:val="00583300"/>
    <w:rsid w:val="005841B2"/>
    <w:rsid w:val="0058476E"/>
    <w:rsid w:val="00584E92"/>
    <w:rsid w:val="00584EB4"/>
    <w:rsid w:val="00585669"/>
    <w:rsid w:val="00585BEF"/>
    <w:rsid w:val="00585C22"/>
    <w:rsid w:val="00585D07"/>
    <w:rsid w:val="00586350"/>
    <w:rsid w:val="00586ABB"/>
    <w:rsid w:val="00586B2F"/>
    <w:rsid w:val="00586B31"/>
    <w:rsid w:val="00586B54"/>
    <w:rsid w:val="00586DE7"/>
    <w:rsid w:val="00586E89"/>
    <w:rsid w:val="00587296"/>
    <w:rsid w:val="00587975"/>
    <w:rsid w:val="00587EEC"/>
    <w:rsid w:val="00587F2A"/>
    <w:rsid w:val="0059006E"/>
    <w:rsid w:val="00590118"/>
    <w:rsid w:val="00590746"/>
    <w:rsid w:val="00590799"/>
    <w:rsid w:val="0059089A"/>
    <w:rsid w:val="005908F1"/>
    <w:rsid w:val="00590E2A"/>
    <w:rsid w:val="00590E76"/>
    <w:rsid w:val="00590EE3"/>
    <w:rsid w:val="00590EF6"/>
    <w:rsid w:val="00591266"/>
    <w:rsid w:val="005913C9"/>
    <w:rsid w:val="005914A6"/>
    <w:rsid w:val="005915E6"/>
    <w:rsid w:val="0059241E"/>
    <w:rsid w:val="00592494"/>
    <w:rsid w:val="00592695"/>
    <w:rsid w:val="00592802"/>
    <w:rsid w:val="00592870"/>
    <w:rsid w:val="00592E09"/>
    <w:rsid w:val="0059395E"/>
    <w:rsid w:val="00593F60"/>
    <w:rsid w:val="005947B3"/>
    <w:rsid w:val="00594D4C"/>
    <w:rsid w:val="0059502C"/>
    <w:rsid w:val="00595214"/>
    <w:rsid w:val="0059581A"/>
    <w:rsid w:val="00595A80"/>
    <w:rsid w:val="00596212"/>
    <w:rsid w:val="0059712A"/>
    <w:rsid w:val="00597518"/>
    <w:rsid w:val="005976F4"/>
    <w:rsid w:val="0059792E"/>
    <w:rsid w:val="00597A89"/>
    <w:rsid w:val="00597BB1"/>
    <w:rsid w:val="005A010D"/>
    <w:rsid w:val="005A0393"/>
    <w:rsid w:val="005A19A4"/>
    <w:rsid w:val="005A1A53"/>
    <w:rsid w:val="005A1A59"/>
    <w:rsid w:val="005A2142"/>
    <w:rsid w:val="005A25C5"/>
    <w:rsid w:val="005A2A00"/>
    <w:rsid w:val="005A32CE"/>
    <w:rsid w:val="005A3781"/>
    <w:rsid w:val="005A383B"/>
    <w:rsid w:val="005A3BEF"/>
    <w:rsid w:val="005A47C9"/>
    <w:rsid w:val="005A4CAA"/>
    <w:rsid w:val="005A4E53"/>
    <w:rsid w:val="005A5D2E"/>
    <w:rsid w:val="005A5E48"/>
    <w:rsid w:val="005A5FB6"/>
    <w:rsid w:val="005A6133"/>
    <w:rsid w:val="005A6AB0"/>
    <w:rsid w:val="005A7408"/>
    <w:rsid w:val="005A7787"/>
    <w:rsid w:val="005B01BD"/>
    <w:rsid w:val="005B10F8"/>
    <w:rsid w:val="005B1264"/>
    <w:rsid w:val="005B1405"/>
    <w:rsid w:val="005B1793"/>
    <w:rsid w:val="005B1A4B"/>
    <w:rsid w:val="005B1B80"/>
    <w:rsid w:val="005B2396"/>
    <w:rsid w:val="005B2624"/>
    <w:rsid w:val="005B2879"/>
    <w:rsid w:val="005B33E9"/>
    <w:rsid w:val="005B34DD"/>
    <w:rsid w:val="005B3E8C"/>
    <w:rsid w:val="005B42FC"/>
    <w:rsid w:val="005B4B97"/>
    <w:rsid w:val="005B5761"/>
    <w:rsid w:val="005B579C"/>
    <w:rsid w:val="005B5B1A"/>
    <w:rsid w:val="005B5F0B"/>
    <w:rsid w:val="005B5F87"/>
    <w:rsid w:val="005B6332"/>
    <w:rsid w:val="005B65A0"/>
    <w:rsid w:val="005B7582"/>
    <w:rsid w:val="005B7924"/>
    <w:rsid w:val="005B7FEF"/>
    <w:rsid w:val="005C035B"/>
    <w:rsid w:val="005C06AF"/>
    <w:rsid w:val="005C077E"/>
    <w:rsid w:val="005C0B2B"/>
    <w:rsid w:val="005C0E01"/>
    <w:rsid w:val="005C14C9"/>
    <w:rsid w:val="005C19B1"/>
    <w:rsid w:val="005C28C0"/>
    <w:rsid w:val="005C33F8"/>
    <w:rsid w:val="005C3BB1"/>
    <w:rsid w:val="005C3F29"/>
    <w:rsid w:val="005C42D8"/>
    <w:rsid w:val="005C45B7"/>
    <w:rsid w:val="005C4A81"/>
    <w:rsid w:val="005C58D3"/>
    <w:rsid w:val="005C5A12"/>
    <w:rsid w:val="005C5A53"/>
    <w:rsid w:val="005C5AA2"/>
    <w:rsid w:val="005C5E9C"/>
    <w:rsid w:val="005C63BF"/>
    <w:rsid w:val="005C6438"/>
    <w:rsid w:val="005C684D"/>
    <w:rsid w:val="005C6940"/>
    <w:rsid w:val="005C6E36"/>
    <w:rsid w:val="005C7AF5"/>
    <w:rsid w:val="005C7C29"/>
    <w:rsid w:val="005C7E50"/>
    <w:rsid w:val="005D03C4"/>
    <w:rsid w:val="005D0863"/>
    <w:rsid w:val="005D0EE6"/>
    <w:rsid w:val="005D174C"/>
    <w:rsid w:val="005D18B4"/>
    <w:rsid w:val="005D18F1"/>
    <w:rsid w:val="005D1FCA"/>
    <w:rsid w:val="005D2590"/>
    <w:rsid w:val="005D2AEC"/>
    <w:rsid w:val="005D30AC"/>
    <w:rsid w:val="005D4CC0"/>
    <w:rsid w:val="005D5A19"/>
    <w:rsid w:val="005D60B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CD"/>
    <w:rsid w:val="005E3C8D"/>
    <w:rsid w:val="005E40F6"/>
    <w:rsid w:val="005E42A9"/>
    <w:rsid w:val="005E42D9"/>
    <w:rsid w:val="005E44F3"/>
    <w:rsid w:val="005E4949"/>
    <w:rsid w:val="005E4C66"/>
    <w:rsid w:val="005E4CA4"/>
    <w:rsid w:val="005E60C1"/>
    <w:rsid w:val="005E6248"/>
    <w:rsid w:val="005E63B6"/>
    <w:rsid w:val="005E6406"/>
    <w:rsid w:val="005E6719"/>
    <w:rsid w:val="005E6914"/>
    <w:rsid w:val="005E70FE"/>
    <w:rsid w:val="005E716A"/>
    <w:rsid w:val="005E71A0"/>
    <w:rsid w:val="005E7240"/>
    <w:rsid w:val="005E72F9"/>
    <w:rsid w:val="005E7684"/>
    <w:rsid w:val="005E7CB1"/>
    <w:rsid w:val="005F000F"/>
    <w:rsid w:val="005F00AC"/>
    <w:rsid w:val="005F06C6"/>
    <w:rsid w:val="005F0B31"/>
    <w:rsid w:val="005F0B9E"/>
    <w:rsid w:val="005F10DB"/>
    <w:rsid w:val="005F1A7E"/>
    <w:rsid w:val="005F1CAC"/>
    <w:rsid w:val="005F1DE3"/>
    <w:rsid w:val="005F2B7A"/>
    <w:rsid w:val="005F2B85"/>
    <w:rsid w:val="005F2FD2"/>
    <w:rsid w:val="005F3468"/>
    <w:rsid w:val="005F3702"/>
    <w:rsid w:val="005F3703"/>
    <w:rsid w:val="005F3843"/>
    <w:rsid w:val="005F425A"/>
    <w:rsid w:val="005F45B3"/>
    <w:rsid w:val="005F4F3D"/>
    <w:rsid w:val="005F4FC0"/>
    <w:rsid w:val="005F5050"/>
    <w:rsid w:val="005F50A8"/>
    <w:rsid w:val="005F5487"/>
    <w:rsid w:val="005F54C4"/>
    <w:rsid w:val="005F58C5"/>
    <w:rsid w:val="005F59DC"/>
    <w:rsid w:val="005F5ACA"/>
    <w:rsid w:val="005F5BC1"/>
    <w:rsid w:val="005F600E"/>
    <w:rsid w:val="005F61A5"/>
    <w:rsid w:val="005F640F"/>
    <w:rsid w:val="005F6895"/>
    <w:rsid w:val="005F6CCB"/>
    <w:rsid w:val="005F6E34"/>
    <w:rsid w:val="005F782C"/>
    <w:rsid w:val="0060052D"/>
    <w:rsid w:val="0060133C"/>
    <w:rsid w:val="00601547"/>
    <w:rsid w:val="006015EC"/>
    <w:rsid w:val="006017E2"/>
    <w:rsid w:val="00601B9E"/>
    <w:rsid w:val="00601BD8"/>
    <w:rsid w:val="00601DE1"/>
    <w:rsid w:val="00601EBA"/>
    <w:rsid w:val="006026AE"/>
    <w:rsid w:val="0060272E"/>
    <w:rsid w:val="00602C61"/>
    <w:rsid w:val="00602CD9"/>
    <w:rsid w:val="00602D39"/>
    <w:rsid w:val="0060311B"/>
    <w:rsid w:val="0060313A"/>
    <w:rsid w:val="00603219"/>
    <w:rsid w:val="0060354D"/>
    <w:rsid w:val="0060366E"/>
    <w:rsid w:val="006039EC"/>
    <w:rsid w:val="006049CB"/>
    <w:rsid w:val="00605F48"/>
    <w:rsid w:val="006064BC"/>
    <w:rsid w:val="006065FA"/>
    <w:rsid w:val="00606834"/>
    <w:rsid w:val="00606874"/>
    <w:rsid w:val="00606BB5"/>
    <w:rsid w:val="00606E7A"/>
    <w:rsid w:val="006072EB"/>
    <w:rsid w:val="0060736D"/>
    <w:rsid w:val="0060744E"/>
    <w:rsid w:val="006076B6"/>
    <w:rsid w:val="00607870"/>
    <w:rsid w:val="00607BEF"/>
    <w:rsid w:val="006108D0"/>
    <w:rsid w:val="006108E8"/>
    <w:rsid w:val="00611260"/>
    <w:rsid w:val="006113A0"/>
    <w:rsid w:val="0061176B"/>
    <w:rsid w:val="006119A5"/>
    <w:rsid w:val="00612D6C"/>
    <w:rsid w:val="00613397"/>
    <w:rsid w:val="006135BF"/>
    <w:rsid w:val="0061474F"/>
    <w:rsid w:val="0061478D"/>
    <w:rsid w:val="00614F73"/>
    <w:rsid w:val="00615094"/>
    <w:rsid w:val="006151D0"/>
    <w:rsid w:val="0061529F"/>
    <w:rsid w:val="006153A5"/>
    <w:rsid w:val="00615D9F"/>
    <w:rsid w:val="00615FDF"/>
    <w:rsid w:val="00616034"/>
    <w:rsid w:val="0061629F"/>
    <w:rsid w:val="00616351"/>
    <w:rsid w:val="006164D3"/>
    <w:rsid w:val="00616AA7"/>
    <w:rsid w:val="00617801"/>
    <w:rsid w:val="006178CA"/>
    <w:rsid w:val="00617DA9"/>
    <w:rsid w:val="00620542"/>
    <w:rsid w:val="00620810"/>
    <w:rsid w:val="0062096E"/>
    <w:rsid w:val="006209ED"/>
    <w:rsid w:val="00620B0B"/>
    <w:rsid w:val="00620C70"/>
    <w:rsid w:val="00620E40"/>
    <w:rsid w:val="00621084"/>
    <w:rsid w:val="0062145C"/>
    <w:rsid w:val="0062170E"/>
    <w:rsid w:val="006221F5"/>
    <w:rsid w:val="006224BD"/>
    <w:rsid w:val="00622D24"/>
    <w:rsid w:val="00623190"/>
    <w:rsid w:val="00623B1C"/>
    <w:rsid w:val="00623BC1"/>
    <w:rsid w:val="00623DFF"/>
    <w:rsid w:val="006242CB"/>
    <w:rsid w:val="006243AC"/>
    <w:rsid w:val="00624F96"/>
    <w:rsid w:val="0062542F"/>
    <w:rsid w:val="00625560"/>
    <w:rsid w:val="006257C2"/>
    <w:rsid w:val="00625E1F"/>
    <w:rsid w:val="006262A6"/>
    <w:rsid w:val="00626890"/>
    <w:rsid w:val="00626992"/>
    <w:rsid w:val="00626A3F"/>
    <w:rsid w:val="00626EF9"/>
    <w:rsid w:val="00626F17"/>
    <w:rsid w:val="0062771A"/>
    <w:rsid w:val="006279BA"/>
    <w:rsid w:val="00627B23"/>
    <w:rsid w:val="00630D6B"/>
    <w:rsid w:val="00631352"/>
    <w:rsid w:val="006313DD"/>
    <w:rsid w:val="0063154D"/>
    <w:rsid w:val="006315B4"/>
    <w:rsid w:val="006315C7"/>
    <w:rsid w:val="00632057"/>
    <w:rsid w:val="006322E8"/>
    <w:rsid w:val="0063287B"/>
    <w:rsid w:val="00633358"/>
    <w:rsid w:val="00633767"/>
    <w:rsid w:val="00633808"/>
    <w:rsid w:val="006345A1"/>
    <w:rsid w:val="00634646"/>
    <w:rsid w:val="00634855"/>
    <w:rsid w:val="00634C9D"/>
    <w:rsid w:val="00634DE4"/>
    <w:rsid w:val="0063501F"/>
    <w:rsid w:val="00635409"/>
    <w:rsid w:val="00635602"/>
    <w:rsid w:val="006356FB"/>
    <w:rsid w:val="00635915"/>
    <w:rsid w:val="00635BA6"/>
    <w:rsid w:val="0063615D"/>
    <w:rsid w:val="00636362"/>
    <w:rsid w:val="00636F19"/>
    <w:rsid w:val="006379A9"/>
    <w:rsid w:val="00637CF3"/>
    <w:rsid w:val="0064065C"/>
    <w:rsid w:val="006406BC"/>
    <w:rsid w:val="00640995"/>
    <w:rsid w:val="00640DDC"/>
    <w:rsid w:val="006414B6"/>
    <w:rsid w:val="006415A6"/>
    <w:rsid w:val="00641804"/>
    <w:rsid w:val="00641E68"/>
    <w:rsid w:val="00642242"/>
    <w:rsid w:val="00642B40"/>
    <w:rsid w:val="00642E7D"/>
    <w:rsid w:val="006432AE"/>
    <w:rsid w:val="00643302"/>
    <w:rsid w:val="00643615"/>
    <w:rsid w:val="006440DF"/>
    <w:rsid w:val="0064432B"/>
    <w:rsid w:val="0064447D"/>
    <w:rsid w:val="0064493F"/>
    <w:rsid w:val="00644D04"/>
    <w:rsid w:val="0064521E"/>
    <w:rsid w:val="006461C5"/>
    <w:rsid w:val="00646379"/>
    <w:rsid w:val="00646ECB"/>
    <w:rsid w:val="0064721D"/>
    <w:rsid w:val="0064732E"/>
    <w:rsid w:val="00647844"/>
    <w:rsid w:val="00647938"/>
    <w:rsid w:val="00647E09"/>
    <w:rsid w:val="006500A0"/>
    <w:rsid w:val="006502E6"/>
    <w:rsid w:val="00650BAD"/>
    <w:rsid w:val="00651F51"/>
    <w:rsid w:val="00652080"/>
    <w:rsid w:val="00652328"/>
    <w:rsid w:val="00652B73"/>
    <w:rsid w:val="00652D52"/>
    <w:rsid w:val="00652E24"/>
    <w:rsid w:val="00653320"/>
    <w:rsid w:val="00653428"/>
    <w:rsid w:val="00653593"/>
    <w:rsid w:val="00653781"/>
    <w:rsid w:val="00654A01"/>
    <w:rsid w:val="006554FE"/>
    <w:rsid w:val="0065551A"/>
    <w:rsid w:val="006555E8"/>
    <w:rsid w:val="00655958"/>
    <w:rsid w:val="00656257"/>
    <w:rsid w:val="00656521"/>
    <w:rsid w:val="00656B9E"/>
    <w:rsid w:val="00656D71"/>
    <w:rsid w:val="0065708F"/>
    <w:rsid w:val="00657A01"/>
    <w:rsid w:val="00657A9F"/>
    <w:rsid w:val="00660605"/>
    <w:rsid w:val="00660BD3"/>
    <w:rsid w:val="0066104F"/>
    <w:rsid w:val="00661278"/>
    <w:rsid w:val="00662240"/>
    <w:rsid w:val="006624E1"/>
    <w:rsid w:val="00662796"/>
    <w:rsid w:val="006629C4"/>
    <w:rsid w:val="00662A20"/>
    <w:rsid w:val="00662B4C"/>
    <w:rsid w:val="00662E59"/>
    <w:rsid w:val="00664A7A"/>
    <w:rsid w:val="006652DE"/>
    <w:rsid w:val="00665632"/>
    <w:rsid w:val="00665883"/>
    <w:rsid w:val="00665978"/>
    <w:rsid w:val="00665A01"/>
    <w:rsid w:val="00667F61"/>
    <w:rsid w:val="006702F1"/>
    <w:rsid w:val="006711A6"/>
    <w:rsid w:val="00671AA7"/>
    <w:rsid w:val="00671E51"/>
    <w:rsid w:val="00671EB2"/>
    <w:rsid w:val="00671FA7"/>
    <w:rsid w:val="006720A5"/>
    <w:rsid w:val="00672239"/>
    <w:rsid w:val="00672A85"/>
    <w:rsid w:val="00672B87"/>
    <w:rsid w:val="00672F0C"/>
    <w:rsid w:val="00673460"/>
    <w:rsid w:val="00673DD0"/>
    <w:rsid w:val="00673E89"/>
    <w:rsid w:val="006741FA"/>
    <w:rsid w:val="006744B9"/>
    <w:rsid w:val="00674EF9"/>
    <w:rsid w:val="006750A7"/>
    <w:rsid w:val="0067519F"/>
    <w:rsid w:val="00675AFF"/>
    <w:rsid w:val="00675D78"/>
    <w:rsid w:val="00676000"/>
    <w:rsid w:val="00676347"/>
    <w:rsid w:val="006777B3"/>
    <w:rsid w:val="006779BB"/>
    <w:rsid w:val="00677FDB"/>
    <w:rsid w:val="006806B7"/>
    <w:rsid w:val="00680CB1"/>
    <w:rsid w:val="00680E69"/>
    <w:rsid w:val="0068104A"/>
    <w:rsid w:val="006814EE"/>
    <w:rsid w:val="006818CE"/>
    <w:rsid w:val="00681D1D"/>
    <w:rsid w:val="00681D58"/>
    <w:rsid w:val="0068238B"/>
    <w:rsid w:val="006828C0"/>
    <w:rsid w:val="00682C60"/>
    <w:rsid w:val="00682E6B"/>
    <w:rsid w:val="0068305D"/>
    <w:rsid w:val="00683152"/>
    <w:rsid w:val="00683710"/>
    <w:rsid w:val="006838D7"/>
    <w:rsid w:val="00683D70"/>
    <w:rsid w:val="00683FAB"/>
    <w:rsid w:val="006840D5"/>
    <w:rsid w:val="006841C4"/>
    <w:rsid w:val="00684255"/>
    <w:rsid w:val="00684FC7"/>
    <w:rsid w:val="00685846"/>
    <w:rsid w:val="00685850"/>
    <w:rsid w:val="00685A69"/>
    <w:rsid w:val="00685F3F"/>
    <w:rsid w:val="00686B99"/>
    <w:rsid w:val="00686CF7"/>
    <w:rsid w:val="00686E6A"/>
    <w:rsid w:val="006873A6"/>
    <w:rsid w:val="006875FD"/>
    <w:rsid w:val="00687E8B"/>
    <w:rsid w:val="00690220"/>
    <w:rsid w:val="00690252"/>
    <w:rsid w:val="00690527"/>
    <w:rsid w:val="006905C0"/>
    <w:rsid w:val="006907A7"/>
    <w:rsid w:val="00690D07"/>
    <w:rsid w:val="00690E0D"/>
    <w:rsid w:val="00690E25"/>
    <w:rsid w:val="006917AB"/>
    <w:rsid w:val="00692476"/>
    <w:rsid w:val="00692BFC"/>
    <w:rsid w:val="00692EC8"/>
    <w:rsid w:val="00693032"/>
    <w:rsid w:val="006934C8"/>
    <w:rsid w:val="00693B89"/>
    <w:rsid w:val="00693BBE"/>
    <w:rsid w:val="00694559"/>
    <w:rsid w:val="00694641"/>
    <w:rsid w:val="00694848"/>
    <w:rsid w:val="00694902"/>
    <w:rsid w:val="0069595C"/>
    <w:rsid w:val="00695EBF"/>
    <w:rsid w:val="006963AF"/>
    <w:rsid w:val="00696B2A"/>
    <w:rsid w:val="00697084"/>
    <w:rsid w:val="00697223"/>
    <w:rsid w:val="00697748"/>
    <w:rsid w:val="006979DA"/>
    <w:rsid w:val="00697CD5"/>
    <w:rsid w:val="006A00E0"/>
    <w:rsid w:val="006A06B2"/>
    <w:rsid w:val="006A1413"/>
    <w:rsid w:val="006A1BAD"/>
    <w:rsid w:val="006A2360"/>
    <w:rsid w:val="006A2606"/>
    <w:rsid w:val="006A2BF0"/>
    <w:rsid w:val="006A3CEC"/>
    <w:rsid w:val="006A41C0"/>
    <w:rsid w:val="006A42AF"/>
    <w:rsid w:val="006A46A8"/>
    <w:rsid w:val="006A4D4E"/>
    <w:rsid w:val="006A4D92"/>
    <w:rsid w:val="006A513D"/>
    <w:rsid w:val="006A54D6"/>
    <w:rsid w:val="006A54EE"/>
    <w:rsid w:val="006A5521"/>
    <w:rsid w:val="006A55E1"/>
    <w:rsid w:val="006A5CAE"/>
    <w:rsid w:val="006A6205"/>
    <w:rsid w:val="006A64C1"/>
    <w:rsid w:val="006A6A48"/>
    <w:rsid w:val="006A6C1A"/>
    <w:rsid w:val="006A6D09"/>
    <w:rsid w:val="006A6E1B"/>
    <w:rsid w:val="006A7198"/>
    <w:rsid w:val="006A7E51"/>
    <w:rsid w:val="006B00CE"/>
    <w:rsid w:val="006B023F"/>
    <w:rsid w:val="006B031A"/>
    <w:rsid w:val="006B0420"/>
    <w:rsid w:val="006B0601"/>
    <w:rsid w:val="006B13F1"/>
    <w:rsid w:val="006B2296"/>
    <w:rsid w:val="006B2851"/>
    <w:rsid w:val="006B2ADF"/>
    <w:rsid w:val="006B35C4"/>
    <w:rsid w:val="006B3C99"/>
    <w:rsid w:val="006B3D40"/>
    <w:rsid w:val="006B4E46"/>
    <w:rsid w:val="006B5571"/>
    <w:rsid w:val="006B5EDE"/>
    <w:rsid w:val="006B5EF2"/>
    <w:rsid w:val="006B6447"/>
    <w:rsid w:val="006B648A"/>
    <w:rsid w:val="006B6770"/>
    <w:rsid w:val="006B69C8"/>
    <w:rsid w:val="006B7FA2"/>
    <w:rsid w:val="006C0318"/>
    <w:rsid w:val="006C0570"/>
    <w:rsid w:val="006C0CA1"/>
    <w:rsid w:val="006C1088"/>
    <w:rsid w:val="006C1119"/>
    <w:rsid w:val="006C12F9"/>
    <w:rsid w:val="006C13A7"/>
    <w:rsid w:val="006C14E8"/>
    <w:rsid w:val="006C161A"/>
    <w:rsid w:val="006C1D9F"/>
    <w:rsid w:val="006C2631"/>
    <w:rsid w:val="006C28A2"/>
    <w:rsid w:val="006C2C16"/>
    <w:rsid w:val="006C2E6D"/>
    <w:rsid w:val="006C31D1"/>
    <w:rsid w:val="006C3758"/>
    <w:rsid w:val="006C3761"/>
    <w:rsid w:val="006C37E6"/>
    <w:rsid w:val="006C3B16"/>
    <w:rsid w:val="006C403E"/>
    <w:rsid w:val="006C4B9F"/>
    <w:rsid w:val="006C4D6D"/>
    <w:rsid w:val="006C4E6C"/>
    <w:rsid w:val="006C4E9A"/>
    <w:rsid w:val="006C5179"/>
    <w:rsid w:val="006C51F5"/>
    <w:rsid w:val="006C5E6C"/>
    <w:rsid w:val="006C7047"/>
    <w:rsid w:val="006C72FB"/>
    <w:rsid w:val="006C7698"/>
    <w:rsid w:val="006C7A36"/>
    <w:rsid w:val="006C7AEE"/>
    <w:rsid w:val="006D01C3"/>
    <w:rsid w:val="006D03FA"/>
    <w:rsid w:val="006D09BA"/>
    <w:rsid w:val="006D0B01"/>
    <w:rsid w:val="006D0B69"/>
    <w:rsid w:val="006D1060"/>
    <w:rsid w:val="006D12A9"/>
    <w:rsid w:val="006D1A26"/>
    <w:rsid w:val="006D1B03"/>
    <w:rsid w:val="006D1D0A"/>
    <w:rsid w:val="006D2268"/>
    <w:rsid w:val="006D253C"/>
    <w:rsid w:val="006D2652"/>
    <w:rsid w:val="006D28BE"/>
    <w:rsid w:val="006D3730"/>
    <w:rsid w:val="006D39BF"/>
    <w:rsid w:val="006D4920"/>
    <w:rsid w:val="006D4BE1"/>
    <w:rsid w:val="006D5269"/>
    <w:rsid w:val="006D5599"/>
    <w:rsid w:val="006D62D1"/>
    <w:rsid w:val="006D6335"/>
    <w:rsid w:val="006D666A"/>
    <w:rsid w:val="006D756E"/>
    <w:rsid w:val="006D75BF"/>
    <w:rsid w:val="006D79BA"/>
    <w:rsid w:val="006D79C9"/>
    <w:rsid w:val="006D7AEE"/>
    <w:rsid w:val="006D7EF8"/>
    <w:rsid w:val="006E0173"/>
    <w:rsid w:val="006E038C"/>
    <w:rsid w:val="006E043C"/>
    <w:rsid w:val="006E0569"/>
    <w:rsid w:val="006E0ABF"/>
    <w:rsid w:val="006E0CE2"/>
    <w:rsid w:val="006E0DB3"/>
    <w:rsid w:val="006E1103"/>
    <w:rsid w:val="006E1956"/>
    <w:rsid w:val="006E1B2E"/>
    <w:rsid w:val="006E1EE8"/>
    <w:rsid w:val="006E2110"/>
    <w:rsid w:val="006E27FF"/>
    <w:rsid w:val="006E3443"/>
    <w:rsid w:val="006E3953"/>
    <w:rsid w:val="006E3A86"/>
    <w:rsid w:val="006E3D10"/>
    <w:rsid w:val="006E413C"/>
    <w:rsid w:val="006E4963"/>
    <w:rsid w:val="006E4AAB"/>
    <w:rsid w:val="006E4EC5"/>
    <w:rsid w:val="006E5123"/>
    <w:rsid w:val="006E552F"/>
    <w:rsid w:val="006E6E07"/>
    <w:rsid w:val="006E6E39"/>
    <w:rsid w:val="006E77CC"/>
    <w:rsid w:val="006E7DB7"/>
    <w:rsid w:val="006E7E27"/>
    <w:rsid w:val="006E7F07"/>
    <w:rsid w:val="006F0159"/>
    <w:rsid w:val="006F032D"/>
    <w:rsid w:val="006F07EB"/>
    <w:rsid w:val="006F082D"/>
    <w:rsid w:val="006F0F3E"/>
    <w:rsid w:val="006F11FB"/>
    <w:rsid w:val="006F1C25"/>
    <w:rsid w:val="006F1C5F"/>
    <w:rsid w:val="006F200B"/>
    <w:rsid w:val="006F25F4"/>
    <w:rsid w:val="006F2989"/>
    <w:rsid w:val="006F2B39"/>
    <w:rsid w:val="006F3D7E"/>
    <w:rsid w:val="006F4134"/>
    <w:rsid w:val="006F4633"/>
    <w:rsid w:val="006F47EC"/>
    <w:rsid w:val="006F4D5E"/>
    <w:rsid w:val="006F4DA4"/>
    <w:rsid w:val="006F4E1E"/>
    <w:rsid w:val="006F4F37"/>
    <w:rsid w:val="006F4FAF"/>
    <w:rsid w:val="006F54D4"/>
    <w:rsid w:val="006F668A"/>
    <w:rsid w:val="006F6739"/>
    <w:rsid w:val="006F67C8"/>
    <w:rsid w:val="006F6BBA"/>
    <w:rsid w:val="006F77FE"/>
    <w:rsid w:val="00700409"/>
    <w:rsid w:val="00700778"/>
    <w:rsid w:val="00700A93"/>
    <w:rsid w:val="00701369"/>
    <w:rsid w:val="00701796"/>
    <w:rsid w:val="00701C69"/>
    <w:rsid w:val="007022A3"/>
    <w:rsid w:val="007023F3"/>
    <w:rsid w:val="00702930"/>
    <w:rsid w:val="00702ADC"/>
    <w:rsid w:val="00702CEF"/>
    <w:rsid w:val="00702E4E"/>
    <w:rsid w:val="00703957"/>
    <w:rsid w:val="00703997"/>
    <w:rsid w:val="00703A10"/>
    <w:rsid w:val="00703A95"/>
    <w:rsid w:val="00703C12"/>
    <w:rsid w:val="00703C6E"/>
    <w:rsid w:val="0070426E"/>
    <w:rsid w:val="00704663"/>
    <w:rsid w:val="00704A66"/>
    <w:rsid w:val="00704BAD"/>
    <w:rsid w:val="00704BD1"/>
    <w:rsid w:val="00704D94"/>
    <w:rsid w:val="00705708"/>
    <w:rsid w:val="00705833"/>
    <w:rsid w:val="00705850"/>
    <w:rsid w:val="007058D7"/>
    <w:rsid w:val="00705B7F"/>
    <w:rsid w:val="00705F2F"/>
    <w:rsid w:val="007061FC"/>
    <w:rsid w:val="00706583"/>
    <w:rsid w:val="00706592"/>
    <w:rsid w:val="007068DD"/>
    <w:rsid w:val="007069B1"/>
    <w:rsid w:val="007069C2"/>
    <w:rsid w:val="0070734D"/>
    <w:rsid w:val="00710332"/>
    <w:rsid w:val="00710396"/>
    <w:rsid w:val="0071042B"/>
    <w:rsid w:val="00710443"/>
    <w:rsid w:val="0071087D"/>
    <w:rsid w:val="00710C89"/>
    <w:rsid w:val="00710F68"/>
    <w:rsid w:val="00711232"/>
    <w:rsid w:val="0071143D"/>
    <w:rsid w:val="00711E82"/>
    <w:rsid w:val="00711ECC"/>
    <w:rsid w:val="00712851"/>
    <w:rsid w:val="00712995"/>
    <w:rsid w:val="007129D3"/>
    <w:rsid w:val="007129E8"/>
    <w:rsid w:val="00712F89"/>
    <w:rsid w:val="007132A6"/>
    <w:rsid w:val="00713726"/>
    <w:rsid w:val="00713B2D"/>
    <w:rsid w:val="00714175"/>
    <w:rsid w:val="00714306"/>
    <w:rsid w:val="00714E32"/>
    <w:rsid w:val="007152A0"/>
    <w:rsid w:val="0071674E"/>
    <w:rsid w:val="00716A01"/>
    <w:rsid w:val="00716A04"/>
    <w:rsid w:val="00716A6F"/>
    <w:rsid w:val="00717163"/>
    <w:rsid w:val="00717600"/>
    <w:rsid w:val="00717A37"/>
    <w:rsid w:val="00717AD3"/>
    <w:rsid w:val="00717DC0"/>
    <w:rsid w:val="007203E8"/>
    <w:rsid w:val="00720492"/>
    <w:rsid w:val="0072057F"/>
    <w:rsid w:val="00720B21"/>
    <w:rsid w:val="007210D0"/>
    <w:rsid w:val="00721417"/>
    <w:rsid w:val="007219DF"/>
    <w:rsid w:val="00721BAD"/>
    <w:rsid w:val="0072211F"/>
    <w:rsid w:val="00722159"/>
    <w:rsid w:val="007224DA"/>
    <w:rsid w:val="007225CD"/>
    <w:rsid w:val="00723FF3"/>
    <w:rsid w:val="0072453D"/>
    <w:rsid w:val="00724696"/>
    <w:rsid w:val="007247E3"/>
    <w:rsid w:val="00724B9A"/>
    <w:rsid w:val="00724BC7"/>
    <w:rsid w:val="00724C96"/>
    <w:rsid w:val="00724FCF"/>
    <w:rsid w:val="00725214"/>
    <w:rsid w:val="00725B6E"/>
    <w:rsid w:val="00725CE0"/>
    <w:rsid w:val="00726201"/>
    <w:rsid w:val="00726E82"/>
    <w:rsid w:val="00727716"/>
    <w:rsid w:val="0073008F"/>
    <w:rsid w:val="007308B1"/>
    <w:rsid w:val="007308C6"/>
    <w:rsid w:val="00731450"/>
    <w:rsid w:val="007315F1"/>
    <w:rsid w:val="007315F9"/>
    <w:rsid w:val="007316F8"/>
    <w:rsid w:val="00731B7E"/>
    <w:rsid w:val="00731BE4"/>
    <w:rsid w:val="00731C66"/>
    <w:rsid w:val="0073211E"/>
    <w:rsid w:val="007327EF"/>
    <w:rsid w:val="00732A34"/>
    <w:rsid w:val="00732BA4"/>
    <w:rsid w:val="00733FBF"/>
    <w:rsid w:val="007340C5"/>
    <w:rsid w:val="007342C0"/>
    <w:rsid w:val="00734303"/>
    <w:rsid w:val="0073433F"/>
    <w:rsid w:val="0073451B"/>
    <w:rsid w:val="00734644"/>
    <w:rsid w:val="00734AD0"/>
    <w:rsid w:val="00734B33"/>
    <w:rsid w:val="0073573B"/>
    <w:rsid w:val="00735C4E"/>
    <w:rsid w:val="00735CD2"/>
    <w:rsid w:val="0073635E"/>
    <w:rsid w:val="00736647"/>
    <w:rsid w:val="00736694"/>
    <w:rsid w:val="00737503"/>
    <w:rsid w:val="00737CDB"/>
    <w:rsid w:val="00737D10"/>
    <w:rsid w:val="007409FE"/>
    <w:rsid w:val="00740A2E"/>
    <w:rsid w:val="00740AB7"/>
    <w:rsid w:val="00740DD8"/>
    <w:rsid w:val="00741170"/>
    <w:rsid w:val="0074142B"/>
    <w:rsid w:val="00741A7D"/>
    <w:rsid w:val="00741B7D"/>
    <w:rsid w:val="007422FE"/>
    <w:rsid w:val="00742318"/>
    <w:rsid w:val="00742B65"/>
    <w:rsid w:val="00742C8B"/>
    <w:rsid w:val="00742D47"/>
    <w:rsid w:val="00742D6D"/>
    <w:rsid w:val="00743791"/>
    <w:rsid w:val="00743B96"/>
    <w:rsid w:val="00744159"/>
    <w:rsid w:val="00744588"/>
    <w:rsid w:val="00744E48"/>
    <w:rsid w:val="007451A3"/>
    <w:rsid w:val="00745CDA"/>
    <w:rsid w:val="0074601F"/>
    <w:rsid w:val="007461FB"/>
    <w:rsid w:val="00746376"/>
    <w:rsid w:val="00746BD5"/>
    <w:rsid w:val="00750701"/>
    <w:rsid w:val="00750A72"/>
    <w:rsid w:val="00750C24"/>
    <w:rsid w:val="00750F09"/>
    <w:rsid w:val="0075146D"/>
    <w:rsid w:val="00751817"/>
    <w:rsid w:val="007518B9"/>
    <w:rsid w:val="00751DF5"/>
    <w:rsid w:val="00751E99"/>
    <w:rsid w:val="0075294F"/>
    <w:rsid w:val="007529D3"/>
    <w:rsid w:val="00752E98"/>
    <w:rsid w:val="00752EC4"/>
    <w:rsid w:val="00753410"/>
    <w:rsid w:val="007534E9"/>
    <w:rsid w:val="00753E37"/>
    <w:rsid w:val="00754668"/>
    <w:rsid w:val="00755447"/>
    <w:rsid w:val="007556B6"/>
    <w:rsid w:val="007558B3"/>
    <w:rsid w:val="00755D11"/>
    <w:rsid w:val="0075632D"/>
    <w:rsid w:val="00756606"/>
    <w:rsid w:val="0075742D"/>
    <w:rsid w:val="00757633"/>
    <w:rsid w:val="00757803"/>
    <w:rsid w:val="00757C91"/>
    <w:rsid w:val="00757D0A"/>
    <w:rsid w:val="007604D8"/>
    <w:rsid w:val="007606E7"/>
    <w:rsid w:val="00760C5A"/>
    <w:rsid w:val="0076159E"/>
    <w:rsid w:val="00761CC9"/>
    <w:rsid w:val="00763919"/>
    <w:rsid w:val="00763B56"/>
    <w:rsid w:val="007648ED"/>
    <w:rsid w:val="00764C60"/>
    <w:rsid w:val="007656BA"/>
    <w:rsid w:val="007659C3"/>
    <w:rsid w:val="00765B7F"/>
    <w:rsid w:val="00765BD1"/>
    <w:rsid w:val="007660A9"/>
    <w:rsid w:val="007662D7"/>
    <w:rsid w:val="007667CF"/>
    <w:rsid w:val="0076741A"/>
    <w:rsid w:val="007676AE"/>
    <w:rsid w:val="007679AA"/>
    <w:rsid w:val="00767F7C"/>
    <w:rsid w:val="007716C7"/>
    <w:rsid w:val="00771909"/>
    <w:rsid w:val="00771F0A"/>
    <w:rsid w:val="0077318D"/>
    <w:rsid w:val="00773694"/>
    <w:rsid w:val="00773854"/>
    <w:rsid w:val="00774468"/>
    <w:rsid w:val="00774D00"/>
    <w:rsid w:val="00774F36"/>
    <w:rsid w:val="00775072"/>
    <w:rsid w:val="007752F5"/>
    <w:rsid w:val="00775D46"/>
    <w:rsid w:val="00776281"/>
    <w:rsid w:val="007763F1"/>
    <w:rsid w:val="00776ADE"/>
    <w:rsid w:val="00776B74"/>
    <w:rsid w:val="00776B9A"/>
    <w:rsid w:val="00776D2E"/>
    <w:rsid w:val="00777074"/>
    <w:rsid w:val="0077726C"/>
    <w:rsid w:val="0077752D"/>
    <w:rsid w:val="00777AFE"/>
    <w:rsid w:val="00780138"/>
    <w:rsid w:val="007802B8"/>
    <w:rsid w:val="0078074D"/>
    <w:rsid w:val="0078081B"/>
    <w:rsid w:val="00780983"/>
    <w:rsid w:val="00780D19"/>
    <w:rsid w:val="00780D42"/>
    <w:rsid w:val="00780D78"/>
    <w:rsid w:val="0078119B"/>
    <w:rsid w:val="007815CE"/>
    <w:rsid w:val="00782142"/>
    <w:rsid w:val="00782675"/>
    <w:rsid w:val="00782700"/>
    <w:rsid w:val="007830AA"/>
    <w:rsid w:val="007831ED"/>
    <w:rsid w:val="0078357B"/>
    <w:rsid w:val="007841C0"/>
    <w:rsid w:val="0078475A"/>
    <w:rsid w:val="00784ABF"/>
    <w:rsid w:val="0078589B"/>
    <w:rsid w:val="00785BA9"/>
    <w:rsid w:val="00786516"/>
    <w:rsid w:val="007865DF"/>
    <w:rsid w:val="00786756"/>
    <w:rsid w:val="00786B46"/>
    <w:rsid w:val="00786C9D"/>
    <w:rsid w:val="00787297"/>
    <w:rsid w:val="00787508"/>
    <w:rsid w:val="007877C6"/>
    <w:rsid w:val="00787D6C"/>
    <w:rsid w:val="00787E64"/>
    <w:rsid w:val="007902F4"/>
    <w:rsid w:val="00790B4B"/>
    <w:rsid w:val="00790B64"/>
    <w:rsid w:val="00790D99"/>
    <w:rsid w:val="00791B55"/>
    <w:rsid w:val="00791BD2"/>
    <w:rsid w:val="00791F1C"/>
    <w:rsid w:val="00792127"/>
    <w:rsid w:val="007923E5"/>
    <w:rsid w:val="007924D9"/>
    <w:rsid w:val="0079285E"/>
    <w:rsid w:val="00793117"/>
    <w:rsid w:val="00793486"/>
    <w:rsid w:val="0079361B"/>
    <w:rsid w:val="00793850"/>
    <w:rsid w:val="007943F2"/>
    <w:rsid w:val="0079454C"/>
    <w:rsid w:val="00794A52"/>
    <w:rsid w:val="00795617"/>
    <w:rsid w:val="007957F5"/>
    <w:rsid w:val="007958D2"/>
    <w:rsid w:val="007959FD"/>
    <w:rsid w:val="00795A6C"/>
    <w:rsid w:val="00795D0B"/>
    <w:rsid w:val="00795ED5"/>
    <w:rsid w:val="007966FA"/>
    <w:rsid w:val="00796712"/>
    <w:rsid w:val="00797069"/>
    <w:rsid w:val="00797A13"/>
    <w:rsid w:val="00797AA2"/>
    <w:rsid w:val="00797D05"/>
    <w:rsid w:val="00797EB5"/>
    <w:rsid w:val="007A00B0"/>
    <w:rsid w:val="007A030F"/>
    <w:rsid w:val="007A1098"/>
    <w:rsid w:val="007A1337"/>
    <w:rsid w:val="007A1B06"/>
    <w:rsid w:val="007A1CDA"/>
    <w:rsid w:val="007A2793"/>
    <w:rsid w:val="007A29D0"/>
    <w:rsid w:val="007A35D2"/>
    <w:rsid w:val="007A3686"/>
    <w:rsid w:val="007A3769"/>
    <w:rsid w:val="007A37CB"/>
    <w:rsid w:val="007A3A83"/>
    <w:rsid w:val="007A3DA1"/>
    <w:rsid w:val="007A41B1"/>
    <w:rsid w:val="007A4337"/>
    <w:rsid w:val="007A4BC1"/>
    <w:rsid w:val="007A4CE4"/>
    <w:rsid w:val="007A50CB"/>
    <w:rsid w:val="007A5507"/>
    <w:rsid w:val="007A5774"/>
    <w:rsid w:val="007A5EFD"/>
    <w:rsid w:val="007A61E1"/>
    <w:rsid w:val="007A63DC"/>
    <w:rsid w:val="007A6574"/>
    <w:rsid w:val="007A69D7"/>
    <w:rsid w:val="007A6F46"/>
    <w:rsid w:val="007A7777"/>
    <w:rsid w:val="007A7A04"/>
    <w:rsid w:val="007A7D21"/>
    <w:rsid w:val="007B015E"/>
    <w:rsid w:val="007B0281"/>
    <w:rsid w:val="007B02F6"/>
    <w:rsid w:val="007B05E0"/>
    <w:rsid w:val="007B06B9"/>
    <w:rsid w:val="007B085D"/>
    <w:rsid w:val="007B0889"/>
    <w:rsid w:val="007B1270"/>
    <w:rsid w:val="007B15B7"/>
    <w:rsid w:val="007B1A03"/>
    <w:rsid w:val="007B20CD"/>
    <w:rsid w:val="007B2389"/>
    <w:rsid w:val="007B2537"/>
    <w:rsid w:val="007B3052"/>
    <w:rsid w:val="007B3665"/>
    <w:rsid w:val="007B48D8"/>
    <w:rsid w:val="007B4CF7"/>
    <w:rsid w:val="007B4F36"/>
    <w:rsid w:val="007B52F2"/>
    <w:rsid w:val="007B540B"/>
    <w:rsid w:val="007B571B"/>
    <w:rsid w:val="007B6A85"/>
    <w:rsid w:val="007B6F15"/>
    <w:rsid w:val="007B7029"/>
    <w:rsid w:val="007B74D5"/>
    <w:rsid w:val="007B7537"/>
    <w:rsid w:val="007B7F1B"/>
    <w:rsid w:val="007B7FF9"/>
    <w:rsid w:val="007C08AD"/>
    <w:rsid w:val="007C0B1C"/>
    <w:rsid w:val="007C1118"/>
    <w:rsid w:val="007C1500"/>
    <w:rsid w:val="007C1609"/>
    <w:rsid w:val="007C1B4A"/>
    <w:rsid w:val="007C28B1"/>
    <w:rsid w:val="007C2D7E"/>
    <w:rsid w:val="007C340E"/>
    <w:rsid w:val="007C3480"/>
    <w:rsid w:val="007C369A"/>
    <w:rsid w:val="007C369C"/>
    <w:rsid w:val="007C3A6D"/>
    <w:rsid w:val="007C3E7E"/>
    <w:rsid w:val="007C3F87"/>
    <w:rsid w:val="007C4DE3"/>
    <w:rsid w:val="007C5083"/>
    <w:rsid w:val="007C548E"/>
    <w:rsid w:val="007C5614"/>
    <w:rsid w:val="007C5B5C"/>
    <w:rsid w:val="007C5B92"/>
    <w:rsid w:val="007C5E76"/>
    <w:rsid w:val="007C5E86"/>
    <w:rsid w:val="007C6218"/>
    <w:rsid w:val="007C6310"/>
    <w:rsid w:val="007C6470"/>
    <w:rsid w:val="007C6686"/>
    <w:rsid w:val="007C6C18"/>
    <w:rsid w:val="007C780D"/>
    <w:rsid w:val="007C7B47"/>
    <w:rsid w:val="007C7BF0"/>
    <w:rsid w:val="007C7DDF"/>
    <w:rsid w:val="007D0159"/>
    <w:rsid w:val="007D0597"/>
    <w:rsid w:val="007D162C"/>
    <w:rsid w:val="007D1907"/>
    <w:rsid w:val="007D1A58"/>
    <w:rsid w:val="007D2312"/>
    <w:rsid w:val="007D3914"/>
    <w:rsid w:val="007D3981"/>
    <w:rsid w:val="007D41C8"/>
    <w:rsid w:val="007D42D4"/>
    <w:rsid w:val="007D500C"/>
    <w:rsid w:val="007D55A4"/>
    <w:rsid w:val="007D5A70"/>
    <w:rsid w:val="007D5E2B"/>
    <w:rsid w:val="007D6754"/>
    <w:rsid w:val="007D6916"/>
    <w:rsid w:val="007D6B7D"/>
    <w:rsid w:val="007D6BEF"/>
    <w:rsid w:val="007D6E82"/>
    <w:rsid w:val="007D71DA"/>
    <w:rsid w:val="007D7247"/>
    <w:rsid w:val="007D72AE"/>
    <w:rsid w:val="007D7414"/>
    <w:rsid w:val="007D7C3D"/>
    <w:rsid w:val="007E0198"/>
    <w:rsid w:val="007E0649"/>
    <w:rsid w:val="007E07AA"/>
    <w:rsid w:val="007E0C6D"/>
    <w:rsid w:val="007E0EA6"/>
    <w:rsid w:val="007E0FE2"/>
    <w:rsid w:val="007E2686"/>
    <w:rsid w:val="007E26CF"/>
    <w:rsid w:val="007E29D4"/>
    <w:rsid w:val="007E29F4"/>
    <w:rsid w:val="007E2CF5"/>
    <w:rsid w:val="007E3149"/>
    <w:rsid w:val="007E3A3D"/>
    <w:rsid w:val="007E4125"/>
    <w:rsid w:val="007E45D3"/>
    <w:rsid w:val="007E4F5B"/>
    <w:rsid w:val="007E575F"/>
    <w:rsid w:val="007E599F"/>
    <w:rsid w:val="007E5A9A"/>
    <w:rsid w:val="007E5C52"/>
    <w:rsid w:val="007E5CF2"/>
    <w:rsid w:val="007E6F88"/>
    <w:rsid w:val="007E7007"/>
    <w:rsid w:val="007E7298"/>
    <w:rsid w:val="007E7717"/>
    <w:rsid w:val="007E7F25"/>
    <w:rsid w:val="007F01A1"/>
    <w:rsid w:val="007F0212"/>
    <w:rsid w:val="007F0655"/>
    <w:rsid w:val="007F0B83"/>
    <w:rsid w:val="007F155D"/>
    <w:rsid w:val="007F177B"/>
    <w:rsid w:val="007F1E8E"/>
    <w:rsid w:val="007F22A4"/>
    <w:rsid w:val="007F253D"/>
    <w:rsid w:val="007F2655"/>
    <w:rsid w:val="007F28B3"/>
    <w:rsid w:val="007F28DC"/>
    <w:rsid w:val="007F29C5"/>
    <w:rsid w:val="007F3055"/>
    <w:rsid w:val="007F3372"/>
    <w:rsid w:val="007F3418"/>
    <w:rsid w:val="007F3C32"/>
    <w:rsid w:val="007F3FDB"/>
    <w:rsid w:val="007F4802"/>
    <w:rsid w:val="007F4AC9"/>
    <w:rsid w:val="007F4DA5"/>
    <w:rsid w:val="007F5088"/>
    <w:rsid w:val="007F527A"/>
    <w:rsid w:val="007F57B8"/>
    <w:rsid w:val="007F5B18"/>
    <w:rsid w:val="007F5D7B"/>
    <w:rsid w:val="007F5E58"/>
    <w:rsid w:val="007F5FD5"/>
    <w:rsid w:val="007F6178"/>
    <w:rsid w:val="007F6212"/>
    <w:rsid w:val="007F69FC"/>
    <w:rsid w:val="007F6CBA"/>
    <w:rsid w:val="007F6E0E"/>
    <w:rsid w:val="007F7271"/>
    <w:rsid w:val="007F79E8"/>
    <w:rsid w:val="007F7B14"/>
    <w:rsid w:val="0080001A"/>
    <w:rsid w:val="00800368"/>
    <w:rsid w:val="00800C9F"/>
    <w:rsid w:val="00801879"/>
    <w:rsid w:val="00801D33"/>
    <w:rsid w:val="00801F41"/>
    <w:rsid w:val="00801F58"/>
    <w:rsid w:val="00801F7F"/>
    <w:rsid w:val="00802901"/>
    <w:rsid w:val="00802983"/>
    <w:rsid w:val="00802C42"/>
    <w:rsid w:val="00802E3A"/>
    <w:rsid w:val="00802E4E"/>
    <w:rsid w:val="00802F21"/>
    <w:rsid w:val="00803015"/>
    <w:rsid w:val="0080323F"/>
    <w:rsid w:val="008033C5"/>
    <w:rsid w:val="008039FB"/>
    <w:rsid w:val="0080446B"/>
    <w:rsid w:val="008048DE"/>
    <w:rsid w:val="00805003"/>
    <w:rsid w:val="008051F5"/>
    <w:rsid w:val="0080549D"/>
    <w:rsid w:val="00805573"/>
    <w:rsid w:val="008058FA"/>
    <w:rsid w:val="00805EC4"/>
    <w:rsid w:val="0080634F"/>
    <w:rsid w:val="00806638"/>
    <w:rsid w:val="00806F64"/>
    <w:rsid w:val="00807006"/>
    <w:rsid w:val="00807088"/>
    <w:rsid w:val="00807253"/>
    <w:rsid w:val="00807613"/>
    <w:rsid w:val="0080784F"/>
    <w:rsid w:val="00807B3A"/>
    <w:rsid w:val="00807D28"/>
    <w:rsid w:val="008103B5"/>
    <w:rsid w:val="00810830"/>
    <w:rsid w:val="00810CE4"/>
    <w:rsid w:val="00811049"/>
    <w:rsid w:val="0081114F"/>
    <w:rsid w:val="008113C5"/>
    <w:rsid w:val="00811D86"/>
    <w:rsid w:val="00812147"/>
    <w:rsid w:val="008122F8"/>
    <w:rsid w:val="0081265A"/>
    <w:rsid w:val="008128E9"/>
    <w:rsid w:val="00812949"/>
    <w:rsid w:val="00812958"/>
    <w:rsid w:val="00812A9B"/>
    <w:rsid w:val="00812E41"/>
    <w:rsid w:val="00812EF3"/>
    <w:rsid w:val="00813DCF"/>
    <w:rsid w:val="0081418C"/>
    <w:rsid w:val="00814412"/>
    <w:rsid w:val="0081472E"/>
    <w:rsid w:val="0081499C"/>
    <w:rsid w:val="0081552A"/>
    <w:rsid w:val="008158F9"/>
    <w:rsid w:val="00816093"/>
    <w:rsid w:val="008165D6"/>
    <w:rsid w:val="00816A4F"/>
    <w:rsid w:val="008171A9"/>
    <w:rsid w:val="00817420"/>
    <w:rsid w:val="00817903"/>
    <w:rsid w:val="008179E2"/>
    <w:rsid w:val="00817D8C"/>
    <w:rsid w:val="00820019"/>
    <w:rsid w:val="00820763"/>
    <w:rsid w:val="008208DC"/>
    <w:rsid w:val="00820F6B"/>
    <w:rsid w:val="0082102D"/>
    <w:rsid w:val="00821047"/>
    <w:rsid w:val="00821448"/>
    <w:rsid w:val="00821610"/>
    <w:rsid w:val="00821B36"/>
    <w:rsid w:val="00822079"/>
    <w:rsid w:val="00822402"/>
    <w:rsid w:val="008227B1"/>
    <w:rsid w:val="008227B3"/>
    <w:rsid w:val="0082354F"/>
    <w:rsid w:val="00823D04"/>
    <w:rsid w:val="0082427E"/>
    <w:rsid w:val="0082449F"/>
    <w:rsid w:val="0082474D"/>
    <w:rsid w:val="008248A7"/>
    <w:rsid w:val="00825104"/>
    <w:rsid w:val="00825DD8"/>
    <w:rsid w:val="00826012"/>
    <w:rsid w:val="00826574"/>
    <w:rsid w:val="0082669C"/>
    <w:rsid w:val="00826F78"/>
    <w:rsid w:val="008272B7"/>
    <w:rsid w:val="008272C5"/>
    <w:rsid w:val="00827930"/>
    <w:rsid w:val="00827BA1"/>
    <w:rsid w:val="00827D76"/>
    <w:rsid w:val="008301A5"/>
    <w:rsid w:val="00830581"/>
    <w:rsid w:val="00830945"/>
    <w:rsid w:val="00830E4F"/>
    <w:rsid w:val="008310DE"/>
    <w:rsid w:val="008315C0"/>
    <w:rsid w:val="008315C2"/>
    <w:rsid w:val="00831806"/>
    <w:rsid w:val="00832081"/>
    <w:rsid w:val="008320FC"/>
    <w:rsid w:val="00832102"/>
    <w:rsid w:val="00832322"/>
    <w:rsid w:val="008324F5"/>
    <w:rsid w:val="008327A8"/>
    <w:rsid w:val="00832B43"/>
    <w:rsid w:val="008330CF"/>
    <w:rsid w:val="00833126"/>
    <w:rsid w:val="008333FF"/>
    <w:rsid w:val="00833563"/>
    <w:rsid w:val="008340E7"/>
    <w:rsid w:val="008342A2"/>
    <w:rsid w:val="0083477E"/>
    <w:rsid w:val="00834DF9"/>
    <w:rsid w:val="00835A61"/>
    <w:rsid w:val="00835D7A"/>
    <w:rsid w:val="008369E8"/>
    <w:rsid w:val="00836B32"/>
    <w:rsid w:val="00836D1B"/>
    <w:rsid w:val="00836D95"/>
    <w:rsid w:val="00836F8F"/>
    <w:rsid w:val="008370DB"/>
    <w:rsid w:val="008373AF"/>
    <w:rsid w:val="00837566"/>
    <w:rsid w:val="00837598"/>
    <w:rsid w:val="0083767B"/>
    <w:rsid w:val="008376B6"/>
    <w:rsid w:val="00837E6B"/>
    <w:rsid w:val="008402F7"/>
    <w:rsid w:val="00840454"/>
    <w:rsid w:val="00840484"/>
    <w:rsid w:val="0084099C"/>
    <w:rsid w:val="00840B26"/>
    <w:rsid w:val="00840FAF"/>
    <w:rsid w:val="00841012"/>
    <w:rsid w:val="0084155B"/>
    <w:rsid w:val="00842289"/>
    <w:rsid w:val="00842419"/>
    <w:rsid w:val="008424FA"/>
    <w:rsid w:val="0084287A"/>
    <w:rsid w:val="00842CFA"/>
    <w:rsid w:val="00842EAC"/>
    <w:rsid w:val="00843650"/>
    <w:rsid w:val="0084368F"/>
    <w:rsid w:val="00843CEF"/>
    <w:rsid w:val="00843DED"/>
    <w:rsid w:val="00844A9B"/>
    <w:rsid w:val="00844EAA"/>
    <w:rsid w:val="00844FB1"/>
    <w:rsid w:val="00845483"/>
    <w:rsid w:val="00845AD5"/>
    <w:rsid w:val="008462B6"/>
    <w:rsid w:val="008470AC"/>
    <w:rsid w:val="00847424"/>
    <w:rsid w:val="00847618"/>
    <w:rsid w:val="008478C1"/>
    <w:rsid w:val="008500E0"/>
    <w:rsid w:val="00850645"/>
    <w:rsid w:val="00850CC0"/>
    <w:rsid w:val="008516B0"/>
    <w:rsid w:val="008517C6"/>
    <w:rsid w:val="00851BFC"/>
    <w:rsid w:val="0085239F"/>
    <w:rsid w:val="00852493"/>
    <w:rsid w:val="00852628"/>
    <w:rsid w:val="008527A8"/>
    <w:rsid w:val="00852AC4"/>
    <w:rsid w:val="00852E12"/>
    <w:rsid w:val="008532AE"/>
    <w:rsid w:val="00853382"/>
    <w:rsid w:val="00853CE3"/>
    <w:rsid w:val="00854251"/>
    <w:rsid w:val="008543C4"/>
    <w:rsid w:val="00854ACF"/>
    <w:rsid w:val="00854DBF"/>
    <w:rsid w:val="0085531D"/>
    <w:rsid w:val="008555D4"/>
    <w:rsid w:val="0085565F"/>
    <w:rsid w:val="00855876"/>
    <w:rsid w:val="00855A55"/>
    <w:rsid w:val="00855A6C"/>
    <w:rsid w:val="00855B52"/>
    <w:rsid w:val="00855BA6"/>
    <w:rsid w:val="008563AC"/>
    <w:rsid w:val="008566A8"/>
    <w:rsid w:val="00857104"/>
    <w:rsid w:val="0085712D"/>
    <w:rsid w:val="008574E7"/>
    <w:rsid w:val="00857517"/>
    <w:rsid w:val="008575F0"/>
    <w:rsid w:val="0085764A"/>
    <w:rsid w:val="00857833"/>
    <w:rsid w:val="0085785B"/>
    <w:rsid w:val="00857912"/>
    <w:rsid w:val="00857BFB"/>
    <w:rsid w:val="00857CB7"/>
    <w:rsid w:val="00857F6E"/>
    <w:rsid w:val="008605AF"/>
    <w:rsid w:val="00860CEB"/>
    <w:rsid w:val="00860D0A"/>
    <w:rsid w:val="00860E32"/>
    <w:rsid w:val="00860F22"/>
    <w:rsid w:val="00860F5A"/>
    <w:rsid w:val="00861718"/>
    <w:rsid w:val="00861E45"/>
    <w:rsid w:val="00861E86"/>
    <w:rsid w:val="00862501"/>
    <w:rsid w:val="00862502"/>
    <w:rsid w:val="00862C9C"/>
    <w:rsid w:val="0086360B"/>
    <w:rsid w:val="00863760"/>
    <w:rsid w:val="00863B4E"/>
    <w:rsid w:val="00863FDA"/>
    <w:rsid w:val="0086434E"/>
    <w:rsid w:val="00864858"/>
    <w:rsid w:val="008650ED"/>
    <w:rsid w:val="00865615"/>
    <w:rsid w:val="008656D6"/>
    <w:rsid w:val="008657B7"/>
    <w:rsid w:val="00865CA7"/>
    <w:rsid w:val="00865E70"/>
    <w:rsid w:val="00865F0E"/>
    <w:rsid w:val="00865FA2"/>
    <w:rsid w:val="00866357"/>
    <w:rsid w:val="0086638E"/>
    <w:rsid w:val="00866452"/>
    <w:rsid w:val="008665D0"/>
    <w:rsid w:val="00866FF6"/>
    <w:rsid w:val="00867076"/>
    <w:rsid w:val="00867F24"/>
    <w:rsid w:val="0087017B"/>
    <w:rsid w:val="008703F2"/>
    <w:rsid w:val="00870644"/>
    <w:rsid w:val="00871537"/>
    <w:rsid w:val="00872237"/>
    <w:rsid w:val="0087299D"/>
    <w:rsid w:val="00873CC6"/>
    <w:rsid w:val="00873F2F"/>
    <w:rsid w:val="00873F8F"/>
    <w:rsid w:val="008742A9"/>
    <w:rsid w:val="00874A67"/>
    <w:rsid w:val="0087550B"/>
    <w:rsid w:val="0087557D"/>
    <w:rsid w:val="008759D3"/>
    <w:rsid w:val="00875BFB"/>
    <w:rsid w:val="00875D1B"/>
    <w:rsid w:val="00875EB9"/>
    <w:rsid w:val="008761E2"/>
    <w:rsid w:val="008765D3"/>
    <w:rsid w:val="00876A80"/>
    <w:rsid w:val="00876C16"/>
    <w:rsid w:val="00876F04"/>
    <w:rsid w:val="00876F08"/>
    <w:rsid w:val="008775AF"/>
    <w:rsid w:val="00877892"/>
    <w:rsid w:val="00877A2B"/>
    <w:rsid w:val="00877AEF"/>
    <w:rsid w:val="00877BE7"/>
    <w:rsid w:val="008801B3"/>
    <w:rsid w:val="008802D8"/>
    <w:rsid w:val="00880361"/>
    <w:rsid w:val="00880999"/>
    <w:rsid w:val="00880FE4"/>
    <w:rsid w:val="00881134"/>
    <w:rsid w:val="00881181"/>
    <w:rsid w:val="00881289"/>
    <w:rsid w:val="008812CF"/>
    <w:rsid w:val="008812FC"/>
    <w:rsid w:val="00881473"/>
    <w:rsid w:val="008816CF"/>
    <w:rsid w:val="00881E9F"/>
    <w:rsid w:val="008827A9"/>
    <w:rsid w:val="00882F5B"/>
    <w:rsid w:val="0088306A"/>
    <w:rsid w:val="0088342E"/>
    <w:rsid w:val="00883544"/>
    <w:rsid w:val="00883DE1"/>
    <w:rsid w:val="0088439D"/>
    <w:rsid w:val="00884E34"/>
    <w:rsid w:val="00884F50"/>
    <w:rsid w:val="00884F52"/>
    <w:rsid w:val="008851F6"/>
    <w:rsid w:val="00885539"/>
    <w:rsid w:val="0088630D"/>
    <w:rsid w:val="00886E65"/>
    <w:rsid w:val="00886F5A"/>
    <w:rsid w:val="0088735E"/>
    <w:rsid w:val="008874DD"/>
    <w:rsid w:val="00887853"/>
    <w:rsid w:val="008878AD"/>
    <w:rsid w:val="008878B4"/>
    <w:rsid w:val="00887F8A"/>
    <w:rsid w:val="00890486"/>
    <w:rsid w:val="00890492"/>
    <w:rsid w:val="00890724"/>
    <w:rsid w:val="00890756"/>
    <w:rsid w:val="0089138B"/>
    <w:rsid w:val="0089139B"/>
    <w:rsid w:val="00891557"/>
    <w:rsid w:val="00891A8C"/>
    <w:rsid w:val="00891C99"/>
    <w:rsid w:val="008920CA"/>
    <w:rsid w:val="0089213F"/>
    <w:rsid w:val="00892BBC"/>
    <w:rsid w:val="00892ECC"/>
    <w:rsid w:val="00893628"/>
    <w:rsid w:val="0089416C"/>
    <w:rsid w:val="00894507"/>
    <w:rsid w:val="00894A6A"/>
    <w:rsid w:val="008952CB"/>
    <w:rsid w:val="008954FA"/>
    <w:rsid w:val="0089649B"/>
    <w:rsid w:val="00896804"/>
    <w:rsid w:val="00896B22"/>
    <w:rsid w:val="0089737D"/>
    <w:rsid w:val="00897767"/>
    <w:rsid w:val="008A0566"/>
    <w:rsid w:val="008A0577"/>
    <w:rsid w:val="008A0580"/>
    <w:rsid w:val="008A05C8"/>
    <w:rsid w:val="008A06C2"/>
    <w:rsid w:val="008A07AE"/>
    <w:rsid w:val="008A08CA"/>
    <w:rsid w:val="008A0A92"/>
    <w:rsid w:val="008A163E"/>
    <w:rsid w:val="008A19A6"/>
    <w:rsid w:val="008A23C8"/>
    <w:rsid w:val="008A2992"/>
    <w:rsid w:val="008A2F41"/>
    <w:rsid w:val="008A305C"/>
    <w:rsid w:val="008A3603"/>
    <w:rsid w:val="008A3DB6"/>
    <w:rsid w:val="008A3F13"/>
    <w:rsid w:val="008A4E34"/>
    <w:rsid w:val="008A542C"/>
    <w:rsid w:val="008A5A1A"/>
    <w:rsid w:val="008A5D72"/>
    <w:rsid w:val="008A66F3"/>
    <w:rsid w:val="008A691E"/>
    <w:rsid w:val="008A6AEC"/>
    <w:rsid w:val="008A7096"/>
    <w:rsid w:val="008A7A70"/>
    <w:rsid w:val="008B0D82"/>
    <w:rsid w:val="008B13D2"/>
    <w:rsid w:val="008B1873"/>
    <w:rsid w:val="008B232B"/>
    <w:rsid w:val="008B2480"/>
    <w:rsid w:val="008B25FF"/>
    <w:rsid w:val="008B2724"/>
    <w:rsid w:val="008B2777"/>
    <w:rsid w:val="008B2892"/>
    <w:rsid w:val="008B2BF8"/>
    <w:rsid w:val="008B2D29"/>
    <w:rsid w:val="008B2FC5"/>
    <w:rsid w:val="008B317D"/>
    <w:rsid w:val="008B353D"/>
    <w:rsid w:val="008B3D81"/>
    <w:rsid w:val="008B3DDE"/>
    <w:rsid w:val="008B412D"/>
    <w:rsid w:val="008B4218"/>
    <w:rsid w:val="008B46F4"/>
    <w:rsid w:val="008B50A2"/>
    <w:rsid w:val="008B518F"/>
    <w:rsid w:val="008B577D"/>
    <w:rsid w:val="008B5B6A"/>
    <w:rsid w:val="008B5BCD"/>
    <w:rsid w:val="008B6A0E"/>
    <w:rsid w:val="008B6C81"/>
    <w:rsid w:val="008B6D68"/>
    <w:rsid w:val="008B752C"/>
    <w:rsid w:val="008B757A"/>
    <w:rsid w:val="008B776B"/>
    <w:rsid w:val="008B77C7"/>
    <w:rsid w:val="008B78A9"/>
    <w:rsid w:val="008B7E37"/>
    <w:rsid w:val="008B7E5C"/>
    <w:rsid w:val="008C10AF"/>
    <w:rsid w:val="008C1609"/>
    <w:rsid w:val="008C180C"/>
    <w:rsid w:val="008C1A4E"/>
    <w:rsid w:val="008C1A58"/>
    <w:rsid w:val="008C1D27"/>
    <w:rsid w:val="008C1F32"/>
    <w:rsid w:val="008C212E"/>
    <w:rsid w:val="008C2C5E"/>
    <w:rsid w:val="008C3066"/>
    <w:rsid w:val="008C30E9"/>
    <w:rsid w:val="008C3142"/>
    <w:rsid w:val="008C3461"/>
    <w:rsid w:val="008C3A0D"/>
    <w:rsid w:val="008C3ED6"/>
    <w:rsid w:val="008C41F1"/>
    <w:rsid w:val="008C52AF"/>
    <w:rsid w:val="008C53E8"/>
    <w:rsid w:val="008C576A"/>
    <w:rsid w:val="008C5D1A"/>
    <w:rsid w:val="008C5DC8"/>
    <w:rsid w:val="008C5F8D"/>
    <w:rsid w:val="008C6BE6"/>
    <w:rsid w:val="008C6FE0"/>
    <w:rsid w:val="008C7143"/>
    <w:rsid w:val="008C7522"/>
    <w:rsid w:val="008C7EEA"/>
    <w:rsid w:val="008D0356"/>
    <w:rsid w:val="008D048F"/>
    <w:rsid w:val="008D077F"/>
    <w:rsid w:val="008D0E7A"/>
    <w:rsid w:val="008D1336"/>
    <w:rsid w:val="008D1615"/>
    <w:rsid w:val="008D184D"/>
    <w:rsid w:val="008D1982"/>
    <w:rsid w:val="008D19CA"/>
    <w:rsid w:val="008D1A27"/>
    <w:rsid w:val="008D2084"/>
    <w:rsid w:val="008D20C3"/>
    <w:rsid w:val="008D3AFD"/>
    <w:rsid w:val="008D3BE8"/>
    <w:rsid w:val="008D3C50"/>
    <w:rsid w:val="008D3F4F"/>
    <w:rsid w:val="008D3F72"/>
    <w:rsid w:val="008D4102"/>
    <w:rsid w:val="008D45E7"/>
    <w:rsid w:val="008D46A6"/>
    <w:rsid w:val="008D48C2"/>
    <w:rsid w:val="008D4A82"/>
    <w:rsid w:val="008D52CF"/>
    <w:rsid w:val="008D55D4"/>
    <w:rsid w:val="008D5722"/>
    <w:rsid w:val="008D5F45"/>
    <w:rsid w:val="008D6271"/>
    <w:rsid w:val="008D6E3F"/>
    <w:rsid w:val="008D6FAC"/>
    <w:rsid w:val="008D7C55"/>
    <w:rsid w:val="008E07A5"/>
    <w:rsid w:val="008E0BEF"/>
    <w:rsid w:val="008E0FE2"/>
    <w:rsid w:val="008E1504"/>
    <w:rsid w:val="008E1B42"/>
    <w:rsid w:val="008E26ED"/>
    <w:rsid w:val="008E2C46"/>
    <w:rsid w:val="008E2F82"/>
    <w:rsid w:val="008E33D1"/>
    <w:rsid w:val="008E362D"/>
    <w:rsid w:val="008E3B28"/>
    <w:rsid w:val="008E41BD"/>
    <w:rsid w:val="008E46E9"/>
    <w:rsid w:val="008E4BD2"/>
    <w:rsid w:val="008E529F"/>
    <w:rsid w:val="008E5C06"/>
    <w:rsid w:val="008E6959"/>
    <w:rsid w:val="008E6B43"/>
    <w:rsid w:val="008E70F1"/>
    <w:rsid w:val="008E71FE"/>
    <w:rsid w:val="008E726F"/>
    <w:rsid w:val="008E77A6"/>
    <w:rsid w:val="008E7F69"/>
    <w:rsid w:val="008F03C6"/>
    <w:rsid w:val="008F0928"/>
    <w:rsid w:val="008F1202"/>
    <w:rsid w:val="008F12C0"/>
    <w:rsid w:val="008F137C"/>
    <w:rsid w:val="008F154F"/>
    <w:rsid w:val="008F1B9D"/>
    <w:rsid w:val="008F200A"/>
    <w:rsid w:val="008F229B"/>
    <w:rsid w:val="008F2469"/>
    <w:rsid w:val="008F28E5"/>
    <w:rsid w:val="008F2F66"/>
    <w:rsid w:val="008F3051"/>
    <w:rsid w:val="008F3101"/>
    <w:rsid w:val="008F32E9"/>
    <w:rsid w:val="008F364F"/>
    <w:rsid w:val="008F37E4"/>
    <w:rsid w:val="008F4C6B"/>
    <w:rsid w:val="008F5117"/>
    <w:rsid w:val="008F5566"/>
    <w:rsid w:val="008F5818"/>
    <w:rsid w:val="008F5879"/>
    <w:rsid w:val="008F5883"/>
    <w:rsid w:val="008F5C48"/>
    <w:rsid w:val="008F5C69"/>
    <w:rsid w:val="008F6131"/>
    <w:rsid w:val="008F6355"/>
    <w:rsid w:val="008F71E3"/>
    <w:rsid w:val="008F746E"/>
    <w:rsid w:val="008F76A0"/>
    <w:rsid w:val="008F7BEB"/>
    <w:rsid w:val="009007CC"/>
    <w:rsid w:val="00900DFF"/>
    <w:rsid w:val="00900EB8"/>
    <w:rsid w:val="0090172D"/>
    <w:rsid w:val="009018E9"/>
    <w:rsid w:val="0090195A"/>
    <w:rsid w:val="00901B5E"/>
    <w:rsid w:val="00901F19"/>
    <w:rsid w:val="00902102"/>
    <w:rsid w:val="00902AB6"/>
    <w:rsid w:val="00902EE4"/>
    <w:rsid w:val="00903588"/>
    <w:rsid w:val="0090371E"/>
    <w:rsid w:val="00903C78"/>
    <w:rsid w:val="00903E2A"/>
    <w:rsid w:val="00903FEE"/>
    <w:rsid w:val="009040EB"/>
    <w:rsid w:val="009043FE"/>
    <w:rsid w:val="009044E4"/>
    <w:rsid w:val="00904DBD"/>
    <w:rsid w:val="009054B7"/>
    <w:rsid w:val="0090574E"/>
    <w:rsid w:val="0090578D"/>
    <w:rsid w:val="00905940"/>
    <w:rsid w:val="00905C36"/>
    <w:rsid w:val="00905F89"/>
    <w:rsid w:val="00906524"/>
    <w:rsid w:val="0090762B"/>
    <w:rsid w:val="00907E36"/>
    <w:rsid w:val="009104A1"/>
    <w:rsid w:val="00910F3C"/>
    <w:rsid w:val="009115D1"/>
    <w:rsid w:val="009116DF"/>
    <w:rsid w:val="009117E4"/>
    <w:rsid w:val="009117EB"/>
    <w:rsid w:val="009118BC"/>
    <w:rsid w:val="00912253"/>
    <w:rsid w:val="0091239F"/>
    <w:rsid w:val="009125F6"/>
    <w:rsid w:val="00912721"/>
    <w:rsid w:val="00913B52"/>
    <w:rsid w:val="00913E57"/>
    <w:rsid w:val="00913F32"/>
    <w:rsid w:val="00914166"/>
    <w:rsid w:val="00914CE9"/>
    <w:rsid w:val="009155F6"/>
    <w:rsid w:val="00915DB2"/>
    <w:rsid w:val="00916134"/>
    <w:rsid w:val="00916288"/>
    <w:rsid w:val="00916B7B"/>
    <w:rsid w:val="00916C74"/>
    <w:rsid w:val="0091721A"/>
    <w:rsid w:val="00917244"/>
    <w:rsid w:val="00917609"/>
    <w:rsid w:val="009177F9"/>
    <w:rsid w:val="00920110"/>
    <w:rsid w:val="0092028F"/>
    <w:rsid w:val="009205CA"/>
    <w:rsid w:val="00920881"/>
    <w:rsid w:val="009211B9"/>
    <w:rsid w:val="0092194B"/>
    <w:rsid w:val="00921E10"/>
    <w:rsid w:val="00922833"/>
    <w:rsid w:val="00922951"/>
    <w:rsid w:val="00922C7F"/>
    <w:rsid w:val="0092303A"/>
    <w:rsid w:val="009233B7"/>
    <w:rsid w:val="0092368C"/>
    <w:rsid w:val="00923F13"/>
    <w:rsid w:val="00924152"/>
    <w:rsid w:val="0092445E"/>
    <w:rsid w:val="00924B14"/>
    <w:rsid w:val="00924F4E"/>
    <w:rsid w:val="00925026"/>
    <w:rsid w:val="00925315"/>
    <w:rsid w:val="0092541A"/>
    <w:rsid w:val="0092561C"/>
    <w:rsid w:val="00925CBE"/>
    <w:rsid w:val="00925EF5"/>
    <w:rsid w:val="00925F0B"/>
    <w:rsid w:val="0092682C"/>
    <w:rsid w:val="0092754F"/>
    <w:rsid w:val="00927DEA"/>
    <w:rsid w:val="009301A9"/>
    <w:rsid w:val="00930205"/>
    <w:rsid w:val="00930345"/>
    <w:rsid w:val="009303EF"/>
    <w:rsid w:val="00930A6D"/>
    <w:rsid w:val="00930D71"/>
    <w:rsid w:val="0093127A"/>
    <w:rsid w:val="00931527"/>
    <w:rsid w:val="0093156A"/>
    <w:rsid w:val="009315BF"/>
    <w:rsid w:val="00931AF4"/>
    <w:rsid w:val="00931DEF"/>
    <w:rsid w:val="00931FCC"/>
    <w:rsid w:val="00932D19"/>
    <w:rsid w:val="00932DBE"/>
    <w:rsid w:val="00932F4B"/>
    <w:rsid w:val="0093384E"/>
    <w:rsid w:val="009340AA"/>
    <w:rsid w:val="0093450A"/>
    <w:rsid w:val="00934D3D"/>
    <w:rsid w:val="00934E00"/>
    <w:rsid w:val="009351A2"/>
    <w:rsid w:val="0093543F"/>
    <w:rsid w:val="009356D5"/>
    <w:rsid w:val="00935DA7"/>
    <w:rsid w:val="00936643"/>
    <w:rsid w:val="009369F5"/>
    <w:rsid w:val="00936C98"/>
    <w:rsid w:val="0093700C"/>
    <w:rsid w:val="00937158"/>
    <w:rsid w:val="00937358"/>
    <w:rsid w:val="009377A8"/>
    <w:rsid w:val="00937E97"/>
    <w:rsid w:val="009403FD"/>
    <w:rsid w:val="00940B78"/>
    <w:rsid w:val="00940E0C"/>
    <w:rsid w:val="00941044"/>
    <w:rsid w:val="009418DE"/>
    <w:rsid w:val="00941977"/>
    <w:rsid w:val="00941D55"/>
    <w:rsid w:val="009420A6"/>
    <w:rsid w:val="009425B0"/>
    <w:rsid w:val="00942AA1"/>
    <w:rsid w:val="00942C1F"/>
    <w:rsid w:val="009433A8"/>
    <w:rsid w:val="0094364F"/>
    <w:rsid w:val="00943898"/>
    <w:rsid w:val="00943CB4"/>
    <w:rsid w:val="00943FEE"/>
    <w:rsid w:val="009448AB"/>
    <w:rsid w:val="00945F56"/>
    <w:rsid w:val="00946064"/>
    <w:rsid w:val="0094627B"/>
    <w:rsid w:val="00946B23"/>
    <w:rsid w:val="009472F6"/>
    <w:rsid w:val="009475F5"/>
    <w:rsid w:val="00947659"/>
    <w:rsid w:val="009476B0"/>
    <w:rsid w:val="00947A17"/>
    <w:rsid w:val="00947D01"/>
    <w:rsid w:val="00947E8F"/>
    <w:rsid w:val="00950317"/>
    <w:rsid w:val="009507A2"/>
    <w:rsid w:val="0095097F"/>
    <w:rsid w:val="009515AF"/>
    <w:rsid w:val="00951B93"/>
    <w:rsid w:val="00951BC7"/>
    <w:rsid w:val="00951E4D"/>
    <w:rsid w:val="009522B7"/>
    <w:rsid w:val="009527EA"/>
    <w:rsid w:val="00952AE5"/>
    <w:rsid w:val="00953843"/>
    <w:rsid w:val="0095412E"/>
    <w:rsid w:val="00954203"/>
    <w:rsid w:val="0095475F"/>
    <w:rsid w:val="00954D67"/>
    <w:rsid w:val="00954EC1"/>
    <w:rsid w:val="0095526A"/>
    <w:rsid w:val="00955342"/>
    <w:rsid w:val="00955C5A"/>
    <w:rsid w:val="00955EC2"/>
    <w:rsid w:val="009564E1"/>
    <w:rsid w:val="009566C8"/>
    <w:rsid w:val="00956B05"/>
    <w:rsid w:val="00956DBD"/>
    <w:rsid w:val="009573B3"/>
    <w:rsid w:val="00957742"/>
    <w:rsid w:val="00957CE4"/>
    <w:rsid w:val="00957EA9"/>
    <w:rsid w:val="009606E5"/>
    <w:rsid w:val="009608A1"/>
    <w:rsid w:val="00960D0D"/>
    <w:rsid w:val="00961460"/>
    <w:rsid w:val="009616DC"/>
    <w:rsid w:val="009618CD"/>
    <w:rsid w:val="00961AD8"/>
    <w:rsid w:val="00961B93"/>
    <w:rsid w:val="00961DB8"/>
    <w:rsid w:val="009626FA"/>
    <w:rsid w:val="00962D20"/>
    <w:rsid w:val="00963406"/>
    <w:rsid w:val="00963638"/>
    <w:rsid w:val="0096372B"/>
    <w:rsid w:val="009639BD"/>
    <w:rsid w:val="00963A56"/>
    <w:rsid w:val="00963F6E"/>
    <w:rsid w:val="0096447B"/>
    <w:rsid w:val="00964828"/>
    <w:rsid w:val="00964C9F"/>
    <w:rsid w:val="00965538"/>
    <w:rsid w:val="00965C52"/>
    <w:rsid w:val="00965E31"/>
    <w:rsid w:val="00965ED6"/>
    <w:rsid w:val="00966769"/>
    <w:rsid w:val="00966C24"/>
    <w:rsid w:val="009670A0"/>
    <w:rsid w:val="00967184"/>
    <w:rsid w:val="009671B5"/>
    <w:rsid w:val="00967520"/>
    <w:rsid w:val="00967C48"/>
    <w:rsid w:val="00967D82"/>
    <w:rsid w:val="00970046"/>
    <w:rsid w:val="00970635"/>
    <w:rsid w:val="00970A05"/>
    <w:rsid w:val="00970F38"/>
    <w:rsid w:val="0097118F"/>
    <w:rsid w:val="0097167B"/>
    <w:rsid w:val="0097178B"/>
    <w:rsid w:val="0097299E"/>
    <w:rsid w:val="00972DC8"/>
    <w:rsid w:val="009733BD"/>
    <w:rsid w:val="00973AC0"/>
    <w:rsid w:val="00974566"/>
    <w:rsid w:val="00974758"/>
    <w:rsid w:val="00974BBA"/>
    <w:rsid w:val="00974E3B"/>
    <w:rsid w:val="00975FE4"/>
    <w:rsid w:val="009763BC"/>
    <w:rsid w:val="009768FC"/>
    <w:rsid w:val="0097703A"/>
    <w:rsid w:val="00977E01"/>
    <w:rsid w:val="009806B2"/>
    <w:rsid w:val="00980BA4"/>
    <w:rsid w:val="00980E79"/>
    <w:rsid w:val="0098142A"/>
    <w:rsid w:val="009815B5"/>
    <w:rsid w:val="009818AD"/>
    <w:rsid w:val="00981A13"/>
    <w:rsid w:val="0098210A"/>
    <w:rsid w:val="00982399"/>
    <w:rsid w:val="0098267A"/>
    <w:rsid w:val="00982C02"/>
    <w:rsid w:val="0098312F"/>
    <w:rsid w:val="00983638"/>
    <w:rsid w:val="0098383F"/>
    <w:rsid w:val="00983AC8"/>
    <w:rsid w:val="009841A7"/>
    <w:rsid w:val="009844C0"/>
    <w:rsid w:val="009846A1"/>
    <w:rsid w:val="009855B9"/>
    <w:rsid w:val="009855F9"/>
    <w:rsid w:val="00985A0F"/>
    <w:rsid w:val="00985CDD"/>
    <w:rsid w:val="00986368"/>
    <w:rsid w:val="00986688"/>
    <w:rsid w:val="00986855"/>
    <w:rsid w:val="009869DB"/>
    <w:rsid w:val="00986B48"/>
    <w:rsid w:val="00987077"/>
    <w:rsid w:val="00987083"/>
    <w:rsid w:val="00987369"/>
    <w:rsid w:val="00990081"/>
    <w:rsid w:val="0099062D"/>
    <w:rsid w:val="0099089F"/>
    <w:rsid w:val="00990DD8"/>
    <w:rsid w:val="009913F6"/>
    <w:rsid w:val="00991A94"/>
    <w:rsid w:val="00991E0B"/>
    <w:rsid w:val="00991FA1"/>
    <w:rsid w:val="0099202E"/>
    <w:rsid w:val="00992414"/>
    <w:rsid w:val="00992C38"/>
    <w:rsid w:val="00992D3F"/>
    <w:rsid w:val="00992FAB"/>
    <w:rsid w:val="00993ADD"/>
    <w:rsid w:val="00994501"/>
    <w:rsid w:val="009949AE"/>
    <w:rsid w:val="00994AC1"/>
    <w:rsid w:val="00995213"/>
    <w:rsid w:val="0099543C"/>
    <w:rsid w:val="009954A5"/>
    <w:rsid w:val="00995820"/>
    <w:rsid w:val="00995D3A"/>
    <w:rsid w:val="00995DD1"/>
    <w:rsid w:val="00995FFB"/>
    <w:rsid w:val="00996A1D"/>
    <w:rsid w:val="00996C92"/>
    <w:rsid w:val="00996E54"/>
    <w:rsid w:val="009973BD"/>
    <w:rsid w:val="009976B5"/>
    <w:rsid w:val="00997CB0"/>
    <w:rsid w:val="00997CE6"/>
    <w:rsid w:val="00997D26"/>
    <w:rsid w:val="009A0485"/>
    <w:rsid w:val="009A0876"/>
    <w:rsid w:val="009A095B"/>
    <w:rsid w:val="009A09DC"/>
    <w:rsid w:val="009A136F"/>
    <w:rsid w:val="009A1848"/>
    <w:rsid w:val="009A1FF2"/>
    <w:rsid w:val="009A2482"/>
    <w:rsid w:val="009A2F65"/>
    <w:rsid w:val="009A2FB4"/>
    <w:rsid w:val="009A4199"/>
    <w:rsid w:val="009A44A0"/>
    <w:rsid w:val="009A4566"/>
    <w:rsid w:val="009A4B25"/>
    <w:rsid w:val="009A5A88"/>
    <w:rsid w:val="009A60C8"/>
    <w:rsid w:val="009A6252"/>
    <w:rsid w:val="009A6413"/>
    <w:rsid w:val="009A65D8"/>
    <w:rsid w:val="009A69AA"/>
    <w:rsid w:val="009A6BFE"/>
    <w:rsid w:val="009A709D"/>
    <w:rsid w:val="009B040A"/>
    <w:rsid w:val="009B04E7"/>
    <w:rsid w:val="009B0556"/>
    <w:rsid w:val="009B062B"/>
    <w:rsid w:val="009B0BA1"/>
    <w:rsid w:val="009B0BE5"/>
    <w:rsid w:val="009B0C68"/>
    <w:rsid w:val="009B1245"/>
    <w:rsid w:val="009B13CF"/>
    <w:rsid w:val="009B13D9"/>
    <w:rsid w:val="009B1664"/>
    <w:rsid w:val="009B182D"/>
    <w:rsid w:val="009B18EF"/>
    <w:rsid w:val="009B1A74"/>
    <w:rsid w:val="009B27C4"/>
    <w:rsid w:val="009B36AC"/>
    <w:rsid w:val="009B3876"/>
    <w:rsid w:val="009B4205"/>
    <w:rsid w:val="009B42D9"/>
    <w:rsid w:val="009B4D85"/>
    <w:rsid w:val="009B5013"/>
    <w:rsid w:val="009B66D4"/>
    <w:rsid w:val="009B70F7"/>
    <w:rsid w:val="009B7574"/>
    <w:rsid w:val="009B76C8"/>
    <w:rsid w:val="009B79F5"/>
    <w:rsid w:val="009B7E26"/>
    <w:rsid w:val="009C0369"/>
    <w:rsid w:val="009C0377"/>
    <w:rsid w:val="009C050B"/>
    <w:rsid w:val="009C162B"/>
    <w:rsid w:val="009C1667"/>
    <w:rsid w:val="009C1800"/>
    <w:rsid w:val="009C1809"/>
    <w:rsid w:val="009C186D"/>
    <w:rsid w:val="009C1F8E"/>
    <w:rsid w:val="009C20BB"/>
    <w:rsid w:val="009C2349"/>
    <w:rsid w:val="009C2EB3"/>
    <w:rsid w:val="009C313E"/>
    <w:rsid w:val="009C331D"/>
    <w:rsid w:val="009C340B"/>
    <w:rsid w:val="009C34A1"/>
    <w:rsid w:val="009C3A6C"/>
    <w:rsid w:val="009C3EDC"/>
    <w:rsid w:val="009C3F94"/>
    <w:rsid w:val="009C418E"/>
    <w:rsid w:val="009C4A1F"/>
    <w:rsid w:val="009C5026"/>
    <w:rsid w:val="009C5468"/>
    <w:rsid w:val="009C58BB"/>
    <w:rsid w:val="009C5B8D"/>
    <w:rsid w:val="009C5F28"/>
    <w:rsid w:val="009C6332"/>
    <w:rsid w:val="009C6C4A"/>
    <w:rsid w:val="009C6E42"/>
    <w:rsid w:val="009C6FEF"/>
    <w:rsid w:val="009C71BD"/>
    <w:rsid w:val="009D046F"/>
    <w:rsid w:val="009D06F3"/>
    <w:rsid w:val="009D0B29"/>
    <w:rsid w:val="009D162E"/>
    <w:rsid w:val="009D1B97"/>
    <w:rsid w:val="009D1F4E"/>
    <w:rsid w:val="009D2050"/>
    <w:rsid w:val="009D2291"/>
    <w:rsid w:val="009D256D"/>
    <w:rsid w:val="009D279D"/>
    <w:rsid w:val="009D3608"/>
    <w:rsid w:val="009D37FA"/>
    <w:rsid w:val="009D399E"/>
    <w:rsid w:val="009D3B17"/>
    <w:rsid w:val="009D3B6E"/>
    <w:rsid w:val="009D3B81"/>
    <w:rsid w:val="009D3C77"/>
    <w:rsid w:val="009D4118"/>
    <w:rsid w:val="009D4D26"/>
    <w:rsid w:val="009D4EC6"/>
    <w:rsid w:val="009D5B25"/>
    <w:rsid w:val="009D5FE0"/>
    <w:rsid w:val="009D6702"/>
    <w:rsid w:val="009D7355"/>
    <w:rsid w:val="009D760B"/>
    <w:rsid w:val="009D7646"/>
    <w:rsid w:val="009D7693"/>
    <w:rsid w:val="009D771F"/>
    <w:rsid w:val="009E0153"/>
    <w:rsid w:val="009E07B4"/>
    <w:rsid w:val="009E142B"/>
    <w:rsid w:val="009E153C"/>
    <w:rsid w:val="009E158D"/>
    <w:rsid w:val="009E1CD9"/>
    <w:rsid w:val="009E1FFC"/>
    <w:rsid w:val="009E2C77"/>
    <w:rsid w:val="009E34DE"/>
    <w:rsid w:val="009E3572"/>
    <w:rsid w:val="009E38DA"/>
    <w:rsid w:val="009E3C13"/>
    <w:rsid w:val="009E3F65"/>
    <w:rsid w:val="009E41EB"/>
    <w:rsid w:val="009E4336"/>
    <w:rsid w:val="009E44CB"/>
    <w:rsid w:val="009E4C9D"/>
    <w:rsid w:val="009E4CF3"/>
    <w:rsid w:val="009E5095"/>
    <w:rsid w:val="009E50FC"/>
    <w:rsid w:val="009E577F"/>
    <w:rsid w:val="009E59D5"/>
    <w:rsid w:val="009E5F5B"/>
    <w:rsid w:val="009E6573"/>
    <w:rsid w:val="009E67EF"/>
    <w:rsid w:val="009E758B"/>
    <w:rsid w:val="009E78CF"/>
    <w:rsid w:val="009F0D59"/>
    <w:rsid w:val="009F0DE9"/>
    <w:rsid w:val="009F1108"/>
    <w:rsid w:val="009F1167"/>
    <w:rsid w:val="009F13E8"/>
    <w:rsid w:val="009F1435"/>
    <w:rsid w:val="009F157A"/>
    <w:rsid w:val="009F1AD3"/>
    <w:rsid w:val="009F1C90"/>
    <w:rsid w:val="009F1CBE"/>
    <w:rsid w:val="009F2253"/>
    <w:rsid w:val="009F2B01"/>
    <w:rsid w:val="009F2CDD"/>
    <w:rsid w:val="009F3372"/>
    <w:rsid w:val="009F382A"/>
    <w:rsid w:val="009F459A"/>
    <w:rsid w:val="009F4F63"/>
    <w:rsid w:val="009F4F9F"/>
    <w:rsid w:val="009F553A"/>
    <w:rsid w:val="009F5CBB"/>
    <w:rsid w:val="009F60AA"/>
    <w:rsid w:val="009F612C"/>
    <w:rsid w:val="009F640E"/>
    <w:rsid w:val="009F673E"/>
    <w:rsid w:val="009F6B5E"/>
    <w:rsid w:val="009F6FA2"/>
    <w:rsid w:val="009F72D5"/>
    <w:rsid w:val="009F74F6"/>
    <w:rsid w:val="009F753E"/>
    <w:rsid w:val="00A0034C"/>
    <w:rsid w:val="00A00BD5"/>
    <w:rsid w:val="00A01004"/>
    <w:rsid w:val="00A01A14"/>
    <w:rsid w:val="00A01F6F"/>
    <w:rsid w:val="00A02C00"/>
    <w:rsid w:val="00A02F4B"/>
    <w:rsid w:val="00A033BB"/>
    <w:rsid w:val="00A03952"/>
    <w:rsid w:val="00A03BC8"/>
    <w:rsid w:val="00A0463D"/>
    <w:rsid w:val="00A04E45"/>
    <w:rsid w:val="00A0560E"/>
    <w:rsid w:val="00A05703"/>
    <w:rsid w:val="00A060A0"/>
    <w:rsid w:val="00A060B6"/>
    <w:rsid w:val="00A0616C"/>
    <w:rsid w:val="00A06325"/>
    <w:rsid w:val="00A0652D"/>
    <w:rsid w:val="00A06B34"/>
    <w:rsid w:val="00A06CA4"/>
    <w:rsid w:val="00A071DA"/>
    <w:rsid w:val="00A07879"/>
    <w:rsid w:val="00A07C2B"/>
    <w:rsid w:val="00A07DB9"/>
    <w:rsid w:val="00A10903"/>
    <w:rsid w:val="00A10D69"/>
    <w:rsid w:val="00A113A5"/>
    <w:rsid w:val="00A11427"/>
    <w:rsid w:val="00A119F1"/>
    <w:rsid w:val="00A11C44"/>
    <w:rsid w:val="00A1237A"/>
    <w:rsid w:val="00A125D3"/>
    <w:rsid w:val="00A12602"/>
    <w:rsid w:val="00A1284E"/>
    <w:rsid w:val="00A1308F"/>
    <w:rsid w:val="00A134D6"/>
    <w:rsid w:val="00A1389F"/>
    <w:rsid w:val="00A13B3B"/>
    <w:rsid w:val="00A1446A"/>
    <w:rsid w:val="00A1461C"/>
    <w:rsid w:val="00A14892"/>
    <w:rsid w:val="00A148A5"/>
    <w:rsid w:val="00A14C61"/>
    <w:rsid w:val="00A157CB"/>
    <w:rsid w:val="00A15947"/>
    <w:rsid w:val="00A15EA3"/>
    <w:rsid w:val="00A165DB"/>
    <w:rsid w:val="00A16721"/>
    <w:rsid w:val="00A16801"/>
    <w:rsid w:val="00A1750A"/>
    <w:rsid w:val="00A17676"/>
    <w:rsid w:val="00A17E97"/>
    <w:rsid w:val="00A17FC0"/>
    <w:rsid w:val="00A200AF"/>
    <w:rsid w:val="00A201B5"/>
    <w:rsid w:val="00A20842"/>
    <w:rsid w:val="00A21529"/>
    <w:rsid w:val="00A2153D"/>
    <w:rsid w:val="00A22EEE"/>
    <w:rsid w:val="00A234BB"/>
    <w:rsid w:val="00A23987"/>
    <w:rsid w:val="00A23F97"/>
    <w:rsid w:val="00A244BC"/>
    <w:rsid w:val="00A244C8"/>
    <w:rsid w:val="00A24682"/>
    <w:rsid w:val="00A24909"/>
    <w:rsid w:val="00A24E73"/>
    <w:rsid w:val="00A25917"/>
    <w:rsid w:val="00A260FF"/>
    <w:rsid w:val="00A26190"/>
    <w:rsid w:val="00A262DF"/>
    <w:rsid w:val="00A2661E"/>
    <w:rsid w:val="00A2683A"/>
    <w:rsid w:val="00A26EE5"/>
    <w:rsid w:val="00A271C5"/>
    <w:rsid w:val="00A2739B"/>
    <w:rsid w:val="00A276DA"/>
    <w:rsid w:val="00A278AA"/>
    <w:rsid w:val="00A27F5D"/>
    <w:rsid w:val="00A30453"/>
    <w:rsid w:val="00A307C0"/>
    <w:rsid w:val="00A31145"/>
    <w:rsid w:val="00A314CF"/>
    <w:rsid w:val="00A316B4"/>
    <w:rsid w:val="00A323EA"/>
    <w:rsid w:val="00A32445"/>
    <w:rsid w:val="00A327AF"/>
    <w:rsid w:val="00A32D63"/>
    <w:rsid w:val="00A32DC7"/>
    <w:rsid w:val="00A3316B"/>
    <w:rsid w:val="00A33A15"/>
    <w:rsid w:val="00A33D08"/>
    <w:rsid w:val="00A33F98"/>
    <w:rsid w:val="00A341F4"/>
    <w:rsid w:val="00A342BC"/>
    <w:rsid w:val="00A34A06"/>
    <w:rsid w:val="00A35656"/>
    <w:rsid w:val="00A35B2F"/>
    <w:rsid w:val="00A35DA9"/>
    <w:rsid w:val="00A36507"/>
    <w:rsid w:val="00A368EE"/>
    <w:rsid w:val="00A36A47"/>
    <w:rsid w:val="00A36ABB"/>
    <w:rsid w:val="00A36DC8"/>
    <w:rsid w:val="00A37463"/>
    <w:rsid w:val="00A3763D"/>
    <w:rsid w:val="00A406F5"/>
    <w:rsid w:val="00A40791"/>
    <w:rsid w:val="00A409C0"/>
    <w:rsid w:val="00A40ABC"/>
    <w:rsid w:val="00A40E1B"/>
    <w:rsid w:val="00A41292"/>
    <w:rsid w:val="00A41714"/>
    <w:rsid w:val="00A41800"/>
    <w:rsid w:val="00A41CE5"/>
    <w:rsid w:val="00A42170"/>
    <w:rsid w:val="00A42228"/>
    <w:rsid w:val="00A42E84"/>
    <w:rsid w:val="00A43FC8"/>
    <w:rsid w:val="00A4400F"/>
    <w:rsid w:val="00A4468A"/>
    <w:rsid w:val="00A446B2"/>
    <w:rsid w:val="00A44D89"/>
    <w:rsid w:val="00A45070"/>
    <w:rsid w:val="00A45896"/>
    <w:rsid w:val="00A45B59"/>
    <w:rsid w:val="00A45BC9"/>
    <w:rsid w:val="00A46A63"/>
    <w:rsid w:val="00A4763D"/>
    <w:rsid w:val="00A478E1"/>
    <w:rsid w:val="00A47914"/>
    <w:rsid w:val="00A47BC4"/>
    <w:rsid w:val="00A5049D"/>
    <w:rsid w:val="00A50605"/>
    <w:rsid w:val="00A507F4"/>
    <w:rsid w:val="00A5092E"/>
    <w:rsid w:val="00A50CE8"/>
    <w:rsid w:val="00A510C9"/>
    <w:rsid w:val="00A5165C"/>
    <w:rsid w:val="00A51B5D"/>
    <w:rsid w:val="00A51CCB"/>
    <w:rsid w:val="00A525BC"/>
    <w:rsid w:val="00A528D0"/>
    <w:rsid w:val="00A53674"/>
    <w:rsid w:val="00A54010"/>
    <w:rsid w:val="00A54783"/>
    <w:rsid w:val="00A54CB2"/>
    <w:rsid w:val="00A54CE2"/>
    <w:rsid w:val="00A54EA1"/>
    <w:rsid w:val="00A5506B"/>
    <w:rsid w:val="00A556C5"/>
    <w:rsid w:val="00A557BC"/>
    <w:rsid w:val="00A558B2"/>
    <w:rsid w:val="00A55961"/>
    <w:rsid w:val="00A55C1E"/>
    <w:rsid w:val="00A562FC"/>
    <w:rsid w:val="00A56409"/>
    <w:rsid w:val="00A565D7"/>
    <w:rsid w:val="00A568B4"/>
    <w:rsid w:val="00A56E62"/>
    <w:rsid w:val="00A5767D"/>
    <w:rsid w:val="00A579BA"/>
    <w:rsid w:val="00A57B4E"/>
    <w:rsid w:val="00A57B5B"/>
    <w:rsid w:val="00A60203"/>
    <w:rsid w:val="00A6089A"/>
    <w:rsid w:val="00A60DAD"/>
    <w:rsid w:val="00A61984"/>
    <w:rsid w:val="00A6234D"/>
    <w:rsid w:val="00A62AAE"/>
    <w:rsid w:val="00A63447"/>
    <w:rsid w:val="00A6349C"/>
    <w:rsid w:val="00A638C7"/>
    <w:rsid w:val="00A639C6"/>
    <w:rsid w:val="00A63A6D"/>
    <w:rsid w:val="00A65362"/>
    <w:rsid w:val="00A6576B"/>
    <w:rsid w:val="00A658FA"/>
    <w:rsid w:val="00A6652B"/>
    <w:rsid w:val="00A6692D"/>
    <w:rsid w:val="00A66FB9"/>
    <w:rsid w:val="00A673F8"/>
    <w:rsid w:val="00A6746F"/>
    <w:rsid w:val="00A67C46"/>
    <w:rsid w:val="00A702AA"/>
    <w:rsid w:val="00A7061D"/>
    <w:rsid w:val="00A70D64"/>
    <w:rsid w:val="00A71577"/>
    <w:rsid w:val="00A71578"/>
    <w:rsid w:val="00A727C0"/>
    <w:rsid w:val="00A72969"/>
    <w:rsid w:val="00A7296D"/>
    <w:rsid w:val="00A729D5"/>
    <w:rsid w:val="00A72ADC"/>
    <w:rsid w:val="00A72DCC"/>
    <w:rsid w:val="00A741DF"/>
    <w:rsid w:val="00A74200"/>
    <w:rsid w:val="00A7483F"/>
    <w:rsid w:val="00A75090"/>
    <w:rsid w:val="00A7533B"/>
    <w:rsid w:val="00A75715"/>
    <w:rsid w:val="00A7621E"/>
    <w:rsid w:val="00A76690"/>
    <w:rsid w:val="00A768FF"/>
    <w:rsid w:val="00A77835"/>
    <w:rsid w:val="00A801E7"/>
    <w:rsid w:val="00A80D10"/>
    <w:rsid w:val="00A812E2"/>
    <w:rsid w:val="00A81C00"/>
    <w:rsid w:val="00A81F75"/>
    <w:rsid w:val="00A820D0"/>
    <w:rsid w:val="00A822DA"/>
    <w:rsid w:val="00A82DF0"/>
    <w:rsid w:val="00A82EEF"/>
    <w:rsid w:val="00A82F55"/>
    <w:rsid w:val="00A82FBA"/>
    <w:rsid w:val="00A83AB2"/>
    <w:rsid w:val="00A84295"/>
    <w:rsid w:val="00A846D9"/>
    <w:rsid w:val="00A84A96"/>
    <w:rsid w:val="00A84BDB"/>
    <w:rsid w:val="00A84CA3"/>
    <w:rsid w:val="00A84D43"/>
    <w:rsid w:val="00A8504B"/>
    <w:rsid w:val="00A85CEC"/>
    <w:rsid w:val="00A864CE"/>
    <w:rsid w:val="00A866F8"/>
    <w:rsid w:val="00A8670F"/>
    <w:rsid w:val="00A869D5"/>
    <w:rsid w:val="00A86D9C"/>
    <w:rsid w:val="00A87239"/>
    <w:rsid w:val="00A8764A"/>
    <w:rsid w:val="00A87A45"/>
    <w:rsid w:val="00A87DE4"/>
    <w:rsid w:val="00A87E6D"/>
    <w:rsid w:val="00A87E7A"/>
    <w:rsid w:val="00A904B3"/>
    <w:rsid w:val="00A906B6"/>
    <w:rsid w:val="00A91897"/>
    <w:rsid w:val="00A919F2"/>
    <w:rsid w:val="00A91A50"/>
    <w:rsid w:val="00A91F7E"/>
    <w:rsid w:val="00A920FB"/>
    <w:rsid w:val="00A92B79"/>
    <w:rsid w:val="00A92BE2"/>
    <w:rsid w:val="00A92CCD"/>
    <w:rsid w:val="00A92E66"/>
    <w:rsid w:val="00A930A8"/>
    <w:rsid w:val="00A939C0"/>
    <w:rsid w:val="00A942F1"/>
    <w:rsid w:val="00A94719"/>
    <w:rsid w:val="00A94A89"/>
    <w:rsid w:val="00A94D0C"/>
    <w:rsid w:val="00A951A5"/>
    <w:rsid w:val="00A95A03"/>
    <w:rsid w:val="00A95CD4"/>
    <w:rsid w:val="00A95E44"/>
    <w:rsid w:val="00A967C9"/>
    <w:rsid w:val="00A96870"/>
    <w:rsid w:val="00A96983"/>
    <w:rsid w:val="00A969F4"/>
    <w:rsid w:val="00A96B2D"/>
    <w:rsid w:val="00A97337"/>
    <w:rsid w:val="00A97356"/>
    <w:rsid w:val="00A974DA"/>
    <w:rsid w:val="00A975F1"/>
    <w:rsid w:val="00A97F24"/>
    <w:rsid w:val="00AA09D8"/>
    <w:rsid w:val="00AA0FB3"/>
    <w:rsid w:val="00AA17CA"/>
    <w:rsid w:val="00AA1868"/>
    <w:rsid w:val="00AA21E2"/>
    <w:rsid w:val="00AA25C4"/>
    <w:rsid w:val="00AA2DC2"/>
    <w:rsid w:val="00AA362D"/>
    <w:rsid w:val="00AA37DD"/>
    <w:rsid w:val="00AA3B93"/>
    <w:rsid w:val="00AA4431"/>
    <w:rsid w:val="00AA4635"/>
    <w:rsid w:val="00AA4F5D"/>
    <w:rsid w:val="00AA58AA"/>
    <w:rsid w:val="00AA5C54"/>
    <w:rsid w:val="00AA5F9C"/>
    <w:rsid w:val="00AA6CB2"/>
    <w:rsid w:val="00AA7017"/>
    <w:rsid w:val="00AA71C8"/>
    <w:rsid w:val="00AA7215"/>
    <w:rsid w:val="00AA73AC"/>
    <w:rsid w:val="00AB0730"/>
    <w:rsid w:val="00AB08EF"/>
    <w:rsid w:val="00AB1090"/>
    <w:rsid w:val="00AB111E"/>
    <w:rsid w:val="00AB11FF"/>
    <w:rsid w:val="00AB12CF"/>
    <w:rsid w:val="00AB232B"/>
    <w:rsid w:val="00AB2C5D"/>
    <w:rsid w:val="00AB3479"/>
    <w:rsid w:val="00AB49B2"/>
    <w:rsid w:val="00AB4A16"/>
    <w:rsid w:val="00AB4A4B"/>
    <w:rsid w:val="00AB4D62"/>
    <w:rsid w:val="00AB4D98"/>
    <w:rsid w:val="00AB5100"/>
    <w:rsid w:val="00AB5587"/>
    <w:rsid w:val="00AB581B"/>
    <w:rsid w:val="00AB5A42"/>
    <w:rsid w:val="00AB6015"/>
    <w:rsid w:val="00AB6715"/>
    <w:rsid w:val="00AB67B1"/>
    <w:rsid w:val="00AB6944"/>
    <w:rsid w:val="00AB6BC1"/>
    <w:rsid w:val="00AB6C2B"/>
    <w:rsid w:val="00AB7711"/>
    <w:rsid w:val="00AB7DC5"/>
    <w:rsid w:val="00AB7EC3"/>
    <w:rsid w:val="00AC01B5"/>
    <w:rsid w:val="00AC0237"/>
    <w:rsid w:val="00AC02F8"/>
    <w:rsid w:val="00AC058C"/>
    <w:rsid w:val="00AC11A6"/>
    <w:rsid w:val="00AC12B5"/>
    <w:rsid w:val="00AC14C2"/>
    <w:rsid w:val="00AC189C"/>
    <w:rsid w:val="00AC198D"/>
    <w:rsid w:val="00AC1B26"/>
    <w:rsid w:val="00AC2007"/>
    <w:rsid w:val="00AC2553"/>
    <w:rsid w:val="00AC31E2"/>
    <w:rsid w:val="00AC3204"/>
    <w:rsid w:val="00AC326F"/>
    <w:rsid w:val="00AC3BAD"/>
    <w:rsid w:val="00AC3E22"/>
    <w:rsid w:val="00AC3E92"/>
    <w:rsid w:val="00AC3F2A"/>
    <w:rsid w:val="00AC3FD4"/>
    <w:rsid w:val="00AC4502"/>
    <w:rsid w:val="00AC462F"/>
    <w:rsid w:val="00AC48DD"/>
    <w:rsid w:val="00AC4BD6"/>
    <w:rsid w:val="00AC4DD2"/>
    <w:rsid w:val="00AC507D"/>
    <w:rsid w:val="00AC5082"/>
    <w:rsid w:val="00AC5512"/>
    <w:rsid w:val="00AC571A"/>
    <w:rsid w:val="00AC6549"/>
    <w:rsid w:val="00AC66A9"/>
    <w:rsid w:val="00AC66FD"/>
    <w:rsid w:val="00AC78AC"/>
    <w:rsid w:val="00AC7EF1"/>
    <w:rsid w:val="00AD076C"/>
    <w:rsid w:val="00AD09A8"/>
    <w:rsid w:val="00AD15F4"/>
    <w:rsid w:val="00AD28A3"/>
    <w:rsid w:val="00AD28F9"/>
    <w:rsid w:val="00AD2CD8"/>
    <w:rsid w:val="00AD3653"/>
    <w:rsid w:val="00AD3C28"/>
    <w:rsid w:val="00AD3EDA"/>
    <w:rsid w:val="00AD495E"/>
    <w:rsid w:val="00AD579E"/>
    <w:rsid w:val="00AD5810"/>
    <w:rsid w:val="00AD5C85"/>
    <w:rsid w:val="00AD5DD3"/>
    <w:rsid w:val="00AD60F7"/>
    <w:rsid w:val="00AD619D"/>
    <w:rsid w:val="00AD6248"/>
    <w:rsid w:val="00AD66A9"/>
    <w:rsid w:val="00AD6D44"/>
    <w:rsid w:val="00AD73CA"/>
    <w:rsid w:val="00AD7486"/>
    <w:rsid w:val="00AD74BE"/>
    <w:rsid w:val="00AD75CE"/>
    <w:rsid w:val="00AD767E"/>
    <w:rsid w:val="00AD7694"/>
    <w:rsid w:val="00AD78B1"/>
    <w:rsid w:val="00AD7B9B"/>
    <w:rsid w:val="00AD7DA2"/>
    <w:rsid w:val="00AE002B"/>
    <w:rsid w:val="00AE022D"/>
    <w:rsid w:val="00AE081A"/>
    <w:rsid w:val="00AE0C38"/>
    <w:rsid w:val="00AE0F59"/>
    <w:rsid w:val="00AE1944"/>
    <w:rsid w:val="00AE1A53"/>
    <w:rsid w:val="00AE1AE0"/>
    <w:rsid w:val="00AE2411"/>
    <w:rsid w:val="00AE2568"/>
    <w:rsid w:val="00AE272E"/>
    <w:rsid w:val="00AE2A62"/>
    <w:rsid w:val="00AE2CE5"/>
    <w:rsid w:val="00AE2D88"/>
    <w:rsid w:val="00AE2DC5"/>
    <w:rsid w:val="00AE2FEF"/>
    <w:rsid w:val="00AE3192"/>
    <w:rsid w:val="00AE3265"/>
    <w:rsid w:val="00AE3D95"/>
    <w:rsid w:val="00AE4510"/>
    <w:rsid w:val="00AE49CE"/>
    <w:rsid w:val="00AE4D7A"/>
    <w:rsid w:val="00AE4E95"/>
    <w:rsid w:val="00AE69A1"/>
    <w:rsid w:val="00AE6C1F"/>
    <w:rsid w:val="00AE7238"/>
    <w:rsid w:val="00AE7654"/>
    <w:rsid w:val="00AE792E"/>
    <w:rsid w:val="00AE7CE3"/>
    <w:rsid w:val="00AE7EC0"/>
    <w:rsid w:val="00AE7FFD"/>
    <w:rsid w:val="00AF041B"/>
    <w:rsid w:val="00AF043C"/>
    <w:rsid w:val="00AF1084"/>
    <w:rsid w:val="00AF22E6"/>
    <w:rsid w:val="00AF2DBA"/>
    <w:rsid w:val="00AF2E85"/>
    <w:rsid w:val="00AF30DD"/>
    <w:rsid w:val="00AF33A6"/>
    <w:rsid w:val="00AF3C99"/>
    <w:rsid w:val="00AF3D54"/>
    <w:rsid w:val="00AF3E30"/>
    <w:rsid w:val="00AF456B"/>
    <w:rsid w:val="00AF487B"/>
    <w:rsid w:val="00AF492D"/>
    <w:rsid w:val="00AF4BD8"/>
    <w:rsid w:val="00AF4EB3"/>
    <w:rsid w:val="00AF4EBA"/>
    <w:rsid w:val="00AF5250"/>
    <w:rsid w:val="00AF559E"/>
    <w:rsid w:val="00AF5B2E"/>
    <w:rsid w:val="00AF5B70"/>
    <w:rsid w:val="00AF5C47"/>
    <w:rsid w:val="00AF6319"/>
    <w:rsid w:val="00AF64C8"/>
    <w:rsid w:val="00AF709A"/>
    <w:rsid w:val="00AF7BF5"/>
    <w:rsid w:val="00AF7FA9"/>
    <w:rsid w:val="00B00093"/>
    <w:rsid w:val="00B002C3"/>
    <w:rsid w:val="00B004A5"/>
    <w:rsid w:val="00B0075F"/>
    <w:rsid w:val="00B0080B"/>
    <w:rsid w:val="00B00AED"/>
    <w:rsid w:val="00B00B30"/>
    <w:rsid w:val="00B00C28"/>
    <w:rsid w:val="00B01029"/>
    <w:rsid w:val="00B01833"/>
    <w:rsid w:val="00B01D42"/>
    <w:rsid w:val="00B0213D"/>
    <w:rsid w:val="00B023CC"/>
    <w:rsid w:val="00B0266A"/>
    <w:rsid w:val="00B026D0"/>
    <w:rsid w:val="00B027D3"/>
    <w:rsid w:val="00B02D6A"/>
    <w:rsid w:val="00B03325"/>
    <w:rsid w:val="00B03339"/>
    <w:rsid w:val="00B037C3"/>
    <w:rsid w:val="00B03AD2"/>
    <w:rsid w:val="00B03CDE"/>
    <w:rsid w:val="00B04670"/>
    <w:rsid w:val="00B04A2E"/>
    <w:rsid w:val="00B04A89"/>
    <w:rsid w:val="00B04B23"/>
    <w:rsid w:val="00B04BBD"/>
    <w:rsid w:val="00B050FD"/>
    <w:rsid w:val="00B0530E"/>
    <w:rsid w:val="00B060C6"/>
    <w:rsid w:val="00B061D2"/>
    <w:rsid w:val="00B06B29"/>
    <w:rsid w:val="00B06CFF"/>
    <w:rsid w:val="00B076EC"/>
    <w:rsid w:val="00B07EC6"/>
    <w:rsid w:val="00B10270"/>
    <w:rsid w:val="00B102BA"/>
    <w:rsid w:val="00B109A9"/>
    <w:rsid w:val="00B10DEF"/>
    <w:rsid w:val="00B112C4"/>
    <w:rsid w:val="00B1172B"/>
    <w:rsid w:val="00B11C78"/>
    <w:rsid w:val="00B120BF"/>
    <w:rsid w:val="00B1303E"/>
    <w:rsid w:val="00B130D9"/>
    <w:rsid w:val="00B1331F"/>
    <w:rsid w:val="00B133E6"/>
    <w:rsid w:val="00B142B9"/>
    <w:rsid w:val="00B14638"/>
    <w:rsid w:val="00B14F2A"/>
    <w:rsid w:val="00B14FAF"/>
    <w:rsid w:val="00B1540A"/>
    <w:rsid w:val="00B15547"/>
    <w:rsid w:val="00B15674"/>
    <w:rsid w:val="00B15D7C"/>
    <w:rsid w:val="00B16A36"/>
    <w:rsid w:val="00B16DF7"/>
    <w:rsid w:val="00B16FF4"/>
    <w:rsid w:val="00B172C3"/>
    <w:rsid w:val="00B17395"/>
    <w:rsid w:val="00B177B4"/>
    <w:rsid w:val="00B17AF0"/>
    <w:rsid w:val="00B202F4"/>
    <w:rsid w:val="00B205F6"/>
    <w:rsid w:val="00B21131"/>
    <w:rsid w:val="00B2146A"/>
    <w:rsid w:val="00B21954"/>
    <w:rsid w:val="00B21D6D"/>
    <w:rsid w:val="00B21E68"/>
    <w:rsid w:val="00B22179"/>
    <w:rsid w:val="00B226AF"/>
    <w:rsid w:val="00B2297E"/>
    <w:rsid w:val="00B22D61"/>
    <w:rsid w:val="00B22E70"/>
    <w:rsid w:val="00B23280"/>
    <w:rsid w:val="00B239BF"/>
    <w:rsid w:val="00B240F8"/>
    <w:rsid w:val="00B25D6A"/>
    <w:rsid w:val="00B25DCC"/>
    <w:rsid w:val="00B26081"/>
    <w:rsid w:val="00B260A2"/>
    <w:rsid w:val="00B262C9"/>
    <w:rsid w:val="00B26797"/>
    <w:rsid w:val="00B26D89"/>
    <w:rsid w:val="00B26D9F"/>
    <w:rsid w:val="00B27074"/>
    <w:rsid w:val="00B272E3"/>
    <w:rsid w:val="00B273CD"/>
    <w:rsid w:val="00B2747C"/>
    <w:rsid w:val="00B27E2E"/>
    <w:rsid w:val="00B30A6B"/>
    <w:rsid w:val="00B30BC9"/>
    <w:rsid w:val="00B30D82"/>
    <w:rsid w:val="00B30ED2"/>
    <w:rsid w:val="00B3163A"/>
    <w:rsid w:val="00B3223C"/>
    <w:rsid w:val="00B328AB"/>
    <w:rsid w:val="00B328E0"/>
    <w:rsid w:val="00B32C68"/>
    <w:rsid w:val="00B330C5"/>
    <w:rsid w:val="00B33170"/>
    <w:rsid w:val="00B33752"/>
    <w:rsid w:val="00B3380D"/>
    <w:rsid w:val="00B33E18"/>
    <w:rsid w:val="00B34761"/>
    <w:rsid w:val="00B34F6A"/>
    <w:rsid w:val="00B35091"/>
    <w:rsid w:val="00B35920"/>
    <w:rsid w:val="00B35C9F"/>
    <w:rsid w:val="00B36207"/>
    <w:rsid w:val="00B366BC"/>
    <w:rsid w:val="00B36950"/>
    <w:rsid w:val="00B37882"/>
    <w:rsid w:val="00B37A37"/>
    <w:rsid w:val="00B37A3E"/>
    <w:rsid w:val="00B37ABC"/>
    <w:rsid w:val="00B4002E"/>
    <w:rsid w:val="00B40182"/>
    <w:rsid w:val="00B40200"/>
    <w:rsid w:val="00B408DD"/>
    <w:rsid w:val="00B40A5D"/>
    <w:rsid w:val="00B40BB5"/>
    <w:rsid w:val="00B40E10"/>
    <w:rsid w:val="00B40E77"/>
    <w:rsid w:val="00B40FC6"/>
    <w:rsid w:val="00B410F6"/>
    <w:rsid w:val="00B41142"/>
    <w:rsid w:val="00B41175"/>
    <w:rsid w:val="00B4168B"/>
    <w:rsid w:val="00B426D3"/>
    <w:rsid w:val="00B42B36"/>
    <w:rsid w:val="00B42EC0"/>
    <w:rsid w:val="00B42EEE"/>
    <w:rsid w:val="00B432C4"/>
    <w:rsid w:val="00B433A2"/>
    <w:rsid w:val="00B43470"/>
    <w:rsid w:val="00B43EE4"/>
    <w:rsid w:val="00B44091"/>
    <w:rsid w:val="00B442F2"/>
    <w:rsid w:val="00B4431E"/>
    <w:rsid w:val="00B44FAB"/>
    <w:rsid w:val="00B44FDF"/>
    <w:rsid w:val="00B458B6"/>
    <w:rsid w:val="00B45B68"/>
    <w:rsid w:val="00B45E15"/>
    <w:rsid w:val="00B46793"/>
    <w:rsid w:val="00B46973"/>
    <w:rsid w:val="00B46A70"/>
    <w:rsid w:val="00B46B52"/>
    <w:rsid w:val="00B46EEB"/>
    <w:rsid w:val="00B4714F"/>
    <w:rsid w:val="00B47A2C"/>
    <w:rsid w:val="00B47F71"/>
    <w:rsid w:val="00B5009F"/>
    <w:rsid w:val="00B50CBA"/>
    <w:rsid w:val="00B50CEA"/>
    <w:rsid w:val="00B50E67"/>
    <w:rsid w:val="00B50F6E"/>
    <w:rsid w:val="00B51309"/>
    <w:rsid w:val="00B51600"/>
    <w:rsid w:val="00B51B34"/>
    <w:rsid w:val="00B52724"/>
    <w:rsid w:val="00B52F8E"/>
    <w:rsid w:val="00B530D3"/>
    <w:rsid w:val="00B535E0"/>
    <w:rsid w:val="00B53849"/>
    <w:rsid w:val="00B5398C"/>
    <w:rsid w:val="00B53D64"/>
    <w:rsid w:val="00B53D84"/>
    <w:rsid w:val="00B53DE2"/>
    <w:rsid w:val="00B53F27"/>
    <w:rsid w:val="00B54088"/>
    <w:rsid w:val="00B542C2"/>
    <w:rsid w:val="00B54809"/>
    <w:rsid w:val="00B54DFD"/>
    <w:rsid w:val="00B550CE"/>
    <w:rsid w:val="00B552DE"/>
    <w:rsid w:val="00B55DF0"/>
    <w:rsid w:val="00B55FCC"/>
    <w:rsid w:val="00B56435"/>
    <w:rsid w:val="00B56538"/>
    <w:rsid w:val="00B56956"/>
    <w:rsid w:val="00B570C3"/>
    <w:rsid w:val="00B577C5"/>
    <w:rsid w:val="00B57984"/>
    <w:rsid w:val="00B57D79"/>
    <w:rsid w:val="00B60647"/>
    <w:rsid w:val="00B60955"/>
    <w:rsid w:val="00B61044"/>
    <w:rsid w:val="00B6124E"/>
    <w:rsid w:val="00B61BE3"/>
    <w:rsid w:val="00B628A7"/>
    <w:rsid w:val="00B63A7C"/>
    <w:rsid w:val="00B63AEC"/>
    <w:rsid w:val="00B63CF7"/>
    <w:rsid w:val="00B64567"/>
    <w:rsid w:val="00B64C50"/>
    <w:rsid w:val="00B64CCC"/>
    <w:rsid w:val="00B65145"/>
    <w:rsid w:val="00B6581E"/>
    <w:rsid w:val="00B6585B"/>
    <w:rsid w:val="00B65C99"/>
    <w:rsid w:val="00B65DB1"/>
    <w:rsid w:val="00B66015"/>
    <w:rsid w:val="00B66446"/>
    <w:rsid w:val="00B66687"/>
    <w:rsid w:val="00B66EB5"/>
    <w:rsid w:val="00B67BB3"/>
    <w:rsid w:val="00B67E52"/>
    <w:rsid w:val="00B70180"/>
    <w:rsid w:val="00B7058C"/>
    <w:rsid w:val="00B708DE"/>
    <w:rsid w:val="00B71138"/>
    <w:rsid w:val="00B718D2"/>
    <w:rsid w:val="00B7234F"/>
    <w:rsid w:val="00B723EA"/>
    <w:rsid w:val="00B724E0"/>
    <w:rsid w:val="00B7260A"/>
    <w:rsid w:val="00B7269C"/>
    <w:rsid w:val="00B728B6"/>
    <w:rsid w:val="00B72D86"/>
    <w:rsid w:val="00B730C5"/>
    <w:rsid w:val="00B73729"/>
    <w:rsid w:val="00B737C6"/>
    <w:rsid w:val="00B73BAC"/>
    <w:rsid w:val="00B73EDB"/>
    <w:rsid w:val="00B7457A"/>
    <w:rsid w:val="00B74597"/>
    <w:rsid w:val="00B74AC1"/>
    <w:rsid w:val="00B74B6A"/>
    <w:rsid w:val="00B75676"/>
    <w:rsid w:val="00B75DE1"/>
    <w:rsid w:val="00B76C1C"/>
    <w:rsid w:val="00B77015"/>
    <w:rsid w:val="00B77159"/>
    <w:rsid w:val="00B77527"/>
    <w:rsid w:val="00B77AC6"/>
    <w:rsid w:val="00B77B7D"/>
    <w:rsid w:val="00B77BFE"/>
    <w:rsid w:val="00B77F3E"/>
    <w:rsid w:val="00B80F88"/>
    <w:rsid w:val="00B80FDF"/>
    <w:rsid w:val="00B80FED"/>
    <w:rsid w:val="00B81578"/>
    <w:rsid w:val="00B817ED"/>
    <w:rsid w:val="00B81DDD"/>
    <w:rsid w:val="00B81ED7"/>
    <w:rsid w:val="00B825A2"/>
    <w:rsid w:val="00B829F2"/>
    <w:rsid w:val="00B82FD7"/>
    <w:rsid w:val="00B832E8"/>
    <w:rsid w:val="00B838C6"/>
    <w:rsid w:val="00B83D8A"/>
    <w:rsid w:val="00B841BB"/>
    <w:rsid w:val="00B84778"/>
    <w:rsid w:val="00B849B8"/>
    <w:rsid w:val="00B85504"/>
    <w:rsid w:val="00B85727"/>
    <w:rsid w:val="00B85BF9"/>
    <w:rsid w:val="00B86112"/>
    <w:rsid w:val="00B8678A"/>
    <w:rsid w:val="00B86E64"/>
    <w:rsid w:val="00B8710C"/>
    <w:rsid w:val="00B87133"/>
    <w:rsid w:val="00B87FDA"/>
    <w:rsid w:val="00B905A5"/>
    <w:rsid w:val="00B90C0D"/>
    <w:rsid w:val="00B90F89"/>
    <w:rsid w:val="00B911CA"/>
    <w:rsid w:val="00B91803"/>
    <w:rsid w:val="00B91AB3"/>
    <w:rsid w:val="00B91C64"/>
    <w:rsid w:val="00B9233F"/>
    <w:rsid w:val="00B92CF9"/>
    <w:rsid w:val="00B9304B"/>
    <w:rsid w:val="00B931F8"/>
    <w:rsid w:val="00B93CB0"/>
    <w:rsid w:val="00B941FB"/>
    <w:rsid w:val="00B9437E"/>
    <w:rsid w:val="00B944AD"/>
    <w:rsid w:val="00B95B7A"/>
    <w:rsid w:val="00B95D46"/>
    <w:rsid w:val="00B96246"/>
    <w:rsid w:val="00B968D9"/>
    <w:rsid w:val="00B96D9C"/>
    <w:rsid w:val="00B97082"/>
    <w:rsid w:val="00B970DB"/>
    <w:rsid w:val="00B972BA"/>
    <w:rsid w:val="00B97E04"/>
    <w:rsid w:val="00BA0024"/>
    <w:rsid w:val="00BA08B5"/>
    <w:rsid w:val="00BA091D"/>
    <w:rsid w:val="00BA09FB"/>
    <w:rsid w:val="00BA0ACA"/>
    <w:rsid w:val="00BA0C25"/>
    <w:rsid w:val="00BA0C9A"/>
    <w:rsid w:val="00BA0F8A"/>
    <w:rsid w:val="00BA1D86"/>
    <w:rsid w:val="00BA1FD2"/>
    <w:rsid w:val="00BA2015"/>
    <w:rsid w:val="00BA2548"/>
    <w:rsid w:val="00BA2619"/>
    <w:rsid w:val="00BA2C3B"/>
    <w:rsid w:val="00BA2C87"/>
    <w:rsid w:val="00BA2EA8"/>
    <w:rsid w:val="00BA3DB2"/>
    <w:rsid w:val="00BA4F87"/>
    <w:rsid w:val="00BA5B0A"/>
    <w:rsid w:val="00BA5B8A"/>
    <w:rsid w:val="00BA5E33"/>
    <w:rsid w:val="00BA6D08"/>
    <w:rsid w:val="00BA75EA"/>
    <w:rsid w:val="00BA7883"/>
    <w:rsid w:val="00BA7A14"/>
    <w:rsid w:val="00BA7BF2"/>
    <w:rsid w:val="00BB02FA"/>
    <w:rsid w:val="00BB099C"/>
    <w:rsid w:val="00BB0E3A"/>
    <w:rsid w:val="00BB10CD"/>
    <w:rsid w:val="00BB10EB"/>
    <w:rsid w:val="00BB1536"/>
    <w:rsid w:val="00BB186D"/>
    <w:rsid w:val="00BB1EB3"/>
    <w:rsid w:val="00BB1F00"/>
    <w:rsid w:val="00BB2112"/>
    <w:rsid w:val="00BB36D0"/>
    <w:rsid w:val="00BB37C4"/>
    <w:rsid w:val="00BB3953"/>
    <w:rsid w:val="00BB4BC3"/>
    <w:rsid w:val="00BB4F0E"/>
    <w:rsid w:val="00BB50A9"/>
    <w:rsid w:val="00BB5877"/>
    <w:rsid w:val="00BB62B5"/>
    <w:rsid w:val="00BB6339"/>
    <w:rsid w:val="00BB6493"/>
    <w:rsid w:val="00BB658B"/>
    <w:rsid w:val="00BB65B4"/>
    <w:rsid w:val="00BB683B"/>
    <w:rsid w:val="00BB721E"/>
    <w:rsid w:val="00BB7566"/>
    <w:rsid w:val="00BB7AD0"/>
    <w:rsid w:val="00BB7E29"/>
    <w:rsid w:val="00BC0643"/>
    <w:rsid w:val="00BC13C7"/>
    <w:rsid w:val="00BC1593"/>
    <w:rsid w:val="00BC1A66"/>
    <w:rsid w:val="00BC1BD1"/>
    <w:rsid w:val="00BC1DEA"/>
    <w:rsid w:val="00BC2160"/>
    <w:rsid w:val="00BC21D6"/>
    <w:rsid w:val="00BC2218"/>
    <w:rsid w:val="00BC22CC"/>
    <w:rsid w:val="00BC33A9"/>
    <w:rsid w:val="00BC3908"/>
    <w:rsid w:val="00BC3AF1"/>
    <w:rsid w:val="00BC3B20"/>
    <w:rsid w:val="00BC3F37"/>
    <w:rsid w:val="00BC41F1"/>
    <w:rsid w:val="00BC44DE"/>
    <w:rsid w:val="00BC458C"/>
    <w:rsid w:val="00BC498A"/>
    <w:rsid w:val="00BC4C0C"/>
    <w:rsid w:val="00BC5148"/>
    <w:rsid w:val="00BC52DF"/>
    <w:rsid w:val="00BC5448"/>
    <w:rsid w:val="00BC5754"/>
    <w:rsid w:val="00BC6240"/>
    <w:rsid w:val="00BC66D7"/>
    <w:rsid w:val="00BC6D66"/>
    <w:rsid w:val="00BC7046"/>
    <w:rsid w:val="00BC7C56"/>
    <w:rsid w:val="00BD12A8"/>
    <w:rsid w:val="00BD1438"/>
    <w:rsid w:val="00BD167D"/>
    <w:rsid w:val="00BD1B06"/>
    <w:rsid w:val="00BD1E02"/>
    <w:rsid w:val="00BD24A4"/>
    <w:rsid w:val="00BD301E"/>
    <w:rsid w:val="00BD3A14"/>
    <w:rsid w:val="00BD3FE7"/>
    <w:rsid w:val="00BD42CF"/>
    <w:rsid w:val="00BD4332"/>
    <w:rsid w:val="00BD44D3"/>
    <w:rsid w:val="00BD4A2A"/>
    <w:rsid w:val="00BD515D"/>
    <w:rsid w:val="00BD5609"/>
    <w:rsid w:val="00BD5E8C"/>
    <w:rsid w:val="00BD627D"/>
    <w:rsid w:val="00BD67FA"/>
    <w:rsid w:val="00BD6874"/>
    <w:rsid w:val="00BD72EF"/>
    <w:rsid w:val="00BD792B"/>
    <w:rsid w:val="00BE03D5"/>
    <w:rsid w:val="00BE0AAB"/>
    <w:rsid w:val="00BE0B63"/>
    <w:rsid w:val="00BE0B96"/>
    <w:rsid w:val="00BE0F28"/>
    <w:rsid w:val="00BE12BD"/>
    <w:rsid w:val="00BE130C"/>
    <w:rsid w:val="00BE2248"/>
    <w:rsid w:val="00BE26F9"/>
    <w:rsid w:val="00BE319A"/>
    <w:rsid w:val="00BE32BE"/>
    <w:rsid w:val="00BE32C5"/>
    <w:rsid w:val="00BE358C"/>
    <w:rsid w:val="00BE3D0F"/>
    <w:rsid w:val="00BE65CF"/>
    <w:rsid w:val="00BE6BB0"/>
    <w:rsid w:val="00BE6E5C"/>
    <w:rsid w:val="00BE714A"/>
    <w:rsid w:val="00BE75A8"/>
    <w:rsid w:val="00BF01BE"/>
    <w:rsid w:val="00BF01CE"/>
    <w:rsid w:val="00BF02C1"/>
    <w:rsid w:val="00BF0A05"/>
    <w:rsid w:val="00BF0C09"/>
    <w:rsid w:val="00BF1375"/>
    <w:rsid w:val="00BF14D4"/>
    <w:rsid w:val="00BF1DA5"/>
    <w:rsid w:val="00BF1DB6"/>
    <w:rsid w:val="00BF1E87"/>
    <w:rsid w:val="00BF1F4C"/>
    <w:rsid w:val="00BF332C"/>
    <w:rsid w:val="00BF3A79"/>
    <w:rsid w:val="00BF3B3D"/>
    <w:rsid w:val="00BF3CAA"/>
    <w:rsid w:val="00BF3DF5"/>
    <w:rsid w:val="00BF4046"/>
    <w:rsid w:val="00BF406B"/>
    <w:rsid w:val="00BF409A"/>
    <w:rsid w:val="00BF418C"/>
    <w:rsid w:val="00BF46D2"/>
    <w:rsid w:val="00BF48A2"/>
    <w:rsid w:val="00BF4C83"/>
    <w:rsid w:val="00BF4DD7"/>
    <w:rsid w:val="00BF57DE"/>
    <w:rsid w:val="00BF5F83"/>
    <w:rsid w:val="00BF6439"/>
    <w:rsid w:val="00BF64F0"/>
    <w:rsid w:val="00BF6515"/>
    <w:rsid w:val="00BF670D"/>
    <w:rsid w:val="00BF676C"/>
    <w:rsid w:val="00BF67FC"/>
    <w:rsid w:val="00BF68DE"/>
    <w:rsid w:val="00BF695F"/>
    <w:rsid w:val="00BF6D9B"/>
    <w:rsid w:val="00BF6F06"/>
    <w:rsid w:val="00BF6F79"/>
    <w:rsid w:val="00BF7149"/>
    <w:rsid w:val="00BF7B4D"/>
    <w:rsid w:val="00BF7CB7"/>
    <w:rsid w:val="00BF7D56"/>
    <w:rsid w:val="00C00215"/>
    <w:rsid w:val="00C01145"/>
    <w:rsid w:val="00C01247"/>
    <w:rsid w:val="00C013FA"/>
    <w:rsid w:val="00C01700"/>
    <w:rsid w:val="00C01A21"/>
    <w:rsid w:val="00C02AE8"/>
    <w:rsid w:val="00C03F66"/>
    <w:rsid w:val="00C040E9"/>
    <w:rsid w:val="00C0468B"/>
    <w:rsid w:val="00C060E2"/>
    <w:rsid w:val="00C061E3"/>
    <w:rsid w:val="00C0652A"/>
    <w:rsid w:val="00C06926"/>
    <w:rsid w:val="00C06C64"/>
    <w:rsid w:val="00C06D4A"/>
    <w:rsid w:val="00C06D4B"/>
    <w:rsid w:val="00C06FF1"/>
    <w:rsid w:val="00C07059"/>
    <w:rsid w:val="00C07775"/>
    <w:rsid w:val="00C07953"/>
    <w:rsid w:val="00C102D0"/>
    <w:rsid w:val="00C109E0"/>
    <w:rsid w:val="00C10C6C"/>
    <w:rsid w:val="00C112D9"/>
    <w:rsid w:val="00C11A80"/>
    <w:rsid w:val="00C12BEE"/>
    <w:rsid w:val="00C13086"/>
    <w:rsid w:val="00C130B8"/>
    <w:rsid w:val="00C13168"/>
    <w:rsid w:val="00C1369D"/>
    <w:rsid w:val="00C13960"/>
    <w:rsid w:val="00C13B94"/>
    <w:rsid w:val="00C13ED0"/>
    <w:rsid w:val="00C14055"/>
    <w:rsid w:val="00C14232"/>
    <w:rsid w:val="00C14EC1"/>
    <w:rsid w:val="00C151BC"/>
    <w:rsid w:val="00C1539A"/>
    <w:rsid w:val="00C15C69"/>
    <w:rsid w:val="00C15D95"/>
    <w:rsid w:val="00C161AA"/>
    <w:rsid w:val="00C161D2"/>
    <w:rsid w:val="00C168DA"/>
    <w:rsid w:val="00C16A70"/>
    <w:rsid w:val="00C16B05"/>
    <w:rsid w:val="00C16CB7"/>
    <w:rsid w:val="00C1782C"/>
    <w:rsid w:val="00C17BE9"/>
    <w:rsid w:val="00C17EB4"/>
    <w:rsid w:val="00C17FD3"/>
    <w:rsid w:val="00C2012C"/>
    <w:rsid w:val="00C2032C"/>
    <w:rsid w:val="00C20336"/>
    <w:rsid w:val="00C203DE"/>
    <w:rsid w:val="00C20542"/>
    <w:rsid w:val="00C21641"/>
    <w:rsid w:val="00C216CC"/>
    <w:rsid w:val="00C218E2"/>
    <w:rsid w:val="00C21EDC"/>
    <w:rsid w:val="00C221BE"/>
    <w:rsid w:val="00C22284"/>
    <w:rsid w:val="00C2287C"/>
    <w:rsid w:val="00C23F23"/>
    <w:rsid w:val="00C24844"/>
    <w:rsid w:val="00C24F36"/>
    <w:rsid w:val="00C2532F"/>
    <w:rsid w:val="00C25970"/>
    <w:rsid w:val="00C261F8"/>
    <w:rsid w:val="00C2654E"/>
    <w:rsid w:val="00C26A27"/>
    <w:rsid w:val="00C26E30"/>
    <w:rsid w:val="00C274CC"/>
    <w:rsid w:val="00C27611"/>
    <w:rsid w:val="00C27B26"/>
    <w:rsid w:val="00C3039D"/>
    <w:rsid w:val="00C30858"/>
    <w:rsid w:val="00C30D40"/>
    <w:rsid w:val="00C30D70"/>
    <w:rsid w:val="00C316AE"/>
    <w:rsid w:val="00C32392"/>
    <w:rsid w:val="00C32664"/>
    <w:rsid w:val="00C3271D"/>
    <w:rsid w:val="00C32FB2"/>
    <w:rsid w:val="00C330F0"/>
    <w:rsid w:val="00C3379C"/>
    <w:rsid w:val="00C35733"/>
    <w:rsid w:val="00C362D1"/>
    <w:rsid w:val="00C366DD"/>
    <w:rsid w:val="00C369D4"/>
    <w:rsid w:val="00C36C6E"/>
    <w:rsid w:val="00C36D37"/>
    <w:rsid w:val="00C374BB"/>
    <w:rsid w:val="00C37833"/>
    <w:rsid w:val="00C378D1"/>
    <w:rsid w:val="00C37957"/>
    <w:rsid w:val="00C406CD"/>
    <w:rsid w:val="00C40729"/>
    <w:rsid w:val="00C407EC"/>
    <w:rsid w:val="00C41A5D"/>
    <w:rsid w:val="00C41F73"/>
    <w:rsid w:val="00C42158"/>
    <w:rsid w:val="00C4246B"/>
    <w:rsid w:val="00C4288F"/>
    <w:rsid w:val="00C42BF7"/>
    <w:rsid w:val="00C433A3"/>
    <w:rsid w:val="00C43866"/>
    <w:rsid w:val="00C43A7C"/>
    <w:rsid w:val="00C43C87"/>
    <w:rsid w:val="00C441FB"/>
    <w:rsid w:val="00C4427A"/>
    <w:rsid w:val="00C44FC0"/>
    <w:rsid w:val="00C44FF9"/>
    <w:rsid w:val="00C4564E"/>
    <w:rsid w:val="00C459C1"/>
    <w:rsid w:val="00C45E40"/>
    <w:rsid w:val="00C463D5"/>
    <w:rsid w:val="00C466CB"/>
    <w:rsid w:val="00C46923"/>
    <w:rsid w:val="00C46D9A"/>
    <w:rsid w:val="00C479FB"/>
    <w:rsid w:val="00C501F2"/>
    <w:rsid w:val="00C50527"/>
    <w:rsid w:val="00C51015"/>
    <w:rsid w:val="00C5172D"/>
    <w:rsid w:val="00C51FE8"/>
    <w:rsid w:val="00C529B7"/>
    <w:rsid w:val="00C52BF9"/>
    <w:rsid w:val="00C52DD5"/>
    <w:rsid w:val="00C53625"/>
    <w:rsid w:val="00C536E8"/>
    <w:rsid w:val="00C53883"/>
    <w:rsid w:val="00C53B95"/>
    <w:rsid w:val="00C53BDA"/>
    <w:rsid w:val="00C54675"/>
    <w:rsid w:val="00C546B3"/>
    <w:rsid w:val="00C54A4D"/>
    <w:rsid w:val="00C54E8A"/>
    <w:rsid w:val="00C55194"/>
    <w:rsid w:val="00C556C5"/>
    <w:rsid w:val="00C55B8A"/>
    <w:rsid w:val="00C55FD0"/>
    <w:rsid w:val="00C56032"/>
    <w:rsid w:val="00C561D2"/>
    <w:rsid w:val="00C5678E"/>
    <w:rsid w:val="00C56E22"/>
    <w:rsid w:val="00C56E31"/>
    <w:rsid w:val="00C57621"/>
    <w:rsid w:val="00C5786A"/>
    <w:rsid w:val="00C5796D"/>
    <w:rsid w:val="00C57A48"/>
    <w:rsid w:val="00C57C2E"/>
    <w:rsid w:val="00C60742"/>
    <w:rsid w:val="00C610EA"/>
    <w:rsid w:val="00C615F5"/>
    <w:rsid w:val="00C61752"/>
    <w:rsid w:val="00C6213A"/>
    <w:rsid w:val="00C62776"/>
    <w:rsid w:val="00C6293E"/>
    <w:rsid w:val="00C62D8A"/>
    <w:rsid w:val="00C62E74"/>
    <w:rsid w:val="00C6310C"/>
    <w:rsid w:val="00C631CF"/>
    <w:rsid w:val="00C63463"/>
    <w:rsid w:val="00C6378D"/>
    <w:rsid w:val="00C64244"/>
    <w:rsid w:val="00C6442E"/>
    <w:rsid w:val="00C64BA6"/>
    <w:rsid w:val="00C654CE"/>
    <w:rsid w:val="00C65A7F"/>
    <w:rsid w:val="00C665BA"/>
    <w:rsid w:val="00C6680B"/>
    <w:rsid w:val="00C678A4"/>
    <w:rsid w:val="00C7038C"/>
    <w:rsid w:val="00C7077B"/>
    <w:rsid w:val="00C71201"/>
    <w:rsid w:val="00C71283"/>
    <w:rsid w:val="00C7133D"/>
    <w:rsid w:val="00C7192A"/>
    <w:rsid w:val="00C71932"/>
    <w:rsid w:val="00C71EC1"/>
    <w:rsid w:val="00C72142"/>
    <w:rsid w:val="00C727E7"/>
    <w:rsid w:val="00C728C2"/>
    <w:rsid w:val="00C72CE6"/>
    <w:rsid w:val="00C73058"/>
    <w:rsid w:val="00C730C6"/>
    <w:rsid w:val="00C731B6"/>
    <w:rsid w:val="00C73200"/>
    <w:rsid w:val="00C7340C"/>
    <w:rsid w:val="00C73C3A"/>
    <w:rsid w:val="00C7439A"/>
    <w:rsid w:val="00C744E0"/>
    <w:rsid w:val="00C74656"/>
    <w:rsid w:val="00C7475E"/>
    <w:rsid w:val="00C75B53"/>
    <w:rsid w:val="00C75D5B"/>
    <w:rsid w:val="00C76E1A"/>
    <w:rsid w:val="00C77104"/>
    <w:rsid w:val="00C77A8F"/>
    <w:rsid w:val="00C77DCD"/>
    <w:rsid w:val="00C77F16"/>
    <w:rsid w:val="00C80023"/>
    <w:rsid w:val="00C80979"/>
    <w:rsid w:val="00C810D2"/>
    <w:rsid w:val="00C811F0"/>
    <w:rsid w:val="00C81440"/>
    <w:rsid w:val="00C8145C"/>
    <w:rsid w:val="00C81920"/>
    <w:rsid w:val="00C8253A"/>
    <w:rsid w:val="00C82BA9"/>
    <w:rsid w:val="00C838EE"/>
    <w:rsid w:val="00C83961"/>
    <w:rsid w:val="00C83B0D"/>
    <w:rsid w:val="00C844D0"/>
    <w:rsid w:val="00C84708"/>
    <w:rsid w:val="00C84CC8"/>
    <w:rsid w:val="00C850B3"/>
    <w:rsid w:val="00C8564C"/>
    <w:rsid w:val="00C85801"/>
    <w:rsid w:val="00C85FAE"/>
    <w:rsid w:val="00C8635A"/>
    <w:rsid w:val="00C86FB6"/>
    <w:rsid w:val="00C8719E"/>
    <w:rsid w:val="00C87698"/>
    <w:rsid w:val="00C87F19"/>
    <w:rsid w:val="00C87F76"/>
    <w:rsid w:val="00C90444"/>
    <w:rsid w:val="00C90592"/>
    <w:rsid w:val="00C90723"/>
    <w:rsid w:val="00C90A15"/>
    <w:rsid w:val="00C90C6B"/>
    <w:rsid w:val="00C90F24"/>
    <w:rsid w:val="00C918A0"/>
    <w:rsid w:val="00C92307"/>
    <w:rsid w:val="00C92394"/>
    <w:rsid w:val="00C92500"/>
    <w:rsid w:val="00C92510"/>
    <w:rsid w:val="00C925AD"/>
    <w:rsid w:val="00C92BF5"/>
    <w:rsid w:val="00C93176"/>
    <w:rsid w:val="00C93952"/>
    <w:rsid w:val="00C9395F"/>
    <w:rsid w:val="00C93DCF"/>
    <w:rsid w:val="00C94BB4"/>
    <w:rsid w:val="00C94BB9"/>
    <w:rsid w:val="00C94ECC"/>
    <w:rsid w:val="00C9501F"/>
    <w:rsid w:val="00C95529"/>
    <w:rsid w:val="00C955CA"/>
    <w:rsid w:val="00C95879"/>
    <w:rsid w:val="00C95B48"/>
    <w:rsid w:val="00C95BDD"/>
    <w:rsid w:val="00C95E5C"/>
    <w:rsid w:val="00C9638D"/>
    <w:rsid w:val="00C96458"/>
    <w:rsid w:val="00C96629"/>
    <w:rsid w:val="00C96F9D"/>
    <w:rsid w:val="00C970B6"/>
    <w:rsid w:val="00C972DE"/>
    <w:rsid w:val="00C973DC"/>
    <w:rsid w:val="00C97C60"/>
    <w:rsid w:val="00CA08AA"/>
    <w:rsid w:val="00CA0D85"/>
    <w:rsid w:val="00CA0EF3"/>
    <w:rsid w:val="00CA14DD"/>
    <w:rsid w:val="00CA19F8"/>
    <w:rsid w:val="00CA1D2C"/>
    <w:rsid w:val="00CA2591"/>
    <w:rsid w:val="00CA278D"/>
    <w:rsid w:val="00CA297D"/>
    <w:rsid w:val="00CA31B5"/>
    <w:rsid w:val="00CA38AD"/>
    <w:rsid w:val="00CA3ED1"/>
    <w:rsid w:val="00CA46C4"/>
    <w:rsid w:val="00CA4E7B"/>
    <w:rsid w:val="00CA5777"/>
    <w:rsid w:val="00CA5A17"/>
    <w:rsid w:val="00CA5EC4"/>
    <w:rsid w:val="00CA6389"/>
    <w:rsid w:val="00CA63C0"/>
    <w:rsid w:val="00CA64AD"/>
    <w:rsid w:val="00CA6772"/>
    <w:rsid w:val="00CA699F"/>
    <w:rsid w:val="00CA7301"/>
    <w:rsid w:val="00CA7CF9"/>
    <w:rsid w:val="00CB0385"/>
    <w:rsid w:val="00CB0A61"/>
    <w:rsid w:val="00CB0B7D"/>
    <w:rsid w:val="00CB1448"/>
    <w:rsid w:val="00CB1D88"/>
    <w:rsid w:val="00CB1F87"/>
    <w:rsid w:val="00CB23C4"/>
    <w:rsid w:val="00CB28B5"/>
    <w:rsid w:val="00CB2A46"/>
    <w:rsid w:val="00CB373C"/>
    <w:rsid w:val="00CB44A1"/>
    <w:rsid w:val="00CB4538"/>
    <w:rsid w:val="00CB4742"/>
    <w:rsid w:val="00CB4F40"/>
    <w:rsid w:val="00CB5655"/>
    <w:rsid w:val="00CB5C69"/>
    <w:rsid w:val="00CB688D"/>
    <w:rsid w:val="00CB6984"/>
    <w:rsid w:val="00CB6B0C"/>
    <w:rsid w:val="00CB6C04"/>
    <w:rsid w:val="00CB70F1"/>
    <w:rsid w:val="00CB71F9"/>
    <w:rsid w:val="00CB7270"/>
    <w:rsid w:val="00CB7729"/>
    <w:rsid w:val="00CC0204"/>
    <w:rsid w:val="00CC05B9"/>
    <w:rsid w:val="00CC1111"/>
    <w:rsid w:val="00CC11BF"/>
    <w:rsid w:val="00CC12A8"/>
    <w:rsid w:val="00CC1D33"/>
    <w:rsid w:val="00CC1FEA"/>
    <w:rsid w:val="00CC24B9"/>
    <w:rsid w:val="00CC2F7D"/>
    <w:rsid w:val="00CC37C7"/>
    <w:rsid w:val="00CC3B9F"/>
    <w:rsid w:val="00CC3DC8"/>
    <w:rsid w:val="00CC444C"/>
    <w:rsid w:val="00CC4B65"/>
    <w:rsid w:val="00CC4C93"/>
    <w:rsid w:val="00CC4E7C"/>
    <w:rsid w:val="00CC5187"/>
    <w:rsid w:val="00CC521F"/>
    <w:rsid w:val="00CC5238"/>
    <w:rsid w:val="00CC56F7"/>
    <w:rsid w:val="00CC5FFB"/>
    <w:rsid w:val="00CC609C"/>
    <w:rsid w:val="00CC60D1"/>
    <w:rsid w:val="00CC6376"/>
    <w:rsid w:val="00CC63FA"/>
    <w:rsid w:val="00CC64D1"/>
    <w:rsid w:val="00CC6B50"/>
    <w:rsid w:val="00CC6B91"/>
    <w:rsid w:val="00CC7380"/>
    <w:rsid w:val="00CC769B"/>
    <w:rsid w:val="00CC79AD"/>
    <w:rsid w:val="00CC7E55"/>
    <w:rsid w:val="00CD02BD"/>
    <w:rsid w:val="00CD06E7"/>
    <w:rsid w:val="00CD0CB6"/>
    <w:rsid w:val="00CD0DCB"/>
    <w:rsid w:val="00CD10CB"/>
    <w:rsid w:val="00CD1478"/>
    <w:rsid w:val="00CD15F2"/>
    <w:rsid w:val="00CD2410"/>
    <w:rsid w:val="00CD2A97"/>
    <w:rsid w:val="00CD2F37"/>
    <w:rsid w:val="00CD4080"/>
    <w:rsid w:val="00CD4084"/>
    <w:rsid w:val="00CD4798"/>
    <w:rsid w:val="00CD4CBF"/>
    <w:rsid w:val="00CD4EC2"/>
    <w:rsid w:val="00CD506D"/>
    <w:rsid w:val="00CD59EF"/>
    <w:rsid w:val="00CD5E7A"/>
    <w:rsid w:val="00CD5EE9"/>
    <w:rsid w:val="00CD60A1"/>
    <w:rsid w:val="00CD647C"/>
    <w:rsid w:val="00CD6AAE"/>
    <w:rsid w:val="00CD6EA9"/>
    <w:rsid w:val="00CD7157"/>
    <w:rsid w:val="00CD7868"/>
    <w:rsid w:val="00CE01FA"/>
    <w:rsid w:val="00CE088C"/>
    <w:rsid w:val="00CE12C7"/>
    <w:rsid w:val="00CE134C"/>
    <w:rsid w:val="00CE13F3"/>
    <w:rsid w:val="00CE172B"/>
    <w:rsid w:val="00CE1A5D"/>
    <w:rsid w:val="00CE2428"/>
    <w:rsid w:val="00CE25A0"/>
    <w:rsid w:val="00CE2958"/>
    <w:rsid w:val="00CE311E"/>
    <w:rsid w:val="00CE35E9"/>
    <w:rsid w:val="00CE3980"/>
    <w:rsid w:val="00CE3AFB"/>
    <w:rsid w:val="00CE3EE2"/>
    <w:rsid w:val="00CE48CC"/>
    <w:rsid w:val="00CE7274"/>
    <w:rsid w:val="00CE7C04"/>
    <w:rsid w:val="00CF0175"/>
    <w:rsid w:val="00CF026D"/>
    <w:rsid w:val="00CF0A52"/>
    <w:rsid w:val="00CF0C44"/>
    <w:rsid w:val="00CF0CD4"/>
    <w:rsid w:val="00CF0EF1"/>
    <w:rsid w:val="00CF1001"/>
    <w:rsid w:val="00CF1520"/>
    <w:rsid w:val="00CF171B"/>
    <w:rsid w:val="00CF1A9C"/>
    <w:rsid w:val="00CF221C"/>
    <w:rsid w:val="00CF28B1"/>
    <w:rsid w:val="00CF2BFD"/>
    <w:rsid w:val="00CF2CBD"/>
    <w:rsid w:val="00CF2CE0"/>
    <w:rsid w:val="00CF3759"/>
    <w:rsid w:val="00CF37E0"/>
    <w:rsid w:val="00CF3BD9"/>
    <w:rsid w:val="00CF3D13"/>
    <w:rsid w:val="00CF4041"/>
    <w:rsid w:val="00CF4519"/>
    <w:rsid w:val="00CF4FAC"/>
    <w:rsid w:val="00CF5033"/>
    <w:rsid w:val="00CF5870"/>
    <w:rsid w:val="00CF58E4"/>
    <w:rsid w:val="00CF6CC1"/>
    <w:rsid w:val="00CF70A8"/>
    <w:rsid w:val="00CF746D"/>
    <w:rsid w:val="00CF77CE"/>
    <w:rsid w:val="00D001BD"/>
    <w:rsid w:val="00D010AE"/>
    <w:rsid w:val="00D0136F"/>
    <w:rsid w:val="00D017E0"/>
    <w:rsid w:val="00D01F4E"/>
    <w:rsid w:val="00D0227E"/>
    <w:rsid w:val="00D02A4F"/>
    <w:rsid w:val="00D02AAF"/>
    <w:rsid w:val="00D02B8D"/>
    <w:rsid w:val="00D02EB4"/>
    <w:rsid w:val="00D02ED2"/>
    <w:rsid w:val="00D038F6"/>
    <w:rsid w:val="00D0398B"/>
    <w:rsid w:val="00D03B68"/>
    <w:rsid w:val="00D03BDB"/>
    <w:rsid w:val="00D03CE4"/>
    <w:rsid w:val="00D04591"/>
    <w:rsid w:val="00D047CF"/>
    <w:rsid w:val="00D04C63"/>
    <w:rsid w:val="00D054DD"/>
    <w:rsid w:val="00D05B18"/>
    <w:rsid w:val="00D05CA6"/>
    <w:rsid w:val="00D06355"/>
    <w:rsid w:val="00D06811"/>
    <w:rsid w:val="00D0705A"/>
    <w:rsid w:val="00D07096"/>
    <w:rsid w:val="00D0725D"/>
    <w:rsid w:val="00D074C8"/>
    <w:rsid w:val="00D101A5"/>
    <w:rsid w:val="00D10C57"/>
    <w:rsid w:val="00D121AE"/>
    <w:rsid w:val="00D12A28"/>
    <w:rsid w:val="00D12A78"/>
    <w:rsid w:val="00D12B31"/>
    <w:rsid w:val="00D131C0"/>
    <w:rsid w:val="00D1372E"/>
    <w:rsid w:val="00D137B2"/>
    <w:rsid w:val="00D15504"/>
    <w:rsid w:val="00D15950"/>
    <w:rsid w:val="00D15C7E"/>
    <w:rsid w:val="00D16B77"/>
    <w:rsid w:val="00D16D63"/>
    <w:rsid w:val="00D16F80"/>
    <w:rsid w:val="00D170BE"/>
    <w:rsid w:val="00D17F21"/>
    <w:rsid w:val="00D21525"/>
    <w:rsid w:val="00D22242"/>
    <w:rsid w:val="00D22338"/>
    <w:rsid w:val="00D22922"/>
    <w:rsid w:val="00D23282"/>
    <w:rsid w:val="00D2384D"/>
    <w:rsid w:val="00D23B5C"/>
    <w:rsid w:val="00D24C75"/>
    <w:rsid w:val="00D250AA"/>
    <w:rsid w:val="00D253AA"/>
    <w:rsid w:val="00D25D3B"/>
    <w:rsid w:val="00D26C5C"/>
    <w:rsid w:val="00D27684"/>
    <w:rsid w:val="00D27F37"/>
    <w:rsid w:val="00D27FA7"/>
    <w:rsid w:val="00D3037D"/>
    <w:rsid w:val="00D304E6"/>
    <w:rsid w:val="00D307AF"/>
    <w:rsid w:val="00D30BB3"/>
    <w:rsid w:val="00D30F1B"/>
    <w:rsid w:val="00D3131A"/>
    <w:rsid w:val="00D3134F"/>
    <w:rsid w:val="00D31CB7"/>
    <w:rsid w:val="00D324FF"/>
    <w:rsid w:val="00D328D4"/>
    <w:rsid w:val="00D3290D"/>
    <w:rsid w:val="00D32A4F"/>
    <w:rsid w:val="00D332CB"/>
    <w:rsid w:val="00D3396C"/>
    <w:rsid w:val="00D33B16"/>
    <w:rsid w:val="00D3431A"/>
    <w:rsid w:val="00D347DB"/>
    <w:rsid w:val="00D3481A"/>
    <w:rsid w:val="00D34949"/>
    <w:rsid w:val="00D34E7C"/>
    <w:rsid w:val="00D34F51"/>
    <w:rsid w:val="00D350ED"/>
    <w:rsid w:val="00D3558E"/>
    <w:rsid w:val="00D3601B"/>
    <w:rsid w:val="00D364AF"/>
    <w:rsid w:val="00D36559"/>
    <w:rsid w:val="00D3655C"/>
    <w:rsid w:val="00D3674A"/>
    <w:rsid w:val="00D369A2"/>
    <w:rsid w:val="00D36A92"/>
    <w:rsid w:val="00D37418"/>
    <w:rsid w:val="00D37FFC"/>
    <w:rsid w:val="00D40325"/>
    <w:rsid w:val="00D403C6"/>
    <w:rsid w:val="00D408D3"/>
    <w:rsid w:val="00D40B0A"/>
    <w:rsid w:val="00D4137D"/>
    <w:rsid w:val="00D41500"/>
    <w:rsid w:val="00D4151B"/>
    <w:rsid w:val="00D419AD"/>
    <w:rsid w:val="00D4263D"/>
    <w:rsid w:val="00D43182"/>
    <w:rsid w:val="00D44A58"/>
    <w:rsid w:val="00D4517C"/>
    <w:rsid w:val="00D455D8"/>
    <w:rsid w:val="00D45A12"/>
    <w:rsid w:val="00D45CB8"/>
    <w:rsid w:val="00D45D41"/>
    <w:rsid w:val="00D45DF4"/>
    <w:rsid w:val="00D45FEA"/>
    <w:rsid w:val="00D461A9"/>
    <w:rsid w:val="00D47E1F"/>
    <w:rsid w:val="00D503EB"/>
    <w:rsid w:val="00D50742"/>
    <w:rsid w:val="00D50C8D"/>
    <w:rsid w:val="00D512FE"/>
    <w:rsid w:val="00D515BC"/>
    <w:rsid w:val="00D5212B"/>
    <w:rsid w:val="00D52509"/>
    <w:rsid w:val="00D5295D"/>
    <w:rsid w:val="00D52B99"/>
    <w:rsid w:val="00D532E2"/>
    <w:rsid w:val="00D5331E"/>
    <w:rsid w:val="00D535FC"/>
    <w:rsid w:val="00D53752"/>
    <w:rsid w:val="00D537DF"/>
    <w:rsid w:val="00D5394C"/>
    <w:rsid w:val="00D53F68"/>
    <w:rsid w:val="00D54641"/>
    <w:rsid w:val="00D551CC"/>
    <w:rsid w:val="00D5588C"/>
    <w:rsid w:val="00D55C21"/>
    <w:rsid w:val="00D55F2D"/>
    <w:rsid w:val="00D5651C"/>
    <w:rsid w:val="00D5673A"/>
    <w:rsid w:val="00D5680F"/>
    <w:rsid w:val="00D56F5C"/>
    <w:rsid w:val="00D5706D"/>
    <w:rsid w:val="00D573F0"/>
    <w:rsid w:val="00D574B3"/>
    <w:rsid w:val="00D57945"/>
    <w:rsid w:val="00D57BEF"/>
    <w:rsid w:val="00D57CFF"/>
    <w:rsid w:val="00D6015A"/>
    <w:rsid w:val="00D601B9"/>
    <w:rsid w:val="00D608BF"/>
    <w:rsid w:val="00D60AE5"/>
    <w:rsid w:val="00D61340"/>
    <w:rsid w:val="00D61DC8"/>
    <w:rsid w:val="00D62826"/>
    <w:rsid w:val="00D62BD9"/>
    <w:rsid w:val="00D63254"/>
    <w:rsid w:val="00D639E8"/>
    <w:rsid w:val="00D64496"/>
    <w:rsid w:val="00D64C90"/>
    <w:rsid w:val="00D6559C"/>
    <w:rsid w:val="00D66071"/>
    <w:rsid w:val="00D66118"/>
    <w:rsid w:val="00D6617B"/>
    <w:rsid w:val="00D662B2"/>
    <w:rsid w:val="00D663EA"/>
    <w:rsid w:val="00D669CC"/>
    <w:rsid w:val="00D66C84"/>
    <w:rsid w:val="00D66DB4"/>
    <w:rsid w:val="00D66FB2"/>
    <w:rsid w:val="00D6725D"/>
    <w:rsid w:val="00D672D6"/>
    <w:rsid w:val="00D6740C"/>
    <w:rsid w:val="00D674D1"/>
    <w:rsid w:val="00D6754F"/>
    <w:rsid w:val="00D67628"/>
    <w:rsid w:val="00D6783A"/>
    <w:rsid w:val="00D67B3D"/>
    <w:rsid w:val="00D67C24"/>
    <w:rsid w:val="00D67DA6"/>
    <w:rsid w:val="00D67E49"/>
    <w:rsid w:val="00D70A17"/>
    <w:rsid w:val="00D70A56"/>
    <w:rsid w:val="00D70C19"/>
    <w:rsid w:val="00D70FEE"/>
    <w:rsid w:val="00D71250"/>
    <w:rsid w:val="00D7175D"/>
    <w:rsid w:val="00D717FD"/>
    <w:rsid w:val="00D71C0A"/>
    <w:rsid w:val="00D71E83"/>
    <w:rsid w:val="00D721A8"/>
    <w:rsid w:val="00D722B3"/>
    <w:rsid w:val="00D72964"/>
    <w:rsid w:val="00D7308E"/>
    <w:rsid w:val="00D735F7"/>
    <w:rsid w:val="00D736CB"/>
    <w:rsid w:val="00D73A5F"/>
    <w:rsid w:val="00D7401C"/>
    <w:rsid w:val="00D745BA"/>
    <w:rsid w:val="00D749CC"/>
    <w:rsid w:val="00D74E67"/>
    <w:rsid w:val="00D7536A"/>
    <w:rsid w:val="00D75CE2"/>
    <w:rsid w:val="00D76CBF"/>
    <w:rsid w:val="00D77135"/>
    <w:rsid w:val="00D772F2"/>
    <w:rsid w:val="00D774C0"/>
    <w:rsid w:val="00D77977"/>
    <w:rsid w:val="00D77A98"/>
    <w:rsid w:val="00D77C23"/>
    <w:rsid w:val="00D80249"/>
    <w:rsid w:val="00D80698"/>
    <w:rsid w:val="00D80AAA"/>
    <w:rsid w:val="00D80B7E"/>
    <w:rsid w:val="00D80BB6"/>
    <w:rsid w:val="00D812B3"/>
    <w:rsid w:val="00D81463"/>
    <w:rsid w:val="00D814B2"/>
    <w:rsid w:val="00D81559"/>
    <w:rsid w:val="00D81AA1"/>
    <w:rsid w:val="00D81DD2"/>
    <w:rsid w:val="00D81F66"/>
    <w:rsid w:val="00D82A5A"/>
    <w:rsid w:val="00D82C6D"/>
    <w:rsid w:val="00D83933"/>
    <w:rsid w:val="00D839D3"/>
    <w:rsid w:val="00D83D37"/>
    <w:rsid w:val="00D841C2"/>
    <w:rsid w:val="00D8468E"/>
    <w:rsid w:val="00D84856"/>
    <w:rsid w:val="00D8487F"/>
    <w:rsid w:val="00D8497A"/>
    <w:rsid w:val="00D853A5"/>
    <w:rsid w:val="00D85A3B"/>
    <w:rsid w:val="00D85D4F"/>
    <w:rsid w:val="00D85EAB"/>
    <w:rsid w:val="00D85EEA"/>
    <w:rsid w:val="00D8633D"/>
    <w:rsid w:val="00D867D6"/>
    <w:rsid w:val="00D86A57"/>
    <w:rsid w:val="00D86A60"/>
    <w:rsid w:val="00D86BE4"/>
    <w:rsid w:val="00D86EAB"/>
    <w:rsid w:val="00D871BD"/>
    <w:rsid w:val="00D87A0F"/>
    <w:rsid w:val="00D902BB"/>
    <w:rsid w:val="00D909C5"/>
    <w:rsid w:val="00D90ABF"/>
    <w:rsid w:val="00D90E18"/>
    <w:rsid w:val="00D90EA4"/>
    <w:rsid w:val="00D917A8"/>
    <w:rsid w:val="00D91DE9"/>
    <w:rsid w:val="00D92CD6"/>
    <w:rsid w:val="00D936E6"/>
    <w:rsid w:val="00D938A5"/>
    <w:rsid w:val="00D93D6C"/>
    <w:rsid w:val="00D946E1"/>
    <w:rsid w:val="00D94BE9"/>
    <w:rsid w:val="00D95382"/>
    <w:rsid w:val="00D95D6A"/>
    <w:rsid w:val="00D96C66"/>
    <w:rsid w:val="00D97B08"/>
    <w:rsid w:val="00D97BF2"/>
    <w:rsid w:val="00DA0333"/>
    <w:rsid w:val="00DA0A9B"/>
    <w:rsid w:val="00DA0DF3"/>
    <w:rsid w:val="00DA0E2D"/>
    <w:rsid w:val="00DA1955"/>
    <w:rsid w:val="00DA2077"/>
    <w:rsid w:val="00DA2107"/>
    <w:rsid w:val="00DA22C2"/>
    <w:rsid w:val="00DA2582"/>
    <w:rsid w:val="00DA2667"/>
    <w:rsid w:val="00DA28CE"/>
    <w:rsid w:val="00DA300C"/>
    <w:rsid w:val="00DA32B2"/>
    <w:rsid w:val="00DA3325"/>
    <w:rsid w:val="00DA38BD"/>
    <w:rsid w:val="00DA3DCB"/>
    <w:rsid w:val="00DA3ED8"/>
    <w:rsid w:val="00DA4443"/>
    <w:rsid w:val="00DA449F"/>
    <w:rsid w:val="00DA451B"/>
    <w:rsid w:val="00DA459A"/>
    <w:rsid w:val="00DA4D31"/>
    <w:rsid w:val="00DA50E3"/>
    <w:rsid w:val="00DA51EF"/>
    <w:rsid w:val="00DA5731"/>
    <w:rsid w:val="00DA577F"/>
    <w:rsid w:val="00DA5854"/>
    <w:rsid w:val="00DA6396"/>
    <w:rsid w:val="00DA67A1"/>
    <w:rsid w:val="00DA6F12"/>
    <w:rsid w:val="00DA7F72"/>
    <w:rsid w:val="00DB01C7"/>
    <w:rsid w:val="00DB03D5"/>
    <w:rsid w:val="00DB0673"/>
    <w:rsid w:val="00DB0A47"/>
    <w:rsid w:val="00DB137D"/>
    <w:rsid w:val="00DB179E"/>
    <w:rsid w:val="00DB21DD"/>
    <w:rsid w:val="00DB2A83"/>
    <w:rsid w:val="00DB2B72"/>
    <w:rsid w:val="00DB30AF"/>
    <w:rsid w:val="00DB3469"/>
    <w:rsid w:val="00DB3774"/>
    <w:rsid w:val="00DB390F"/>
    <w:rsid w:val="00DB3E85"/>
    <w:rsid w:val="00DB4133"/>
    <w:rsid w:val="00DB41CF"/>
    <w:rsid w:val="00DB49B7"/>
    <w:rsid w:val="00DB4DD9"/>
    <w:rsid w:val="00DB4FA4"/>
    <w:rsid w:val="00DB56FB"/>
    <w:rsid w:val="00DB65E8"/>
    <w:rsid w:val="00DB7490"/>
    <w:rsid w:val="00DB788A"/>
    <w:rsid w:val="00DB7E7F"/>
    <w:rsid w:val="00DC01AA"/>
    <w:rsid w:val="00DC084A"/>
    <w:rsid w:val="00DC0E37"/>
    <w:rsid w:val="00DC21E2"/>
    <w:rsid w:val="00DC243D"/>
    <w:rsid w:val="00DC27BC"/>
    <w:rsid w:val="00DC288D"/>
    <w:rsid w:val="00DC2A5B"/>
    <w:rsid w:val="00DC2BB2"/>
    <w:rsid w:val="00DC2CA8"/>
    <w:rsid w:val="00DC2D62"/>
    <w:rsid w:val="00DC3C92"/>
    <w:rsid w:val="00DC3CAB"/>
    <w:rsid w:val="00DC3EF5"/>
    <w:rsid w:val="00DC54E0"/>
    <w:rsid w:val="00DC5B20"/>
    <w:rsid w:val="00DC5D7E"/>
    <w:rsid w:val="00DC621B"/>
    <w:rsid w:val="00DC668D"/>
    <w:rsid w:val="00DC6E6F"/>
    <w:rsid w:val="00DC6EE5"/>
    <w:rsid w:val="00DC752F"/>
    <w:rsid w:val="00DC77BF"/>
    <w:rsid w:val="00DD013F"/>
    <w:rsid w:val="00DD01F0"/>
    <w:rsid w:val="00DD042A"/>
    <w:rsid w:val="00DD0A25"/>
    <w:rsid w:val="00DD14EF"/>
    <w:rsid w:val="00DD1554"/>
    <w:rsid w:val="00DD17FA"/>
    <w:rsid w:val="00DD1D35"/>
    <w:rsid w:val="00DD2077"/>
    <w:rsid w:val="00DD2331"/>
    <w:rsid w:val="00DD2ADC"/>
    <w:rsid w:val="00DD2D02"/>
    <w:rsid w:val="00DD2DD6"/>
    <w:rsid w:val="00DD3E5B"/>
    <w:rsid w:val="00DD40BB"/>
    <w:rsid w:val="00DD43E3"/>
    <w:rsid w:val="00DD441A"/>
    <w:rsid w:val="00DD46FD"/>
    <w:rsid w:val="00DD474A"/>
    <w:rsid w:val="00DD482D"/>
    <w:rsid w:val="00DD48FD"/>
    <w:rsid w:val="00DD49D7"/>
    <w:rsid w:val="00DD4C51"/>
    <w:rsid w:val="00DD4DD0"/>
    <w:rsid w:val="00DD515D"/>
    <w:rsid w:val="00DD5309"/>
    <w:rsid w:val="00DD6146"/>
    <w:rsid w:val="00DD6589"/>
    <w:rsid w:val="00DD6BCA"/>
    <w:rsid w:val="00DD6E18"/>
    <w:rsid w:val="00DD6FB0"/>
    <w:rsid w:val="00DD70A4"/>
    <w:rsid w:val="00DD758B"/>
    <w:rsid w:val="00DD783E"/>
    <w:rsid w:val="00DD78FB"/>
    <w:rsid w:val="00DD7BD3"/>
    <w:rsid w:val="00DD7EDD"/>
    <w:rsid w:val="00DE0052"/>
    <w:rsid w:val="00DE0271"/>
    <w:rsid w:val="00DE04F6"/>
    <w:rsid w:val="00DE08A2"/>
    <w:rsid w:val="00DE0E28"/>
    <w:rsid w:val="00DE138D"/>
    <w:rsid w:val="00DE18C0"/>
    <w:rsid w:val="00DE247B"/>
    <w:rsid w:val="00DE298E"/>
    <w:rsid w:val="00DE2FE2"/>
    <w:rsid w:val="00DE32DF"/>
    <w:rsid w:val="00DE3411"/>
    <w:rsid w:val="00DE3867"/>
    <w:rsid w:val="00DE3D8E"/>
    <w:rsid w:val="00DE3F8E"/>
    <w:rsid w:val="00DE4390"/>
    <w:rsid w:val="00DE467C"/>
    <w:rsid w:val="00DE524A"/>
    <w:rsid w:val="00DE5859"/>
    <w:rsid w:val="00DE5C0B"/>
    <w:rsid w:val="00DE610C"/>
    <w:rsid w:val="00DE6831"/>
    <w:rsid w:val="00DE6A17"/>
    <w:rsid w:val="00DE6AA7"/>
    <w:rsid w:val="00DE6DDA"/>
    <w:rsid w:val="00DE6F2D"/>
    <w:rsid w:val="00DE7C77"/>
    <w:rsid w:val="00DF04C0"/>
    <w:rsid w:val="00DF05B5"/>
    <w:rsid w:val="00DF079D"/>
    <w:rsid w:val="00DF0B8A"/>
    <w:rsid w:val="00DF0FF8"/>
    <w:rsid w:val="00DF217B"/>
    <w:rsid w:val="00DF235E"/>
    <w:rsid w:val="00DF2450"/>
    <w:rsid w:val="00DF24C9"/>
    <w:rsid w:val="00DF2560"/>
    <w:rsid w:val="00DF2735"/>
    <w:rsid w:val="00DF313D"/>
    <w:rsid w:val="00DF31C1"/>
    <w:rsid w:val="00DF3309"/>
    <w:rsid w:val="00DF3395"/>
    <w:rsid w:val="00DF3554"/>
    <w:rsid w:val="00DF365E"/>
    <w:rsid w:val="00DF4282"/>
    <w:rsid w:val="00DF474F"/>
    <w:rsid w:val="00DF4AE7"/>
    <w:rsid w:val="00DF55D0"/>
    <w:rsid w:val="00DF5A7F"/>
    <w:rsid w:val="00DF5EE8"/>
    <w:rsid w:val="00DF6336"/>
    <w:rsid w:val="00DF63CD"/>
    <w:rsid w:val="00DF6521"/>
    <w:rsid w:val="00DF652F"/>
    <w:rsid w:val="00DF6BC5"/>
    <w:rsid w:val="00DF6C61"/>
    <w:rsid w:val="00DF7695"/>
    <w:rsid w:val="00DF7725"/>
    <w:rsid w:val="00E000B1"/>
    <w:rsid w:val="00E001DB"/>
    <w:rsid w:val="00E00576"/>
    <w:rsid w:val="00E005AE"/>
    <w:rsid w:val="00E00C47"/>
    <w:rsid w:val="00E00D17"/>
    <w:rsid w:val="00E00E08"/>
    <w:rsid w:val="00E01107"/>
    <w:rsid w:val="00E011E1"/>
    <w:rsid w:val="00E01756"/>
    <w:rsid w:val="00E01D49"/>
    <w:rsid w:val="00E01FA9"/>
    <w:rsid w:val="00E02833"/>
    <w:rsid w:val="00E03A3D"/>
    <w:rsid w:val="00E03E0C"/>
    <w:rsid w:val="00E0461C"/>
    <w:rsid w:val="00E0468C"/>
    <w:rsid w:val="00E0492C"/>
    <w:rsid w:val="00E04CC8"/>
    <w:rsid w:val="00E04D77"/>
    <w:rsid w:val="00E05B83"/>
    <w:rsid w:val="00E05BEE"/>
    <w:rsid w:val="00E0611B"/>
    <w:rsid w:val="00E061D2"/>
    <w:rsid w:val="00E0651C"/>
    <w:rsid w:val="00E070AA"/>
    <w:rsid w:val="00E075EF"/>
    <w:rsid w:val="00E0766D"/>
    <w:rsid w:val="00E07723"/>
    <w:rsid w:val="00E07CAF"/>
    <w:rsid w:val="00E07E1C"/>
    <w:rsid w:val="00E07F0A"/>
    <w:rsid w:val="00E10920"/>
    <w:rsid w:val="00E11A96"/>
    <w:rsid w:val="00E11B36"/>
    <w:rsid w:val="00E11E22"/>
    <w:rsid w:val="00E11E9F"/>
    <w:rsid w:val="00E1230C"/>
    <w:rsid w:val="00E12743"/>
    <w:rsid w:val="00E128AB"/>
    <w:rsid w:val="00E13023"/>
    <w:rsid w:val="00E136DC"/>
    <w:rsid w:val="00E136EE"/>
    <w:rsid w:val="00E137BD"/>
    <w:rsid w:val="00E140F6"/>
    <w:rsid w:val="00E148DF"/>
    <w:rsid w:val="00E14B16"/>
    <w:rsid w:val="00E16014"/>
    <w:rsid w:val="00E16580"/>
    <w:rsid w:val="00E16EEB"/>
    <w:rsid w:val="00E176EB"/>
    <w:rsid w:val="00E20446"/>
    <w:rsid w:val="00E21225"/>
    <w:rsid w:val="00E21A08"/>
    <w:rsid w:val="00E21D30"/>
    <w:rsid w:val="00E22126"/>
    <w:rsid w:val="00E2212B"/>
    <w:rsid w:val="00E2255A"/>
    <w:rsid w:val="00E226B0"/>
    <w:rsid w:val="00E229E0"/>
    <w:rsid w:val="00E22BE3"/>
    <w:rsid w:val="00E22D4F"/>
    <w:rsid w:val="00E23806"/>
    <w:rsid w:val="00E241CC"/>
    <w:rsid w:val="00E2437B"/>
    <w:rsid w:val="00E24663"/>
    <w:rsid w:val="00E246C0"/>
    <w:rsid w:val="00E24765"/>
    <w:rsid w:val="00E24898"/>
    <w:rsid w:val="00E25B38"/>
    <w:rsid w:val="00E25D62"/>
    <w:rsid w:val="00E2600E"/>
    <w:rsid w:val="00E26078"/>
    <w:rsid w:val="00E26148"/>
    <w:rsid w:val="00E26308"/>
    <w:rsid w:val="00E2685A"/>
    <w:rsid w:val="00E26A00"/>
    <w:rsid w:val="00E26E06"/>
    <w:rsid w:val="00E27195"/>
    <w:rsid w:val="00E2780E"/>
    <w:rsid w:val="00E27E4D"/>
    <w:rsid w:val="00E30150"/>
    <w:rsid w:val="00E30598"/>
    <w:rsid w:val="00E308BB"/>
    <w:rsid w:val="00E31332"/>
    <w:rsid w:val="00E313E8"/>
    <w:rsid w:val="00E31BC2"/>
    <w:rsid w:val="00E32218"/>
    <w:rsid w:val="00E32A56"/>
    <w:rsid w:val="00E331C5"/>
    <w:rsid w:val="00E3377E"/>
    <w:rsid w:val="00E33D98"/>
    <w:rsid w:val="00E348CC"/>
    <w:rsid w:val="00E34989"/>
    <w:rsid w:val="00E349B8"/>
    <w:rsid w:val="00E3509B"/>
    <w:rsid w:val="00E352B7"/>
    <w:rsid w:val="00E35358"/>
    <w:rsid w:val="00E3535A"/>
    <w:rsid w:val="00E35375"/>
    <w:rsid w:val="00E35849"/>
    <w:rsid w:val="00E365ED"/>
    <w:rsid w:val="00E36966"/>
    <w:rsid w:val="00E36A57"/>
    <w:rsid w:val="00E36D2D"/>
    <w:rsid w:val="00E37009"/>
    <w:rsid w:val="00E37651"/>
    <w:rsid w:val="00E37C52"/>
    <w:rsid w:val="00E37C9B"/>
    <w:rsid w:val="00E37E06"/>
    <w:rsid w:val="00E4001A"/>
    <w:rsid w:val="00E402FF"/>
    <w:rsid w:val="00E40376"/>
    <w:rsid w:val="00E40453"/>
    <w:rsid w:val="00E40BC4"/>
    <w:rsid w:val="00E40BCA"/>
    <w:rsid w:val="00E40F2C"/>
    <w:rsid w:val="00E41D9C"/>
    <w:rsid w:val="00E41FF6"/>
    <w:rsid w:val="00E42B5D"/>
    <w:rsid w:val="00E43145"/>
    <w:rsid w:val="00E43927"/>
    <w:rsid w:val="00E43A12"/>
    <w:rsid w:val="00E43AF5"/>
    <w:rsid w:val="00E43CB2"/>
    <w:rsid w:val="00E442C8"/>
    <w:rsid w:val="00E442DD"/>
    <w:rsid w:val="00E44360"/>
    <w:rsid w:val="00E444F7"/>
    <w:rsid w:val="00E4460B"/>
    <w:rsid w:val="00E4460D"/>
    <w:rsid w:val="00E44A16"/>
    <w:rsid w:val="00E44B30"/>
    <w:rsid w:val="00E44BAA"/>
    <w:rsid w:val="00E45332"/>
    <w:rsid w:val="00E45474"/>
    <w:rsid w:val="00E45850"/>
    <w:rsid w:val="00E45A1C"/>
    <w:rsid w:val="00E460D0"/>
    <w:rsid w:val="00E4691E"/>
    <w:rsid w:val="00E477C7"/>
    <w:rsid w:val="00E478BF"/>
    <w:rsid w:val="00E4799D"/>
    <w:rsid w:val="00E51761"/>
    <w:rsid w:val="00E51BE6"/>
    <w:rsid w:val="00E51CBA"/>
    <w:rsid w:val="00E51F35"/>
    <w:rsid w:val="00E52189"/>
    <w:rsid w:val="00E52BA1"/>
    <w:rsid w:val="00E536E1"/>
    <w:rsid w:val="00E537F8"/>
    <w:rsid w:val="00E542AE"/>
    <w:rsid w:val="00E54337"/>
    <w:rsid w:val="00E54674"/>
    <w:rsid w:val="00E54BDC"/>
    <w:rsid w:val="00E54F63"/>
    <w:rsid w:val="00E556E5"/>
    <w:rsid w:val="00E55764"/>
    <w:rsid w:val="00E5577B"/>
    <w:rsid w:val="00E55C1A"/>
    <w:rsid w:val="00E55CF4"/>
    <w:rsid w:val="00E5620D"/>
    <w:rsid w:val="00E562E4"/>
    <w:rsid w:val="00E56359"/>
    <w:rsid w:val="00E567D6"/>
    <w:rsid w:val="00E56F3E"/>
    <w:rsid w:val="00E5709A"/>
    <w:rsid w:val="00E571D6"/>
    <w:rsid w:val="00E57423"/>
    <w:rsid w:val="00E5749B"/>
    <w:rsid w:val="00E57DD5"/>
    <w:rsid w:val="00E60825"/>
    <w:rsid w:val="00E615B7"/>
    <w:rsid w:val="00E62D54"/>
    <w:rsid w:val="00E62F6D"/>
    <w:rsid w:val="00E63142"/>
    <w:rsid w:val="00E63437"/>
    <w:rsid w:val="00E63CE4"/>
    <w:rsid w:val="00E64485"/>
    <w:rsid w:val="00E64A4A"/>
    <w:rsid w:val="00E653C5"/>
    <w:rsid w:val="00E653D5"/>
    <w:rsid w:val="00E65A15"/>
    <w:rsid w:val="00E65A7C"/>
    <w:rsid w:val="00E66D29"/>
    <w:rsid w:val="00E66F4E"/>
    <w:rsid w:val="00E671B0"/>
    <w:rsid w:val="00E679AC"/>
    <w:rsid w:val="00E67CB4"/>
    <w:rsid w:val="00E67E26"/>
    <w:rsid w:val="00E7057F"/>
    <w:rsid w:val="00E70A4C"/>
    <w:rsid w:val="00E70AFC"/>
    <w:rsid w:val="00E70EE3"/>
    <w:rsid w:val="00E71A58"/>
    <w:rsid w:val="00E71B73"/>
    <w:rsid w:val="00E71E88"/>
    <w:rsid w:val="00E72A30"/>
    <w:rsid w:val="00E72B6F"/>
    <w:rsid w:val="00E72BF9"/>
    <w:rsid w:val="00E72EB4"/>
    <w:rsid w:val="00E737F8"/>
    <w:rsid w:val="00E748E2"/>
    <w:rsid w:val="00E74E31"/>
    <w:rsid w:val="00E7570E"/>
    <w:rsid w:val="00E75807"/>
    <w:rsid w:val="00E7589F"/>
    <w:rsid w:val="00E7597A"/>
    <w:rsid w:val="00E75CE2"/>
    <w:rsid w:val="00E75EFD"/>
    <w:rsid w:val="00E769FA"/>
    <w:rsid w:val="00E77FD3"/>
    <w:rsid w:val="00E802A4"/>
    <w:rsid w:val="00E803FC"/>
    <w:rsid w:val="00E8053F"/>
    <w:rsid w:val="00E8184B"/>
    <w:rsid w:val="00E81920"/>
    <w:rsid w:val="00E819B5"/>
    <w:rsid w:val="00E821B9"/>
    <w:rsid w:val="00E82543"/>
    <w:rsid w:val="00E82AC2"/>
    <w:rsid w:val="00E82B20"/>
    <w:rsid w:val="00E82B8A"/>
    <w:rsid w:val="00E832DD"/>
    <w:rsid w:val="00E838EA"/>
    <w:rsid w:val="00E83DD2"/>
    <w:rsid w:val="00E8445B"/>
    <w:rsid w:val="00E84951"/>
    <w:rsid w:val="00E84EE2"/>
    <w:rsid w:val="00E84F44"/>
    <w:rsid w:val="00E85AE9"/>
    <w:rsid w:val="00E85C12"/>
    <w:rsid w:val="00E85DDC"/>
    <w:rsid w:val="00E861C1"/>
    <w:rsid w:val="00E863EB"/>
    <w:rsid w:val="00E8640D"/>
    <w:rsid w:val="00E867E2"/>
    <w:rsid w:val="00E86D1D"/>
    <w:rsid w:val="00E86DE1"/>
    <w:rsid w:val="00E86E9D"/>
    <w:rsid w:val="00E86FFF"/>
    <w:rsid w:val="00E87264"/>
    <w:rsid w:val="00E877FC"/>
    <w:rsid w:val="00E87BE5"/>
    <w:rsid w:val="00E90119"/>
    <w:rsid w:val="00E909F7"/>
    <w:rsid w:val="00E91692"/>
    <w:rsid w:val="00E91C6B"/>
    <w:rsid w:val="00E9286A"/>
    <w:rsid w:val="00E92B28"/>
    <w:rsid w:val="00E93B07"/>
    <w:rsid w:val="00E9447B"/>
    <w:rsid w:val="00E94538"/>
    <w:rsid w:val="00E94BAB"/>
    <w:rsid w:val="00E94D39"/>
    <w:rsid w:val="00E950E4"/>
    <w:rsid w:val="00E95883"/>
    <w:rsid w:val="00E958B7"/>
    <w:rsid w:val="00E95D6F"/>
    <w:rsid w:val="00E95DE2"/>
    <w:rsid w:val="00E96185"/>
    <w:rsid w:val="00E96BAC"/>
    <w:rsid w:val="00E96D1E"/>
    <w:rsid w:val="00E96EB4"/>
    <w:rsid w:val="00E971D4"/>
    <w:rsid w:val="00E971F2"/>
    <w:rsid w:val="00E97909"/>
    <w:rsid w:val="00EA001B"/>
    <w:rsid w:val="00EA0344"/>
    <w:rsid w:val="00EA071E"/>
    <w:rsid w:val="00EA121C"/>
    <w:rsid w:val="00EA1CEE"/>
    <w:rsid w:val="00EA1D0B"/>
    <w:rsid w:val="00EA22C2"/>
    <w:rsid w:val="00EA23C5"/>
    <w:rsid w:val="00EA24DA"/>
    <w:rsid w:val="00EA2A10"/>
    <w:rsid w:val="00EA3050"/>
    <w:rsid w:val="00EA310F"/>
    <w:rsid w:val="00EA3373"/>
    <w:rsid w:val="00EA340A"/>
    <w:rsid w:val="00EA3E5B"/>
    <w:rsid w:val="00EA3EF0"/>
    <w:rsid w:val="00EA4493"/>
    <w:rsid w:val="00EA44EC"/>
    <w:rsid w:val="00EA47BF"/>
    <w:rsid w:val="00EA4B0A"/>
    <w:rsid w:val="00EA54B5"/>
    <w:rsid w:val="00EA54DC"/>
    <w:rsid w:val="00EA5FB0"/>
    <w:rsid w:val="00EA670C"/>
    <w:rsid w:val="00EA680E"/>
    <w:rsid w:val="00EA68E9"/>
    <w:rsid w:val="00EA7FCC"/>
    <w:rsid w:val="00EB049A"/>
    <w:rsid w:val="00EB0549"/>
    <w:rsid w:val="00EB06F6"/>
    <w:rsid w:val="00EB13CF"/>
    <w:rsid w:val="00EB13F9"/>
    <w:rsid w:val="00EB1C25"/>
    <w:rsid w:val="00EB2190"/>
    <w:rsid w:val="00EB2635"/>
    <w:rsid w:val="00EB2647"/>
    <w:rsid w:val="00EB2E0D"/>
    <w:rsid w:val="00EB30FE"/>
    <w:rsid w:val="00EB311A"/>
    <w:rsid w:val="00EB3188"/>
    <w:rsid w:val="00EB3965"/>
    <w:rsid w:val="00EB3AAA"/>
    <w:rsid w:val="00EB3CF7"/>
    <w:rsid w:val="00EB3DF2"/>
    <w:rsid w:val="00EB3E8D"/>
    <w:rsid w:val="00EB3F8D"/>
    <w:rsid w:val="00EB3FD7"/>
    <w:rsid w:val="00EB4056"/>
    <w:rsid w:val="00EB411B"/>
    <w:rsid w:val="00EB436B"/>
    <w:rsid w:val="00EB44BE"/>
    <w:rsid w:val="00EB4675"/>
    <w:rsid w:val="00EB52EE"/>
    <w:rsid w:val="00EB5365"/>
    <w:rsid w:val="00EB593C"/>
    <w:rsid w:val="00EB5A62"/>
    <w:rsid w:val="00EB5CB4"/>
    <w:rsid w:val="00EB6024"/>
    <w:rsid w:val="00EB62F7"/>
    <w:rsid w:val="00EB6481"/>
    <w:rsid w:val="00EB6560"/>
    <w:rsid w:val="00EB65AC"/>
    <w:rsid w:val="00EB66F4"/>
    <w:rsid w:val="00EB69D5"/>
    <w:rsid w:val="00EB6CFE"/>
    <w:rsid w:val="00EB6D49"/>
    <w:rsid w:val="00EB6EA4"/>
    <w:rsid w:val="00EB72C8"/>
    <w:rsid w:val="00EB7372"/>
    <w:rsid w:val="00EB7443"/>
    <w:rsid w:val="00EB7A54"/>
    <w:rsid w:val="00EB7B92"/>
    <w:rsid w:val="00EB7D4A"/>
    <w:rsid w:val="00EC08F7"/>
    <w:rsid w:val="00EC1191"/>
    <w:rsid w:val="00EC1F6C"/>
    <w:rsid w:val="00EC27E5"/>
    <w:rsid w:val="00EC2840"/>
    <w:rsid w:val="00EC285E"/>
    <w:rsid w:val="00EC29D7"/>
    <w:rsid w:val="00EC3198"/>
    <w:rsid w:val="00EC38E1"/>
    <w:rsid w:val="00EC397D"/>
    <w:rsid w:val="00EC3C67"/>
    <w:rsid w:val="00EC41CD"/>
    <w:rsid w:val="00EC47B0"/>
    <w:rsid w:val="00EC4B1F"/>
    <w:rsid w:val="00EC4C13"/>
    <w:rsid w:val="00EC4D2F"/>
    <w:rsid w:val="00EC50B9"/>
    <w:rsid w:val="00EC5C6E"/>
    <w:rsid w:val="00EC5DF5"/>
    <w:rsid w:val="00EC63D4"/>
    <w:rsid w:val="00EC64E5"/>
    <w:rsid w:val="00EC6B7B"/>
    <w:rsid w:val="00EC734F"/>
    <w:rsid w:val="00EC7949"/>
    <w:rsid w:val="00EC79D3"/>
    <w:rsid w:val="00EC7BBF"/>
    <w:rsid w:val="00EC7DAF"/>
    <w:rsid w:val="00ED0209"/>
    <w:rsid w:val="00ED0398"/>
    <w:rsid w:val="00ED094C"/>
    <w:rsid w:val="00ED0A98"/>
    <w:rsid w:val="00ED0B19"/>
    <w:rsid w:val="00ED0C04"/>
    <w:rsid w:val="00ED0EA9"/>
    <w:rsid w:val="00ED0F28"/>
    <w:rsid w:val="00ED1821"/>
    <w:rsid w:val="00ED18CA"/>
    <w:rsid w:val="00ED19F0"/>
    <w:rsid w:val="00ED1F36"/>
    <w:rsid w:val="00ED22BF"/>
    <w:rsid w:val="00ED2C8C"/>
    <w:rsid w:val="00ED2EA7"/>
    <w:rsid w:val="00ED3171"/>
    <w:rsid w:val="00ED383E"/>
    <w:rsid w:val="00ED3AAA"/>
    <w:rsid w:val="00ED3C10"/>
    <w:rsid w:val="00ED3D1A"/>
    <w:rsid w:val="00ED40F5"/>
    <w:rsid w:val="00ED4244"/>
    <w:rsid w:val="00ED427A"/>
    <w:rsid w:val="00ED42C8"/>
    <w:rsid w:val="00ED4405"/>
    <w:rsid w:val="00ED4B8D"/>
    <w:rsid w:val="00ED4C18"/>
    <w:rsid w:val="00ED4DB9"/>
    <w:rsid w:val="00ED4ED3"/>
    <w:rsid w:val="00ED50F2"/>
    <w:rsid w:val="00ED5406"/>
    <w:rsid w:val="00ED5BB0"/>
    <w:rsid w:val="00ED5F81"/>
    <w:rsid w:val="00ED625A"/>
    <w:rsid w:val="00ED6399"/>
    <w:rsid w:val="00ED6D60"/>
    <w:rsid w:val="00ED7180"/>
    <w:rsid w:val="00ED7ED0"/>
    <w:rsid w:val="00ED7FC0"/>
    <w:rsid w:val="00EE0390"/>
    <w:rsid w:val="00EE07D6"/>
    <w:rsid w:val="00EE0B61"/>
    <w:rsid w:val="00EE11CF"/>
    <w:rsid w:val="00EE131A"/>
    <w:rsid w:val="00EE2422"/>
    <w:rsid w:val="00EE271B"/>
    <w:rsid w:val="00EE2B55"/>
    <w:rsid w:val="00EE32A8"/>
    <w:rsid w:val="00EE3621"/>
    <w:rsid w:val="00EE36B2"/>
    <w:rsid w:val="00EE3B4F"/>
    <w:rsid w:val="00EE3F20"/>
    <w:rsid w:val="00EE4057"/>
    <w:rsid w:val="00EE4A2F"/>
    <w:rsid w:val="00EE5017"/>
    <w:rsid w:val="00EE50F1"/>
    <w:rsid w:val="00EE5435"/>
    <w:rsid w:val="00EE5558"/>
    <w:rsid w:val="00EE5714"/>
    <w:rsid w:val="00EE5F54"/>
    <w:rsid w:val="00EE5FF9"/>
    <w:rsid w:val="00EE631C"/>
    <w:rsid w:val="00EE6407"/>
    <w:rsid w:val="00EE64E5"/>
    <w:rsid w:val="00EE6785"/>
    <w:rsid w:val="00EE6979"/>
    <w:rsid w:val="00EE71EF"/>
    <w:rsid w:val="00EE7502"/>
    <w:rsid w:val="00EE7627"/>
    <w:rsid w:val="00EE77A1"/>
    <w:rsid w:val="00EE77B9"/>
    <w:rsid w:val="00EE79D9"/>
    <w:rsid w:val="00EF00AE"/>
    <w:rsid w:val="00EF0196"/>
    <w:rsid w:val="00EF0880"/>
    <w:rsid w:val="00EF08F4"/>
    <w:rsid w:val="00EF0E1E"/>
    <w:rsid w:val="00EF0F2B"/>
    <w:rsid w:val="00EF0FD5"/>
    <w:rsid w:val="00EF133E"/>
    <w:rsid w:val="00EF151A"/>
    <w:rsid w:val="00EF1889"/>
    <w:rsid w:val="00EF2087"/>
    <w:rsid w:val="00EF20A3"/>
    <w:rsid w:val="00EF22EB"/>
    <w:rsid w:val="00EF25E5"/>
    <w:rsid w:val="00EF28D9"/>
    <w:rsid w:val="00EF2E9E"/>
    <w:rsid w:val="00EF3372"/>
    <w:rsid w:val="00EF421C"/>
    <w:rsid w:val="00EF5575"/>
    <w:rsid w:val="00EF5A8D"/>
    <w:rsid w:val="00EF5BE9"/>
    <w:rsid w:val="00EF629E"/>
    <w:rsid w:val="00EF6324"/>
    <w:rsid w:val="00EF6908"/>
    <w:rsid w:val="00EF6D38"/>
    <w:rsid w:val="00EF6F9D"/>
    <w:rsid w:val="00EF7515"/>
    <w:rsid w:val="00EF755D"/>
    <w:rsid w:val="00EF7805"/>
    <w:rsid w:val="00EF7E6D"/>
    <w:rsid w:val="00EF7F9A"/>
    <w:rsid w:val="00F00078"/>
    <w:rsid w:val="00F00680"/>
    <w:rsid w:val="00F0072D"/>
    <w:rsid w:val="00F00845"/>
    <w:rsid w:val="00F00A16"/>
    <w:rsid w:val="00F0131F"/>
    <w:rsid w:val="00F01C32"/>
    <w:rsid w:val="00F02392"/>
    <w:rsid w:val="00F023BA"/>
    <w:rsid w:val="00F02D25"/>
    <w:rsid w:val="00F02F77"/>
    <w:rsid w:val="00F0359B"/>
    <w:rsid w:val="00F03D37"/>
    <w:rsid w:val="00F04739"/>
    <w:rsid w:val="00F04A63"/>
    <w:rsid w:val="00F04A99"/>
    <w:rsid w:val="00F05073"/>
    <w:rsid w:val="00F05223"/>
    <w:rsid w:val="00F05289"/>
    <w:rsid w:val="00F055B4"/>
    <w:rsid w:val="00F063C4"/>
    <w:rsid w:val="00F065A5"/>
    <w:rsid w:val="00F06DC3"/>
    <w:rsid w:val="00F07110"/>
    <w:rsid w:val="00F07D7B"/>
    <w:rsid w:val="00F07F39"/>
    <w:rsid w:val="00F1047F"/>
    <w:rsid w:val="00F105B4"/>
    <w:rsid w:val="00F1112E"/>
    <w:rsid w:val="00F114EB"/>
    <w:rsid w:val="00F117D8"/>
    <w:rsid w:val="00F119B8"/>
    <w:rsid w:val="00F119D5"/>
    <w:rsid w:val="00F11CFA"/>
    <w:rsid w:val="00F121D8"/>
    <w:rsid w:val="00F12637"/>
    <w:rsid w:val="00F1278E"/>
    <w:rsid w:val="00F1322C"/>
    <w:rsid w:val="00F138A3"/>
    <w:rsid w:val="00F139CB"/>
    <w:rsid w:val="00F13A41"/>
    <w:rsid w:val="00F1400A"/>
    <w:rsid w:val="00F14BD8"/>
    <w:rsid w:val="00F14BE6"/>
    <w:rsid w:val="00F15844"/>
    <w:rsid w:val="00F16504"/>
    <w:rsid w:val="00F173AF"/>
    <w:rsid w:val="00F17B6B"/>
    <w:rsid w:val="00F17C4D"/>
    <w:rsid w:val="00F17D62"/>
    <w:rsid w:val="00F2053B"/>
    <w:rsid w:val="00F20A79"/>
    <w:rsid w:val="00F20C44"/>
    <w:rsid w:val="00F20EC4"/>
    <w:rsid w:val="00F219F8"/>
    <w:rsid w:val="00F22233"/>
    <w:rsid w:val="00F2265D"/>
    <w:rsid w:val="00F22B29"/>
    <w:rsid w:val="00F22EEF"/>
    <w:rsid w:val="00F22F17"/>
    <w:rsid w:val="00F2329A"/>
    <w:rsid w:val="00F238B6"/>
    <w:rsid w:val="00F246D6"/>
    <w:rsid w:val="00F2494A"/>
    <w:rsid w:val="00F24A7F"/>
    <w:rsid w:val="00F24C11"/>
    <w:rsid w:val="00F24D07"/>
    <w:rsid w:val="00F24DB7"/>
    <w:rsid w:val="00F255EF"/>
    <w:rsid w:val="00F25665"/>
    <w:rsid w:val="00F25F50"/>
    <w:rsid w:val="00F26098"/>
    <w:rsid w:val="00F26486"/>
    <w:rsid w:val="00F26CA9"/>
    <w:rsid w:val="00F26F88"/>
    <w:rsid w:val="00F26FAC"/>
    <w:rsid w:val="00F27071"/>
    <w:rsid w:val="00F27B27"/>
    <w:rsid w:val="00F27B63"/>
    <w:rsid w:val="00F27D52"/>
    <w:rsid w:val="00F30C82"/>
    <w:rsid w:val="00F30D93"/>
    <w:rsid w:val="00F30FE5"/>
    <w:rsid w:val="00F31184"/>
    <w:rsid w:val="00F3145D"/>
    <w:rsid w:val="00F319C1"/>
    <w:rsid w:val="00F31B8E"/>
    <w:rsid w:val="00F31B9D"/>
    <w:rsid w:val="00F31ED9"/>
    <w:rsid w:val="00F32280"/>
    <w:rsid w:val="00F32615"/>
    <w:rsid w:val="00F32A43"/>
    <w:rsid w:val="00F334FA"/>
    <w:rsid w:val="00F342DF"/>
    <w:rsid w:val="00F34844"/>
    <w:rsid w:val="00F349D9"/>
    <w:rsid w:val="00F35463"/>
    <w:rsid w:val="00F35571"/>
    <w:rsid w:val="00F35C91"/>
    <w:rsid w:val="00F36B9F"/>
    <w:rsid w:val="00F36DE9"/>
    <w:rsid w:val="00F36FF3"/>
    <w:rsid w:val="00F3718D"/>
    <w:rsid w:val="00F373B1"/>
    <w:rsid w:val="00F37610"/>
    <w:rsid w:val="00F37AA6"/>
    <w:rsid w:val="00F37B6C"/>
    <w:rsid w:val="00F37CE5"/>
    <w:rsid w:val="00F41460"/>
    <w:rsid w:val="00F41673"/>
    <w:rsid w:val="00F41CF2"/>
    <w:rsid w:val="00F42101"/>
    <w:rsid w:val="00F423D5"/>
    <w:rsid w:val="00F428FA"/>
    <w:rsid w:val="00F42E8D"/>
    <w:rsid w:val="00F4302C"/>
    <w:rsid w:val="00F433D4"/>
    <w:rsid w:val="00F43544"/>
    <w:rsid w:val="00F43613"/>
    <w:rsid w:val="00F442D3"/>
    <w:rsid w:val="00F449F0"/>
    <w:rsid w:val="00F4509B"/>
    <w:rsid w:val="00F45191"/>
    <w:rsid w:val="00F4539C"/>
    <w:rsid w:val="00F45C81"/>
    <w:rsid w:val="00F46284"/>
    <w:rsid w:val="00F46C6E"/>
    <w:rsid w:val="00F46D1E"/>
    <w:rsid w:val="00F477AA"/>
    <w:rsid w:val="00F47A22"/>
    <w:rsid w:val="00F47CC4"/>
    <w:rsid w:val="00F500A2"/>
    <w:rsid w:val="00F50313"/>
    <w:rsid w:val="00F506CD"/>
    <w:rsid w:val="00F50EF8"/>
    <w:rsid w:val="00F50F06"/>
    <w:rsid w:val="00F5100E"/>
    <w:rsid w:val="00F51331"/>
    <w:rsid w:val="00F51434"/>
    <w:rsid w:val="00F51E12"/>
    <w:rsid w:val="00F5224A"/>
    <w:rsid w:val="00F538D9"/>
    <w:rsid w:val="00F54986"/>
    <w:rsid w:val="00F55331"/>
    <w:rsid w:val="00F5574B"/>
    <w:rsid w:val="00F55F38"/>
    <w:rsid w:val="00F55FA4"/>
    <w:rsid w:val="00F5648F"/>
    <w:rsid w:val="00F56EFC"/>
    <w:rsid w:val="00F5735D"/>
    <w:rsid w:val="00F573CA"/>
    <w:rsid w:val="00F57966"/>
    <w:rsid w:val="00F6025C"/>
    <w:rsid w:val="00F60262"/>
    <w:rsid w:val="00F6045E"/>
    <w:rsid w:val="00F61645"/>
    <w:rsid w:val="00F6188A"/>
    <w:rsid w:val="00F6195D"/>
    <w:rsid w:val="00F61DC9"/>
    <w:rsid w:val="00F61F60"/>
    <w:rsid w:val="00F621CE"/>
    <w:rsid w:val="00F62F9B"/>
    <w:rsid w:val="00F62FB7"/>
    <w:rsid w:val="00F6367D"/>
    <w:rsid w:val="00F63804"/>
    <w:rsid w:val="00F63F4F"/>
    <w:rsid w:val="00F6426C"/>
    <w:rsid w:val="00F646A2"/>
    <w:rsid w:val="00F649A5"/>
    <w:rsid w:val="00F64A42"/>
    <w:rsid w:val="00F64FC3"/>
    <w:rsid w:val="00F65098"/>
    <w:rsid w:val="00F652AB"/>
    <w:rsid w:val="00F6570C"/>
    <w:rsid w:val="00F657A3"/>
    <w:rsid w:val="00F65A48"/>
    <w:rsid w:val="00F65A6A"/>
    <w:rsid w:val="00F663AA"/>
    <w:rsid w:val="00F66952"/>
    <w:rsid w:val="00F66E5F"/>
    <w:rsid w:val="00F66EC1"/>
    <w:rsid w:val="00F67467"/>
    <w:rsid w:val="00F701AC"/>
    <w:rsid w:val="00F706DD"/>
    <w:rsid w:val="00F70C24"/>
    <w:rsid w:val="00F70D9F"/>
    <w:rsid w:val="00F70E2B"/>
    <w:rsid w:val="00F71163"/>
    <w:rsid w:val="00F711F8"/>
    <w:rsid w:val="00F71593"/>
    <w:rsid w:val="00F71B58"/>
    <w:rsid w:val="00F7207D"/>
    <w:rsid w:val="00F722EE"/>
    <w:rsid w:val="00F727E9"/>
    <w:rsid w:val="00F728FF"/>
    <w:rsid w:val="00F72EEF"/>
    <w:rsid w:val="00F7427F"/>
    <w:rsid w:val="00F74AB1"/>
    <w:rsid w:val="00F75848"/>
    <w:rsid w:val="00F75A6B"/>
    <w:rsid w:val="00F76E96"/>
    <w:rsid w:val="00F76FBF"/>
    <w:rsid w:val="00F7702C"/>
    <w:rsid w:val="00F77A2D"/>
    <w:rsid w:val="00F77C89"/>
    <w:rsid w:val="00F80515"/>
    <w:rsid w:val="00F80C99"/>
    <w:rsid w:val="00F80EE2"/>
    <w:rsid w:val="00F80FD0"/>
    <w:rsid w:val="00F81044"/>
    <w:rsid w:val="00F811C3"/>
    <w:rsid w:val="00F81F92"/>
    <w:rsid w:val="00F824BF"/>
    <w:rsid w:val="00F839D0"/>
    <w:rsid w:val="00F83BAB"/>
    <w:rsid w:val="00F83E6B"/>
    <w:rsid w:val="00F841E1"/>
    <w:rsid w:val="00F84453"/>
    <w:rsid w:val="00F84976"/>
    <w:rsid w:val="00F84A98"/>
    <w:rsid w:val="00F84AF1"/>
    <w:rsid w:val="00F8508C"/>
    <w:rsid w:val="00F8590E"/>
    <w:rsid w:val="00F85945"/>
    <w:rsid w:val="00F85F2A"/>
    <w:rsid w:val="00F86037"/>
    <w:rsid w:val="00F86210"/>
    <w:rsid w:val="00F8642A"/>
    <w:rsid w:val="00F864BA"/>
    <w:rsid w:val="00F86A46"/>
    <w:rsid w:val="00F86E67"/>
    <w:rsid w:val="00F871D1"/>
    <w:rsid w:val="00F87891"/>
    <w:rsid w:val="00F87C8C"/>
    <w:rsid w:val="00F87DDD"/>
    <w:rsid w:val="00F9051D"/>
    <w:rsid w:val="00F90884"/>
    <w:rsid w:val="00F908E1"/>
    <w:rsid w:val="00F9094B"/>
    <w:rsid w:val="00F90E4F"/>
    <w:rsid w:val="00F90FF4"/>
    <w:rsid w:val="00F91C1C"/>
    <w:rsid w:val="00F91DAA"/>
    <w:rsid w:val="00F91DAE"/>
    <w:rsid w:val="00F928FF"/>
    <w:rsid w:val="00F92BB5"/>
    <w:rsid w:val="00F92C01"/>
    <w:rsid w:val="00F92C0D"/>
    <w:rsid w:val="00F92FDA"/>
    <w:rsid w:val="00F93187"/>
    <w:rsid w:val="00F938DA"/>
    <w:rsid w:val="00F938FA"/>
    <w:rsid w:val="00F93EB5"/>
    <w:rsid w:val="00F940B2"/>
    <w:rsid w:val="00F941A2"/>
    <w:rsid w:val="00F94EF5"/>
    <w:rsid w:val="00F94F0C"/>
    <w:rsid w:val="00F94F7D"/>
    <w:rsid w:val="00F9501A"/>
    <w:rsid w:val="00F958AD"/>
    <w:rsid w:val="00F959DB"/>
    <w:rsid w:val="00F95CB1"/>
    <w:rsid w:val="00F960A6"/>
    <w:rsid w:val="00F960DC"/>
    <w:rsid w:val="00F96272"/>
    <w:rsid w:val="00F962A3"/>
    <w:rsid w:val="00F9645A"/>
    <w:rsid w:val="00F96563"/>
    <w:rsid w:val="00F96E32"/>
    <w:rsid w:val="00F9776D"/>
    <w:rsid w:val="00FA05DC"/>
    <w:rsid w:val="00FA0B99"/>
    <w:rsid w:val="00FA0FA6"/>
    <w:rsid w:val="00FA1118"/>
    <w:rsid w:val="00FA16DC"/>
    <w:rsid w:val="00FA17D9"/>
    <w:rsid w:val="00FA1D00"/>
    <w:rsid w:val="00FA1FBF"/>
    <w:rsid w:val="00FA2425"/>
    <w:rsid w:val="00FA2D51"/>
    <w:rsid w:val="00FA2E09"/>
    <w:rsid w:val="00FA30BF"/>
    <w:rsid w:val="00FA338F"/>
    <w:rsid w:val="00FA354B"/>
    <w:rsid w:val="00FA35FC"/>
    <w:rsid w:val="00FA3932"/>
    <w:rsid w:val="00FA39DF"/>
    <w:rsid w:val="00FA43EE"/>
    <w:rsid w:val="00FA4F46"/>
    <w:rsid w:val="00FA4F89"/>
    <w:rsid w:val="00FA5076"/>
    <w:rsid w:val="00FA5352"/>
    <w:rsid w:val="00FA5447"/>
    <w:rsid w:val="00FA5645"/>
    <w:rsid w:val="00FA7004"/>
    <w:rsid w:val="00FA7BB4"/>
    <w:rsid w:val="00FB0CFB"/>
    <w:rsid w:val="00FB101B"/>
    <w:rsid w:val="00FB113D"/>
    <w:rsid w:val="00FB13DC"/>
    <w:rsid w:val="00FB185D"/>
    <w:rsid w:val="00FB21BA"/>
    <w:rsid w:val="00FB22AA"/>
    <w:rsid w:val="00FB23CF"/>
    <w:rsid w:val="00FB258A"/>
    <w:rsid w:val="00FB325D"/>
    <w:rsid w:val="00FB34C5"/>
    <w:rsid w:val="00FB35F0"/>
    <w:rsid w:val="00FB3963"/>
    <w:rsid w:val="00FB399F"/>
    <w:rsid w:val="00FB4560"/>
    <w:rsid w:val="00FB4E7B"/>
    <w:rsid w:val="00FB540D"/>
    <w:rsid w:val="00FB610C"/>
    <w:rsid w:val="00FB63BB"/>
    <w:rsid w:val="00FB66A6"/>
    <w:rsid w:val="00FB6EB8"/>
    <w:rsid w:val="00FC0311"/>
    <w:rsid w:val="00FC0621"/>
    <w:rsid w:val="00FC08FD"/>
    <w:rsid w:val="00FC0AB0"/>
    <w:rsid w:val="00FC0BA7"/>
    <w:rsid w:val="00FC1324"/>
    <w:rsid w:val="00FC14DC"/>
    <w:rsid w:val="00FC1DD1"/>
    <w:rsid w:val="00FC1E9A"/>
    <w:rsid w:val="00FC202D"/>
    <w:rsid w:val="00FC2616"/>
    <w:rsid w:val="00FC2FB0"/>
    <w:rsid w:val="00FC3647"/>
    <w:rsid w:val="00FC3B64"/>
    <w:rsid w:val="00FC3EFE"/>
    <w:rsid w:val="00FC4003"/>
    <w:rsid w:val="00FC4137"/>
    <w:rsid w:val="00FC47BB"/>
    <w:rsid w:val="00FC5186"/>
    <w:rsid w:val="00FC59A7"/>
    <w:rsid w:val="00FC63A5"/>
    <w:rsid w:val="00FC63F6"/>
    <w:rsid w:val="00FC70B2"/>
    <w:rsid w:val="00FC7178"/>
    <w:rsid w:val="00FC71F9"/>
    <w:rsid w:val="00FC73C9"/>
    <w:rsid w:val="00FC75D3"/>
    <w:rsid w:val="00FC75F7"/>
    <w:rsid w:val="00FC7C4E"/>
    <w:rsid w:val="00FC7EF0"/>
    <w:rsid w:val="00FD0158"/>
    <w:rsid w:val="00FD05BA"/>
    <w:rsid w:val="00FD05C7"/>
    <w:rsid w:val="00FD1022"/>
    <w:rsid w:val="00FD115B"/>
    <w:rsid w:val="00FD1355"/>
    <w:rsid w:val="00FD1438"/>
    <w:rsid w:val="00FD2819"/>
    <w:rsid w:val="00FD29C5"/>
    <w:rsid w:val="00FD2D9C"/>
    <w:rsid w:val="00FD38BB"/>
    <w:rsid w:val="00FD40B5"/>
    <w:rsid w:val="00FD42C6"/>
    <w:rsid w:val="00FD4891"/>
    <w:rsid w:val="00FD491E"/>
    <w:rsid w:val="00FD4A95"/>
    <w:rsid w:val="00FD5172"/>
    <w:rsid w:val="00FD51AC"/>
    <w:rsid w:val="00FD51C0"/>
    <w:rsid w:val="00FD5232"/>
    <w:rsid w:val="00FD5624"/>
    <w:rsid w:val="00FD596C"/>
    <w:rsid w:val="00FD5C48"/>
    <w:rsid w:val="00FD6004"/>
    <w:rsid w:val="00FD621F"/>
    <w:rsid w:val="00FD6803"/>
    <w:rsid w:val="00FD6935"/>
    <w:rsid w:val="00FD6A85"/>
    <w:rsid w:val="00FD70AA"/>
    <w:rsid w:val="00FD7A2D"/>
    <w:rsid w:val="00FD7C27"/>
    <w:rsid w:val="00FE0504"/>
    <w:rsid w:val="00FE06BB"/>
    <w:rsid w:val="00FE07FA"/>
    <w:rsid w:val="00FE09F2"/>
    <w:rsid w:val="00FE0BB9"/>
    <w:rsid w:val="00FE0C82"/>
    <w:rsid w:val="00FE1094"/>
    <w:rsid w:val="00FE10AB"/>
    <w:rsid w:val="00FE22AC"/>
    <w:rsid w:val="00FE3142"/>
    <w:rsid w:val="00FE386F"/>
    <w:rsid w:val="00FE3C30"/>
    <w:rsid w:val="00FE3ED2"/>
    <w:rsid w:val="00FE3EFC"/>
    <w:rsid w:val="00FE3F19"/>
    <w:rsid w:val="00FE467D"/>
    <w:rsid w:val="00FE4932"/>
    <w:rsid w:val="00FE53F5"/>
    <w:rsid w:val="00FE58E5"/>
    <w:rsid w:val="00FE5C06"/>
    <w:rsid w:val="00FE5C73"/>
    <w:rsid w:val="00FE609F"/>
    <w:rsid w:val="00FE7636"/>
    <w:rsid w:val="00FE78F4"/>
    <w:rsid w:val="00FF027D"/>
    <w:rsid w:val="00FF0530"/>
    <w:rsid w:val="00FF0AC9"/>
    <w:rsid w:val="00FF0BD9"/>
    <w:rsid w:val="00FF0BFA"/>
    <w:rsid w:val="00FF0D12"/>
    <w:rsid w:val="00FF1084"/>
    <w:rsid w:val="00FF142B"/>
    <w:rsid w:val="00FF1B86"/>
    <w:rsid w:val="00FF255F"/>
    <w:rsid w:val="00FF2596"/>
    <w:rsid w:val="00FF297A"/>
    <w:rsid w:val="00FF2AA3"/>
    <w:rsid w:val="00FF30A2"/>
    <w:rsid w:val="00FF347F"/>
    <w:rsid w:val="00FF39E7"/>
    <w:rsid w:val="00FF39EE"/>
    <w:rsid w:val="00FF42E0"/>
    <w:rsid w:val="00FF4A82"/>
    <w:rsid w:val="00FF4AA0"/>
    <w:rsid w:val="00FF4BFE"/>
    <w:rsid w:val="00FF5073"/>
    <w:rsid w:val="00FF5443"/>
    <w:rsid w:val="00FF563B"/>
    <w:rsid w:val="00FF5A7A"/>
    <w:rsid w:val="00FF623F"/>
    <w:rsid w:val="00FF68BD"/>
    <w:rsid w:val="00FF68DA"/>
    <w:rsid w:val="00FF6C83"/>
    <w:rsid w:val="00FF700D"/>
    <w:rsid w:val="00FF70AB"/>
    <w:rsid w:val="00FF7875"/>
    <w:rsid w:val="00FF7C64"/>
    <w:rsid w:val="03F0AF8F"/>
    <w:rsid w:val="13AA2268"/>
    <w:rsid w:val="2A8E6E4E"/>
    <w:rsid w:val="3E0B5666"/>
    <w:rsid w:val="4D78506C"/>
    <w:rsid w:val="5CEBE8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8B28C"/>
  <w15:chartTrackingRefBased/>
  <w15:docId w15:val="{7534CD27-803F-47E3-8F7B-A4E758FD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nhideWhenUsed/>
    <w:qFormat/>
    <w:rsid w:val="007E26CF"/>
    <w:pPr>
      <w:numPr>
        <w:ilvl w:val="3"/>
      </w:numPr>
      <w:outlineLvl w:val="3"/>
    </w:pPr>
    <w:rPr>
      <w:b w:val="0"/>
      <w:bCs w:val="0"/>
      <w:i/>
      <w:szCs w:val="28"/>
    </w:rPr>
  </w:style>
  <w:style w:type="paragraph" w:styleId="Rubrik5">
    <w:name w:val="heading 5"/>
    <w:basedOn w:val="Rubrik4"/>
    <w:next w:val="Normalutanindragellerluft"/>
    <w:link w:val="Rubrik5Char"/>
    <w:unhideWhenUsed/>
    <w:qFormat/>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nhideWhenUsed/>
    <w:qFormat/>
    <w:rsid w:val="007E26CF"/>
    <w:pPr>
      <w:numPr>
        <w:ilvl w:val="5"/>
      </w:numPr>
      <w:outlineLvl w:val="5"/>
    </w:pPr>
    <w:rPr>
      <w:b w:val="0"/>
      <w:bCs/>
      <w:i/>
      <w:szCs w:val="22"/>
    </w:rPr>
  </w:style>
  <w:style w:type="paragraph" w:styleId="Rubrik7">
    <w:name w:val="heading 7"/>
    <w:basedOn w:val="Rubrik6"/>
    <w:next w:val="Normalutanindragellerluft"/>
    <w:link w:val="Rubrik7Char"/>
    <w:uiPriority w:val="9"/>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9"/>
    <w:semiHidden/>
    <w:qFormat/>
    <w:rsid w:val="008851F6"/>
    <w:pPr>
      <w:numPr>
        <w:ilvl w:val="7"/>
      </w:numPr>
      <w:outlineLvl w:val="7"/>
    </w:pPr>
    <w:rPr>
      <w:szCs w:val="21"/>
    </w:rPr>
  </w:style>
  <w:style w:type="paragraph" w:styleId="Rubrik9">
    <w:name w:val="heading 9"/>
    <w:basedOn w:val="Rubrik8"/>
    <w:next w:val="Normalutanindragellerluft"/>
    <w:link w:val="Rubrik9Char"/>
    <w:uiPriority w:val="9"/>
    <w:semiHidden/>
    <w:qFormat/>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9"/>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B25D6A"/>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5D6A"/>
    <w:pPr>
      <w:numPr>
        <w:numId w:val="5"/>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50CBA"/>
    <w:pPr>
      <w:numPr>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26"/>
      </w:numPr>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8812FC"/>
    <w:rPr>
      <w:vertAlign w:val="superscript"/>
    </w:rPr>
  </w:style>
  <w:style w:type="paragraph" w:customStyle="1" w:styleId="Fotnotstext1">
    <w:name w:val="Fotnotstext1"/>
    <w:basedOn w:val="Normal"/>
    <w:next w:val="Normal"/>
    <w:uiPriority w:val="5"/>
    <w:unhideWhenUsed/>
    <w:rsid w:val="00034224"/>
    <w:pPr>
      <w:spacing w:line="240" w:lineRule="exact"/>
      <w:ind w:firstLine="0"/>
    </w:pPr>
    <w:rPr>
      <w:sz w:val="20"/>
      <w:szCs w:val="20"/>
    </w:rPr>
  </w:style>
  <w:style w:type="paragraph" w:customStyle="1" w:styleId="Tabell-Klla">
    <w:name w:val="Tabell - Källa"/>
    <w:basedOn w:val="Normal"/>
    <w:next w:val="Normal"/>
    <w:unhideWhenUsed/>
    <w:qFormat/>
    <w:rsid w:val="00034224"/>
    <w:pPr>
      <w:tabs>
        <w:tab w:val="clear" w:pos="284"/>
        <w:tab w:val="clear" w:pos="567"/>
        <w:tab w:val="clear" w:pos="851"/>
        <w:tab w:val="clear" w:pos="1134"/>
        <w:tab w:val="clear" w:pos="1701"/>
        <w:tab w:val="clear" w:pos="2268"/>
        <w:tab w:val="clear" w:pos="4536"/>
        <w:tab w:val="clear" w:pos="9072"/>
      </w:tabs>
      <w:spacing w:before="120" w:line="160" w:lineRule="exact"/>
      <w:ind w:firstLine="0"/>
      <w:contextualSpacing/>
    </w:pPr>
    <w:rPr>
      <w:rFonts w:ascii="Times New Roman" w:eastAsia="Times New Roman" w:hAnsi="Times New Roman" w:cs="Times New Roman"/>
      <w:i/>
      <w:kern w:val="0"/>
      <w:sz w:val="22"/>
      <w:lang w:eastAsia="sv-SE"/>
      <w14:numSpacing w14:val="default"/>
    </w:rPr>
  </w:style>
  <w:style w:type="character" w:styleId="Olstomnmnande">
    <w:name w:val="Unresolved Mention"/>
    <w:basedOn w:val="Standardstycketeckensnitt"/>
    <w:uiPriority w:val="99"/>
    <w:semiHidden/>
    <w:unhideWhenUsed/>
    <w:rsid w:val="007A61E1"/>
    <w:rPr>
      <w:color w:val="605E5C"/>
      <w:shd w:val="clear" w:color="auto" w:fill="E1DFDD"/>
    </w:rPr>
  </w:style>
  <w:style w:type="character" w:styleId="AnvndHyperlnk">
    <w:name w:val="FollowedHyperlink"/>
    <w:basedOn w:val="Standardstycketeckensnitt"/>
    <w:uiPriority w:val="58"/>
    <w:semiHidden/>
    <w:locked/>
    <w:rsid w:val="00A558B2"/>
    <w:rPr>
      <w:color w:val="954F72" w:themeColor="followedHyperlink"/>
      <w:u w:val="single"/>
    </w:rPr>
  </w:style>
  <w:style w:type="paragraph" w:styleId="Revision">
    <w:name w:val="Revision"/>
    <w:hidden/>
    <w:uiPriority w:val="99"/>
    <w:semiHidden/>
    <w:rsid w:val="00F138A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873">
      <w:bodyDiv w:val="1"/>
      <w:marLeft w:val="0"/>
      <w:marRight w:val="0"/>
      <w:marTop w:val="0"/>
      <w:marBottom w:val="0"/>
      <w:divBdr>
        <w:top w:val="none" w:sz="0" w:space="0" w:color="auto"/>
        <w:left w:val="none" w:sz="0" w:space="0" w:color="auto"/>
        <w:bottom w:val="none" w:sz="0" w:space="0" w:color="auto"/>
        <w:right w:val="none" w:sz="0" w:space="0" w:color="auto"/>
      </w:divBdr>
      <w:divsChild>
        <w:div w:id="161166706">
          <w:marLeft w:val="0"/>
          <w:marRight w:val="0"/>
          <w:marTop w:val="0"/>
          <w:marBottom w:val="0"/>
          <w:divBdr>
            <w:top w:val="none" w:sz="0" w:space="0" w:color="auto"/>
            <w:left w:val="none" w:sz="0" w:space="0" w:color="auto"/>
            <w:bottom w:val="none" w:sz="0" w:space="0" w:color="auto"/>
            <w:right w:val="none" w:sz="0" w:space="0" w:color="auto"/>
          </w:divBdr>
        </w:div>
        <w:div w:id="2059282925">
          <w:marLeft w:val="0"/>
          <w:marRight w:val="0"/>
          <w:marTop w:val="0"/>
          <w:marBottom w:val="0"/>
          <w:divBdr>
            <w:top w:val="none" w:sz="0" w:space="0" w:color="auto"/>
            <w:left w:val="none" w:sz="0" w:space="0" w:color="auto"/>
            <w:bottom w:val="none" w:sz="0" w:space="0" w:color="auto"/>
            <w:right w:val="none" w:sz="0" w:space="0" w:color="auto"/>
          </w:divBdr>
        </w:div>
      </w:divsChild>
    </w:div>
    <w:div w:id="148599842">
      <w:bodyDiv w:val="1"/>
      <w:marLeft w:val="0"/>
      <w:marRight w:val="0"/>
      <w:marTop w:val="0"/>
      <w:marBottom w:val="0"/>
      <w:divBdr>
        <w:top w:val="none" w:sz="0" w:space="0" w:color="auto"/>
        <w:left w:val="none" w:sz="0" w:space="0" w:color="auto"/>
        <w:bottom w:val="none" w:sz="0" w:space="0" w:color="auto"/>
        <w:right w:val="none" w:sz="0" w:space="0" w:color="auto"/>
      </w:divBdr>
      <w:divsChild>
        <w:div w:id="2015178905">
          <w:marLeft w:val="0"/>
          <w:marRight w:val="0"/>
          <w:marTop w:val="0"/>
          <w:marBottom w:val="0"/>
          <w:divBdr>
            <w:top w:val="none" w:sz="0" w:space="0" w:color="auto"/>
            <w:left w:val="none" w:sz="0" w:space="0" w:color="auto"/>
            <w:bottom w:val="none" w:sz="0" w:space="0" w:color="auto"/>
            <w:right w:val="none" w:sz="0" w:space="0" w:color="auto"/>
          </w:divBdr>
        </w:div>
        <w:div w:id="2026130884">
          <w:marLeft w:val="0"/>
          <w:marRight w:val="0"/>
          <w:marTop w:val="0"/>
          <w:marBottom w:val="0"/>
          <w:divBdr>
            <w:top w:val="none" w:sz="0" w:space="0" w:color="auto"/>
            <w:left w:val="none" w:sz="0" w:space="0" w:color="auto"/>
            <w:bottom w:val="none" w:sz="0" w:space="0" w:color="auto"/>
            <w:right w:val="none" w:sz="0" w:space="0" w:color="auto"/>
          </w:divBdr>
        </w:div>
      </w:divsChild>
    </w:div>
    <w:div w:id="149948057">
      <w:bodyDiv w:val="1"/>
      <w:marLeft w:val="0"/>
      <w:marRight w:val="0"/>
      <w:marTop w:val="0"/>
      <w:marBottom w:val="0"/>
      <w:divBdr>
        <w:top w:val="none" w:sz="0" w:space="0" w:color="auto"/>
        <w:left w:val="none" w:sz="0" w:space="0" w:color="auto"/>
        <w:bottom w:val="none" w:sz="0" w:space="0" w:color="auto"/>
        <w:right w:val="none" w:sz="0" w:space="0" w:color="auto"/>
      </w:divBdr>
      <w:divsChild>
        <w:div w:id="1609655415">
          <w:marLeft w:val="0"/>
          <w:marRight w:val="0"/>
          <w:marTop w:val="0"/>
          <w:marBottom w:val="0"/>
          <w:divBdr>
            <w:top w:val="none" w:sz="0" w:space="0" w:color="auto"/>
            <w:left w:val="none" w:sz="0" w:space="0" w:color="auto"/>
            <w:bottom w:val="none" w:sz="0" w:space="0" w:color="auto"/>
            <w:right w:val="none" w:sz="0" w:space="0" w:color="auto"/>
          </w:divBdr>
        </w:div>
        <w:div w:id="1614508758">
          <w:marLeft w:val="0"/>
          <w:marRight w:val="0"/>
          <w:marTop w:val="0"/>
          <w:marBottom w:val="0"/>
          <w:divBdr>
            <w:top w:val="none" w:sz="0" w:space="0" w:color="auto"/>
            <w:left w:val="none" w:sz="0" w:space="0" w:color="auto"/>
            <w:bottom w:val="none" w:sz="0" w:space="0" w:color="auto"/>
            <w:right w:val="none" w:sz="0" w:space="0" w:color="auto"/>
          </w:divBdr>
        </w:div>
      </w:divsChild>
    </w:div>
    <w:div w:id="153422906">
      <w:bodyDiv w:val="1"/>
      <w:marLeft w:val="0"/>
      <w:marRight w:val="0"/>
      <w:marTop w:val="0"/>
      <w:marBottom w:val="0"/>
      <w:divBdr>
        <w:top w:val="none" w:sz="0" w:space="0" w:color="auto"/>
        <w:left w:val="none" w:sz="0" w:space="0" w:color="auto"/>
        <w:bottom w:val="none" w:sz="0" w:space="0" w:color="auto"/>
        <w:right w:val="none" w:sz="0" w:space="0" w:color="auto"/>
      </w:divBdr>
    </w:div>
    <w:div w:id="172842506">
      <w:bodyDiv w:val="1"/>
      <w:marLeft w:val="0"/>
      <w:marRight w:val="0"/>
      <w:marTop w:val="0"/>
      <w:marBottom w:val="0"/>
      <w:divBdr>
        <w:top w:val="none" w:sz="0" w:space="0" w:color="auto"/>
        <w:left w:val="none" w:sz="0" w:space="0" w:color="auto"/>
        <w:bottom w:val="none" w:sz="0" w:space="0" w:color="auto"/>
        <w:right w:val="none" w:sz="0" w:space="0" w:color="auto"/>
      </w:divBdr>
      <w:divsChild>
        <w:div w:id="1937444361">
          <w:marLeft w:val="0"/>
          <w:marRight w:val="0"/>
          <w:marTop w:val="0"/>
          <w:marBottom w:val="0"/>
          <w:divBdr>
            <w:top w:val="none" w:sz="0" w:space="0" w:color="auto"/>
            <w:left w:val="none" w:sz="0" w:space="0" w:color="auto"/>
            <w:bottom w:val="none" w:sz="0" w:space="0" w:color="auto"/>
            <w:right w:val="none" w:sz="0" w:space="0" w:color="auto"/>
          </w:divBdr>
        </w:div>
        <w:div w:id="2045210236">
          <w:marLeft w:val="0"/>
          <w:marRight w:val="0"/>
          <w:marTop w:val="0"/>
          <w:marBottom w:val="0"/>
          <w:divBdr>
            <w:top w:val="none" w:sz="0" w:space="0" w:color="auto"/>
            <w:left w:val="none" w:sz="0" w:space="0" w:color="auto"/>
            <w:bottom w:val="none" w:sz="0" w:space="0" w:color="auto"/>
            <w:right w:val="none" w:sz="0" w:space="0" w:color="auto"/>
          </w:divBdr>
        </w:div>
        <w:div w:id="1005016760">
          <w:marLeft w:val="0"/>
          <w:marRight w:val="0"/>
          <w:marTop w:val="0"/>
          <w:marBottom w:val="0"/>
          <w:divBdr>
            <w:top w:val="none" w:sz="0" w:space="0" w:color="auto"/>
            <w:left w:val="none" w:sz="0" w:space="0" w:color="auto"/>
            <w:bottom w:val="none" w:sz="0" w:space="0" w:color="auto"/>
            <w:right w:val="none" w:sz="0" w:space="0" w:color="auto"/>
          </w:divBdr>
        </w:div>
      </w:divsChild>
    </w:div>
    <w:div w:id="175192754">
      <w:bodyDiv w:val="1"/>
      <w:marLeft w:val="0"/>
      <w:marRight w:val="0"/>
      <w:marTop w:val="0"/>
      <w:marBottom w:val="0"/>
      <w:divBdr>
        <w:top w:val="none" w:sz="0" w:space="0" w:color="auto"/>
        <w:left w:val="none" w:sz="0" w:space="0" w:color="auto"/>
        <w:bottom w:val="none" w:sz="0" w:space="0" w:color="auto"/>
        <w:right w:val="none" w:sz="0" w:space="0" w:color="auto"/>
      </w:divBdr>
      <w:divsChild>
        <w:div w:id="1005137104">
          <w:marLeft w:val="0"/>
          <w:marRight w:val="0"/>
          <w:marTop w:val="0"/>
          <w:marBottom w:val="0"/>
          <w:divBdr>
            <w:top w:val="none" w:sz="0" w:space="0" w:color="auto"/>
            <w:left w:val="none" w:sz="0" w:space="0" w:color="auto"/>
            <w:bottom w:val="none" w:sz="0" w:space="0" w:color="auto"/>
            <w:right w:val="none" w:sz="0" w:space="0" w:color="auto"/>
          </w:divBdr>
        </w:div>
        <w:div w:id="805396105">
          <w:marLeft w:val="0"/>
          <w:marRight w:val="0"/>
          <w:marTop w:val="0"/>
          <w:marBottom w:val="0"/>
          <w:divBdr>
            <w:top w:val="none" w:sz="0" w:space="0" w:color="auto"/>
            <w:left w:val="none" w:sz="0" w:space="0" w:color="auto"/>
            <w:bottom w:val="none" w:sz="0" w:space="0" w:color="auto"/>
            <w:right w:val="none" w:sz="0" w:space="0" w:color="auto"/>
          </w:divBdr>
        </w:div>
        <w:div w:id="1687905153">
          <w:marLeft w:val="0"/>
          <w:marRight w:val="0"/>
          <w:marTop w:val="0"/>
          <w:marBottom w:val="0"/>
          <w:divBdr>
            <w:top w:val="none" w:sz="0" w:space="0" w:color="auto"/>
            <w:left w:val="none" w:sz="0" w:space="0" w:color="auto"/>
            <w:bottom w:val="none" w:sz="0" w:space="0" w:color="auto"/>
            <w:right w:val="none" w:sz="0" w:space="0" w:color="auto"/>
          </w:divBdr>
        </w:div>
      </w:divsChild>
    </w:div>
    <w:div w:id="231084202">
      <w:bodyDiv w:val="1"/>
      <w:marLeft w:val="0"/>
      <w:marRight w:val="0"/>
      <w:marTop w:val="0"/>
      <w:marBottom w:val="0"/>
      <w:divBdr>
        <w:top w:val="none" w:sz="0" w:space="0" w:color="auto"/>
        <w:left w:val="none" w:sz="0" w:space="0" w:color="auto"/>
        <w:bottom w:val="none" w:sz="0" w:space="0" w:color="auto"/>
        <w:right w:val="none" w:sz="0" w:space="0" w:color="auto"/>
      </w:divBdr>
      <w:divsChild>
        <w:div w:id="1199902582">
          <w:marLeft w:val="0"/>
          <w:marRight w:val="0"/>
          <w:marTop w:val="0"/>
          <w:marBottom w:val="0"/>
          <w:divBdr>
            <w:top w:val="none" w:sz="0" w:space="0" w:color="auto"/>
            <w:left w:val="none" w:sz="0" w:space="0" w:color="auto"/>
            <w:bottom w:val="none" w:sz="0" w:space="0" w:color="auto"/>
            <w:right w:val="none" w:sz="0" w:space="0" w:color="auto"/>
          </w:divBdr>
        </w:div>
        <w:div w:id="488521647">
          <w:marLeft w:val="0"/>
          <w:marRight w:val="0"/>
          <w:marTop w:val="0"/>
          <w:marBottom w:val="0"/>
          <w:divBdr>
            <w:top w:val="none" w:sz="0" w:space="0" w:color="auto"/>
            <w:left w:val="none" w:sz="0" w:space="0" w:color="auto"/>
            <w:bottom w:val="none" w:sz="0" w:space="0" w:color="auto"/>
            <w:right w:val="none" w:sz="0" w:space="0" w:color="auto"/>
          </w:divBdr>
        </w:div>
        <w:div w:id="948003050">
          <w:marLeft w:val="0"/>
          <w:marRight w:val="0"/>
          <w:marTop w:val="0"/>
          <w:marBottom w:val="0"/>
          <w:divBdr>
            <w:top w:val="none" w:sz="0" w:space="0" w:color="auto"/>
            <w:left w:val="none" w:sz="0" w:space="0" w:color="auto"/>
            <w:bottom w:val="none" w:sz="0" w:space="0" w:color="auto"/>
            <w:right w:val="none" w:sz="0" w:space="0" w:color="auto"/>
          </w:divBdr>
        </w:div>
      </w:divsChild>
    </w:div>
    <w:div w:id="238099112">
      <w:bodyDiv w:val="1"/>
      <w:marLeft w:val="0"/>
      <w:marRight w:val="0"/>
      <w:marTop w:val="0"/>
      <w:marBottom w:val="0"/>
      <w:divBdr>
        <w:top w:val="none" w:sz="0" w:space="0" w:color="auto"/>
        <w:left w:val="none" w:sz="0" w:space="0" w:color="auto"/>
        <w:bottom w:val="none" w:sz="0" w:space="0" w:color="auto"/>
        <w:right w:val="none" w:sz="0" w:space="0" w:color="auto"/>
      </w:divBdr>
      <w:divsChild>
        <w:div w:id="62877726">
          <w:marLeft w:val="0"/>
          <w:marRight w:val="0"/>
          <w:marTop w:val="0"/>
          <w:marBottom w:val="0"/>
          <w:divBdr>
            <w:top w:val="none" w:sz="0" w:space="0" w:color="auto"/>
            <w:left w:val="none" w:sz="0" w:space="0" w:color="auto"/>
            <w:bottom w:val="none" w:sz="0" w:space="0" w:color="auto"/>
            <w:right w:val="none" w:sz="0" w:space="0" w:color="auto"/>
          </w:divBdr>
        </w:div>
        <w:div w:id="1720670590">
          <w:marLeft w:val="0"/>
          <w:marRight w:val="0"/>
          <w:marTop w:val="0"/>
          <w:marBottom w:val="0"/>
          <w:divBdr>
            <w:top w:val="none" w:sz="0" w:space="0" w:color="auto"/>
            <w:left w:val="none" w:sz="0" w:space="0" w:color="auto"/>
            <w:bottom w:val="none" w:sz="0" w:space="0" w:color="auto"/>
            <w:right w:val="none" w:sz="0" w:space="0" w:color="auto"/>
          </w:divBdr>
        </w:div>
      </w:divsChild>
    </w:div>
    <w:div w:id="243221438">
      <w:bodyDiv w:val="1"/>
      <w:marLeft w:val="0"/>
      <w:marRight w:val="0"/>
      <w:marTop w:val="0"/>
      <w:marBottom w:val="0"/>
      <w:divBdr>
        <w:top w:val="none" w:sz="0" w:space="0" w:color="auto"/>
        <w:left w:val="none" w:sz="0" w:space="0" w:color="auto"/>
        <w:bottom w:val="none" w:sz="0" w:space="0" w:color="auto"/>
        <w:right w:val="none" w:sz="0" w:space="0" w:color="auto"/>
      </w:divBdr>
      <w:divsChild>
        <w:div w:id="957639093">
          <w:marLeft w:val="0"/>
          <w:marRight w:val="0"/>
          <w:marTop w:val="0"/>
          <w:marBottom w:val="0"/>
          <w:divBdr>
            <w:top w:val="none" w:sz="0" w:space="0" w:color="auto"/>
            <w:left w:val="none" w:sz="0" w:space="0" w:color="auto"/>
            <w:bottom w:val="none" w:sz="0" w:space="0" w:color="auto"/>
            <w:right w:val="none" w:sz="0" w:space="0" w:color="auto"/>
          </w:divBdr>
        </w:div>
        <w:div w:id="1662199071">
          <w:marLeft w:val="0"/>
          <w:marRight w:val="0"/>
          <w:marTop w:val="0"/>
          <w:marBottom w:val="0"/>
          <w:divBdr>
            <w:top w:val="none" w:sz="0" w:space="0" w:color="auto"/>
            <w:left w:val="none" w:sz="0" w:space="0" w:color="auto"/>
            <w:bottom w:val="none" w:sz="0" w:space="0" w:color="auto"/>
            <w:right w:val="none" w:sz="0" w:space="0" w:color="auto"/>
          </w:divBdr>
        </w:div>
        <w:div w:id="401176349">
          <w:marLeft w:val="0"/>
          <w:marRight w:val="0"/>
          <w:marTop w:val="0"/>
          <w:marBottom w:val="0"/>
          <w:divBdr>
            <w:top w:val="none" w:sz="0" w:space="0" w:color="auto"/>
            <w:left w:val="none" w:sz="0" w:space="0" w:color="auto"/>
            <w:bottom w:val="none" w:sz="0" w:space="0" w:color="auto"/>
            <w:right w:val="none" w:sz="0" w:space="0" w:color="auto"/>
          </w:divBdr>
        </w:div>
      </w:divsChild>
    </w:div>
    <w:div w:id="243802954">
      <w:bodyDiv w:val="1"/>
      <w:marLeft w:val="0"/>
      <w:marRight w:val="0"/>
      <w:marTop w:val="0"/>
      <w:marBottom w:val="0"/>
      <w:divBdr>
        <w:top w:val="none" w:sz="0" w:space="0" w:color="auto"/>
        <w:left w:val="none" w:sz="0" w:space="0" w:color="auto"/>
        <w:bottom w:val="none" w:sz="0" w:space="0" w:color="auto"/>
        <w:right w:val="none" w:sz="0" w:space="0" w:color="auto"/>
      </w:divBdr>
      <w:divsChild>
        <w:div w:id="178008459">
          <w:marLeft w:val="0"/>
          <w:marRight w:val="0"/>
          <w:marTop w:val="0"/>
          <w:marBottom w:val="0"/>
          <w:divBdr>
            <w:top w:val="none" w:sz="0" w:space="0" w:color="auto"/>
            <w:left w:val="none" w:sz="0" w:space="0" w:color="auto"/>
            <w:bottom w:val="none" w:sz="0" w:space="0" w:color="auto"/>
            <w:right w:val="none" w:sz="0" w:space="0" w:color="auto"/>
          </w:divBdr>
        </w:div>
        <w:div w:id="689795578">
          <w:marLeft w:val="0"/>
          <w:marRight w:val="0"/>
          <w:marTop w:val="0"/>
          <w:marBottom w:val="0"/>
          <w:divBdr>
            <w:top w:val="none" w:sz="0" w:space="0" w:color="auto"/>
            <w:left w:val="none" w:sz="0" w:space="0" w:color="auto"/>
            <w:bottom w:val="none" w:sz="0" w:space="0" w:color="auto"/>
            <w:right w:val="none" w:sz="0" w:space="0" w:color="auto"/>
          </w:divBdr>
        </w:div>
      </w:divsChild>
    </w:div>
    <w:div w:id="266618610">
      <w:bodyDiv w:val="1"/>
      <w:marLeft w:val="0"/>
      <w:marRight w:val="0"/>
      <w:marTop w:val="0"/>
      <w:marBottom w:val="0"/>
      <w:divBdr>
        <w:top w:val="none" w:sz="0" w:space="0" w:color="auto"/>
        <w:left w:val="none" w:sz="0" w:space="0" w:color="auto"/>
        <w:bottom w:val="none" w:sz="0" w:space="0" w:color="auto"/>
        <w:right w:val="none" w:sz="0" w:space="0" w:color="auto"/>
      </w:divBdr>
      <w:divsChild>
        <w:div w:id="603268659">
          <w:marLeft w:val="0"/>
          <w:marRight w:val="0"/>
          <w:marTop w:val="0"/>
          <w:marBottom w:val="0"/>
          <w:divBdr>
            <w:top w:val="none" w:sz="0" w:space="0" w:color="auto"/>
            <w:left w:val="none" w:sz="0" w:space="0" w:color="auto"/>
            <w:bottom w:val="none" w:sz="0" w:space="0" w:color="auto"/>
            <w:right w:val="none" w:sz="0" w:space="0" w:color="auto"/>
          </w:divBdr>
        </w:div>
        <w:div w:id="655764826">
          <w:marLeft w:val="0"/>
          <w:marRight w:val="0"/>
          <w:marTop w:val="0"/>
          <w:marBottom w:val="0"/>
          <w:divBdr>
            <w:top w:val="none" w:sz="0" w:space="0" w:color="auto"/>
            <w:left w:val="none" w:sz="0" w:space="0" w:color="auto"/>
            <w:bottom w:val="none" w:sz="0" w:space="0" w:color="auto"/>
            <w:right w:val="none" w:sz="0" w:space="0" w:color="auto"/>
          </w:divBdr>
        </w:div>
        <w:div w:id="1748965745">
          <w:marLeft w:val="0"/>
          <w:marRight w:val="0"/>
          <w:marTop w:val="0"/>
          <w:marBottom w:val="0"/>
          <w:divBdr>
            <w:top w:val="none" w:sz="0" w:space="0" w:color="auto"/>
            <w:left w:val="none" w:sz="0" w:space="0" w:color="auto"/>
            <w:bottom w:val="none" w:sz="0" w:space="0" w:color="auto"/>
            <w:right w:val="none" w:sz="0" w:space="0" w:color="auto"/>
          </w:divBdr>
        </w:div>
      </w:divsChild>
    </w:div>
    <w:div w:id="284317432">
      <w:bodyDiv w:val="1"/>
      <w:marLeft w:val="0"/>
      <w:marRight w:val="0"/>
      <w:marTop w:val="0"/>
      <w:marBottom w:val="0"/>
      <w:divBdr>
        <w:top w:val="none" w:sz="0" w:space="0" w:color="auto"/>
        <w:left w:val="none" w:sz="0" w:space="0" w:color="auto"/>
        <w:bottom w:val="none" w:sz="0" w:space="0" w:color="auto"/>
        <w:right w:val="none" w:sz="0" w:space="0" w:color="auto"/>
      </w:divBdr>
      <w:divsChild>
        <w:div w:id="1340308597">
          <w:marLeft w:val="0"/>
          <w:marRight w:val="0"/>
          <w:marTop w:val="0"/>
          <w:marBottom w:val="0"/>
          <w:divBdr>
            <w:top w:val="none" w:sz="0" w:space="0" w:color="auto"/>
            <w:left w:val="none" w:sz="0" w:space="0" w:color="auto"/>
            <w:bottom w:val="none" w:sz="0" w:space="0" w:color="auto"/>
            <w:right w:val="none" w:sz="0" w:space="0" w:color="auto"/>
          </w:divBdr>
        </w:div>
        <w:div w:id="1241401781">
          <w:marLeft w:val="0"/>
          <w:marRight w:val="0"/>
          <w:marTop w:val="0"/>
          <w:marBottom w:val="0"/>
          <w:divBdr>
            <w:top w:val="none" w:sz="0" w:space="0" w:color="auto"/>
            <w:left w:val="none" w:sz="0" w:space="0" w:color="auto"/>
            <w:bottom w:val="none" w:sz="0" w:space="0" w:color="auto"/>
            <w:right w:val="none" w:sz="0" w:space="0" w:color="auto"/>
          </w:divBdr>
        </w:div>
        <w:div w:id="947859920">
          <w:marLeft w:val="0"/>
          <w:marRight w:val="0"/>
          <w:marTop w:val="0"/>
          <w:marBottom w:val="0"/>
          <w:divBdr>
            <w:top w:val="none" w:sz="0" w:space="0" w:color="auto"/>
            <w:left w:val="none" w:sz="0" w:space="0" w:color="auto"/>
            <w:bottom w:val="none" w:sz="0" w:space="0" w:color="auto"/>
            <w:right w:val="none" w:sz="0" w:space="0" w:color="auto"/>
          </w:divBdr>
        </w:div>
      </w:divsChild>
    </w:div>
    <w:div w:id="319887389">
      <w:bodyDiv w:val="1"/>
      <w:marLeft w:val="0"/>
      <w:marRight w:val="0"/>
      <w:marTop w:val="0"/>
      <w:marBottom w:val="0"/>
      <w:divBdr>
        <w:top w:val="none" w:sz="0" w:space="0" w:color="auto"/>
        <w:left w:val="none" w:sz="0" w:space="0" w:color="auto"/>
        <w:bottom w:val="none" w:sz="0" w:space="0" w:color="auto"/>
        <w:right w:val="none" w:sz="0" w:space="0" w:color="auto"/>
      </w:divBdr>
      <w:divsChild>
        <w:div w:id="711268411">
          <w:marLeft w:val="0"/>
          <w:marRight w:val="0"/>
          <w:marTop w:val="0"/>
          <w:marBottom w:val="0"/>
          <w:divBdr>
            <w:top w:val="none" w:sz="0" w:space="0" w:color="auto"/>
            <w:left w:val="none" w:sz="0" w:space="0" w:color="auto"/>
            <w:bottom w:val="none" w:sz="0" w:space="0" w:color="auto"/>
            <w:right w:val="none" w:sz="0" w:space="0" w:color="auto"/>
          </w:divBdr>
        </w:div>
        <w:div w:id="218826105">
          <w:marLeft w:val="0"/>
          <w:marRight w:val="0"/>
          <w:marTop w:val="0"/>
          <w:marBottom w:val="0"/>
          <w:divBdr>
            <w:top w:val="none" w:sz="0" w:space="0" w:color="auto"/>
            <w:left w:val="none" w:sz="0" w:space="0" w:color="auto"/>
            <w:bottom w:val="none" w:sz="0" w:space="0" w:color="auto"/>
            <w:right w:val="none" w:sz="0" w:space="0" w:color="auto"/>
          </w:divBdr>
        </w:div>
        <w:div w:id="26152143">
          <w:marLeft w:val="0"/>
          <w:marRight w:val="0"/>
          <w:marTop w:val="0"/>
          <w:marBottom w:val="0"/>
          <w:divBdr>
            <w:top w:val="none" w:sz="0" w:space="0" w:color="auto"/>
            <w:left w:val="none" w:sz="0" w:space="0" w:color="auto"/>
            <w:bottom w:val="none" w:sz="0" w:space="0" w:color="auto"/>
            <w:right w:val="none" w:sz="0" w:space="0" w:color="auto"/>
          </w:divBdr>
        </w:div>
      </w:divsChild>
    </w:div>
    <w:div w:id="327908572">
      <w:bodyDiv w:val="1"/>
      <w:marLeft w:val="0"/>
      <w:marRight w:val="0"/>
      <w:marTop w:val="0"/>
      <w:marBottom w:val="0"/>
      <w:divBdr>
        <w:top w:val="none" w:sz="0" w:space="0" w:color="auto"/>
        <w:left w:val="none" w:sz="0" w:space="0" w:color="auto"/>
        <w:bottom w:val="none" w:sz="0" w:space="0" w:color="auto"/>
        <w:right w:val="none" w:sz="0" w:space="0" w:color="auto"/>
      </w:divBdr>
      <w:divsChild>
        <w:div w:id="40521885">
          <w:marLeft w:val="0"/>
          <w:marRight w:val="0"/>
          <w:marTop w:val="0"/>
          <w:marBottom w:val="0"/>
          <w:divBdr>
            <w:top w:val="none" w:sz="0" w:space="0" w:color="auto"/>
            <w:left w:val="none" w:sz="0" w:space="0" w:color="auto"/>
            <w:bottom w:val="none" w:sz="0" w:space="0" w:color="auto"/>
            <w:right w:val="none" w:sz="0" w:space="0" w:color="auto"/>
          </w:divBdr>
        </w:div>
        <w:div w:id="652099403">
          <w:marLeft w:val="0"/>
          <w:marRight w:val="0"/>
          <w:marTop w:val="0"/>
          <w:marBottom w:val="0"/>
          <w:divBdr>
            <w:top w:val="none" w:sz="0" w:space="0" w:color="auto"/>
            <w:left w:val="none" w:sz="0" w:space="0" w:color="auto"/>
            <w:bottom w:val="none" w:sz="0" w:space="0" w:color="auto"/>
            <w:right w:val="none" w:sz="0" w:space="0" w:color="auto"/>
          </w:divBdr>
        </w:div>
        <w:div w:id="975334656">
          <w:marLeft w:val="0"/>
          <w:marRight w:val="0"/>
          <w:marTop w:val="0"/>
          <w:marBottom w:val="0"/>
          <w:divBdr>
            <w:top w:val="none" w:sz="0" w:space="0" w:color="auto"/>
            <w:left w:val="none" w:sz="0" w:space="0" w:color="auto"/>
            <w:bottom w:val="none" w:sz="0" w:space="0" w:color="auto"/>
            <w:right w:val="none" w:sz="0" w:space="0" w:color="auto"/>
          </w:divBdr>
        </w:div>
      </w:divsChild>
    </w:div>
    <w:div w:id="341398862">
      <w:bodyDiv w:val="1"/>
      <w:marLeft w:val="0"/>
      <w:marRight w:val="0"/>
      <w:marTop w:val="0"/>
      <w:marBottom w:val="0"/>
      <w:divBdr>
        <w:top w:val="none" w:sz="0" w:space="0" w:color="auto"/>
        <w:left w:val="none" w:sz="0" w:space="0" w:color="auto"/>
        <w:bottom w:val="none" w:sz="0" w:space="0" w:color="auto"/>
        <w:right w:val="none" w:sz="0" w:space="0" w:color="auto"/>
      </w:divBdr>
      <w:divsChild>
        <w:div w:id="51738749">
          <w:marLeft w:val="0"/>
          <w:marRight w:val="0"/>
          <w:marTop w:val="0"/>
          <w:marBottom w:val="0"/>
          <w:divBdr>
            <w:top w:val="none" w:sz="0" w:space="0" w:color="auto"/>
            <w:left w:val="none" w:sz="0" w:space="0" w:color="auto"/>
            <w:bottom w:val="none" w:sz="0" w:space="0" w:color="auto"/>
            <w:right w:val="none" w:sz="0" w:space="0" w:color="auto"/>
          </w:divBdr>
        </w:div>
        <w:div w:id="3023738">
          <w:marLeft w:val="0"/>
          <w:marRight w:val="0"/>
          <w:marTop w:val="0"/>
          <w:marBottom w:val="0"/>
          <w:divBdr>
            <w:top w:val="none" w:sz="0" w:space="0" w:color="auto"/>
            <w:left w:val="none" w:sz="0" w:space="0" w:color="auto"/>
            <w:bottom w:val="none" w:sz="0" w:space="0" w:color="auto"/>
            <w:right w:val="none" w:sz="0" w:space="0" w:color="auto"/>
          </w:divBdr>
        </w:div>
        <w:div w:id="28268033">
          <w:marLeft w:val="0"/>
          <w:marRight w:val="0"/>
          <w:marTop w:val="0"/>
          <w:marBottom w:val="0"/>
          <w:divBdr>
            <w:top w:val="none" w:sz="0" w:space="0" w:color="auto"/>
            <w:left w:val="none" w:sz="0" w:space="0" w:color="auto"/>
            <w:bottom w:val="none" w:sz="0" w:space="0" w:color="auto"/>
            <w:right w:val="none" w:sz="0" w:space="0" w:color="auto"/>
          </w:divBdr>
        </w:div>
      </w:divsChild>
    </w:div>
    <w:div w:id="345714265">
      <w:bodyDiv w:val="1"/>
      <w:marLeft w:val="0"/>
      <w:marRight w:val="0"/>
      <w:marTop w:val="0"/>
      <w:marBottom w:val="0"/>
      <w:divBdr>
        <w:top w:val="none" w:sz="0" w:space="0" w:color="auto"/>
        <w:left w:val="none" w:sz="0" w:space="0" w:color="auto"/>
        <w:bottom w:val="none" w:sz="0" w:space="0" w:color="auto"/>
        <w:right w:val="none" w:sz="0" w:space="0" w:color="auto"/>
      </w:divBdr>
      <w:divsChild>
        <w:div w:id="1196389410">
          <w:marLeft w:val="0"/>
          <w:marRight w:val="0"/>
          <w:marTop w:val="0"/>
          <w:marBottom w:val="0"/>
          <w:divBdr>
            <w:top w:val="none" w:sz="0" w:space="0" w:color="auto"/>
            <w:left w:val="none" w:sz="0" w:space="0" w:color="auto"/>
            <w:bottom w:val="none" w:sz="0" w:space="0" w:color="auto"/>
            <w:right w:val="none" w:sz="0" w:space="0" w:color="auto"/>
          </w:divBdr>
        </w:div>
        <w:div w:id="1678195262">
          <w:marLeft w:val="0"/>
          <w:marRight w:val="0"/>
          <w:marTop w:val="0"/>
          <w:marBottom w:val="0"/>
          <w:divBdr>
            <w:top w:val="none" w:sz="0" w:space="0" w:color="auto"/>
            <w:left w:val="none" w:sz="0" w:space="0" w:color="auto"/>
            <w:bottom w:val="none" w:sz="0" w:space="0" w:color="auto"/>
            <w:right w:val="none" w:sz="0" w:space="0" w:color="auto"/>
          </w:divBdr>
        </w:div>
        <w:div w:id="1846743389">
          <w:marLeft w:val="0"/>
          <w:marRight w:val="0"/>
          <w:marTop w:val="0"/>
          <w:marBottom w:val="0"/>
          <w:divBdr>
            <w:top w:val="none" w:sz="0" w:space="0" w:color="auto"/>
            <w:left w:val="none" w:sz="0" w:space="0" w:color="auto"/>
            <w:bottom w:val="none" w:sz="0" w:space="0" w:color="auto"/>
            <w:right w:val="none" w:sz="0" w:space="0" w:color="auto"/>
          </w:divBdr>
        </w:div>
      </w:divsChild>
    </w:div>
    <w:div w:id="351492743">
      <w:bodyDiv w:val="1"/>
      <w:marLeft w:val="0"/>
      <w:marRight w:val="0"/>
      <w:marTop w:val="0"/>
      <w:marBottom w:val="0"/>
      <w:divBdr>
        <w:top w:val="none" w:sz="0" w:space="0" w:color="auto"/>
        <w:left w:val="none" w:sz="0" w:space="0" w:color="auto"/>
        <w:bottom w:val="none" w:sz="0" w:space="0" w:color="auto"/>
        <w:right w:val="none" w:sz="0" w:space="0" w:color="auto"/>
      </w:divBdr>
    </w:div>
    <w:div w:id="372198111">
      <w:bodyDiv w:val="1"/>
      <w:marLeft w:val="0"/>
      <w:marRight w:val="0"/>
      <w:marTop w:val="0"/>
      <w:marBottom w:val="0"/>
      <w:divBdr>
        <w:top w:val="none" w:sz="0" w:space="0" w:color="auto"/>
        <w:left w:val="none" w:sz="0" w:space="0" w:color="auto"/>
        <w:bottom w:val="none" w:sz="0" w:space="0" w:color="auto"/>
        <w:right w:val="none" w:sz="0" w:space="0" w:color="auto"/>
      </w:divBdr>
      <w:divsChild>
        <w:div w:id="1509639082">
          <w:marLeft w:val="0"/>
          <w:marRight w:val="0"/>
          <w:marTop w:val="0"/>
          <w:marBottom w:val="0"/>
          <w:divBdr>
            <w:top w:val="none" w:sz="0" w:space="0" w:color="auto"/>
            <w:left w:val="none" w:sz="0" w:space="0" w:color="auto"/>
            <w:bottom w:val="none" w:sz="0" w:space="0" w:color="auto"/>
            <w:right w:val="none" w:sz="0" w:space="0" w:color="auto"/>
          </w:divBdr>
        </w:div>
        <w:div w:id="1663657436">
          <w:marLeft w:val="0"/>
          <w:marRight w:val="0"/>
          <w:marTop w:val="0"/>
          <w:marBottom w:val="0"/>
          <w:divBdr>
            <w:top w:val="none" w:sz="0" w:space="0" w:color="auto"/>
            <w:left w:val="none" w:sz="0" w:space="0" w:color="auto"/>
            <w:bottom w:val="none" w:sz="0" w:space="0" w:color="auto"/>
            <w:right w:val="none" w:sz="0" w:space="0" w:color="auto"/>
          </w:divBdr>
        </w:div>
      </w:divsChild>
    </w:div>
    <w:div w:id="379480653">
      <w:bodyDiv w:val="1"/>
      <w:marLeft w:val="0"/>
      <w:marRight w:val="0"/>
      <w:marTop w:val="0"/>
      <w:marBottom w:val="0"/>
      <w:divBdr>
        <w:top w:val="none" w:sz="0" w:space="0" w:color="auto"/>
        <w:left w:val="none" w:sz="0" w:space="0" w:color="auto"/>
        <w:bottom w:val="none" w:sz="0" w:space="0" w:color="auto"/>
        <w:right w:val="none" w:sz="0" w:space="0" w:color="auto"/>
      </w:divBdr>
      <w:divsChild>
        <w:div w:id="1292588740">
          <w:marLeft w:val="0"/>
          <w:marRight w:val="0"/>
          <w:marTop w:val="0"/>
          <w:marBottom w:val="0"/>
          <w:divBdr>
            <w:top w:val="none" w:sz="0" w:space="0" w:color="auto"/>
            <w:left w:val="none" w:sz="0" w:space="0" w:color="auto"/>
            <w:bottom w:val="none" w:sz="0" w:space="0" w:color="auto"/>
            <w:right w:val="none" w:sz="0" w:space="0" w:color="auto"/>
          </w:divBdr>
        </w:div>
        <w:div w:id="1137918852">
          <w:marLeft w:val="0"/>
          <w:marRight w:val="0"/>
          <w:marTop w:val="0"/>
          <w:marBottom w:val="0"/>
          <w:divBdr>
            <w:top w:val="none" w:sz="0" w:space="0" w:color="auto"/>
            <w:left w:val="none" w:sz="0" w:space="0" w:color="auto"/>
            <w:bottom w:val="none" w:sz="0" w:space="0" w:color="auto"/>
            <w:right w:val="none" w:sz="0" w:space="0" w:color="auto"/>
          </w:divBdr>
        </w:div>
      </w:divsChild>
    </w:div>
    <w:div w:id="390544941">
      <w:bodyDiv w:val="1"/>
      <w:marLeft w:val="0"/>
      <w:marRight w:val="0"/>
      <w:marTop w:val="0"/>
      <w:marBottom w:val="0"/>
      <w:divBdr>
        <w:top w:val="none" w:sz="0" w:space="0" w:color="auto"/>
        <w:left w:val="none" w:sz="0" w:space="0" w:color="auto"/>
        <w:bottom w:val="none" w:sz="0" w:space="0" w:color="auto"/>
        <w:right w:val="none" w:sz="0" w:space="0" w:color="auto"/>
      </w:divBdr>
    </w:div>
    <w:div w:id="463621726">
      <w:bodyDiv w:val="1"/>
      <w:marLeft w:val="0"/>
      <w:marRight w:val="0"/>
      <w:marTop w:val="0"/>
      <w:marBottom w:val="0"/>
      <w:divBdr>
        <w:top w:val="none" w:sz="0" w:space="0" w:color="auto"/>
        <w:left w:val="none" w:sz="0" w:space="0" w:color="auto"/>
        <w:bottom w:val="none" w:sz="0" w:space="0" w:color="auto"/>
        <w:right w:val="none" w:sz="0" w:space="0" w:color="auto"/>
      </w:divBdr>
      <w:divsChild>
        <w:div w:id="562445022">
          <w:marLeft w:val="0"/>
          <w:marRight w:val="0"/>
          <w:marTop w:val="0"/>
          <w:marBottom w:val="0"/>
          <w:divBdr>
            <w:top w:val="none" w:sz="0" w:space="0" w:color="auto"/>
            <w:left w:val="none" w:sz="0" w:space="0" w:color="auto"/>
            <w:bottom w:val="none" w:sz="0" w:space="0" w:color="auto"/>
            <w:right w:val="none" w:sz="0" w:space="0" w:color="auto"/>
          </w:divBdr>
        </w:div>
        <w:div w:id="1723600406">
          <w:marLeft w:val="0"/>
          <w:marRight w:val="0"/>
          <w:marTop w:val="0"/>
          <w:marBottom w:val="0"/>
          <w:divBdr>
            <w:top w:val="none" w:sz="0" w:space="0" w:color="auto"/>
            <w:left w:val="none" w:sz="0" w:space="0" w:color="auto"/>
            <w:bottom w:val="none" w:sz="0" w:space="0" w:color="auto"/>
            <w:right w:val="none" w:sz="0" w:space="0" w:color="auto"/>
          </w:divBdr>
        </w:div>
        <w:div w:id="1649939528">
          <w:marLeft w:val="0"/>
          <w:marRight w:val="0"/>
          <w:marTop w:val="0"/>
          <w:marBottom w:val="0"/>
          <w:divBdr>
            <w:top w:val="none" w:sz="0" w:space="0" w:color="auto"/>
            <w:left w:val="none" w:sz="0" w:space="0" w:color="auto"/>
            <w:bottom w:val="none" w:sz="0" w:space="0" w:color="auto"/>
            <w:right w:val="none" w:sz="0" w:space="0" w:color="auto"/>
          </w:divBdr>
        </w:div>
      </w:divsChild>
    </w:div>
    <w:div w:id="561060128">
      <w:bodyDiv w:val="1"/>
      <w:marLeft w:val="0"/>
      <w:marRight w:val="0"/>
      <w:marTop w:val="0"/>
      <w:marBottom w:val="0"/>
      <w:divBdr>
        <w:top w:val="none" w:sz="0" w:space="0" w:color="auto"/>
        <w:left w:val="none" w:sz="0" w:space="0" w:color="auto"/>
        <w:bottom w:val="none" w:sz="0" w:space="0" w:color="auto"/>
        <w:right w:val="none" w:sz="0" w:space="0" w:color="auto"/>
      </w:divBdr>
      <w:divsChild>
        <w:div w:id="1015767281">
          <w:marLeft w:val="0"/>
          <w:marRight w:val="0"/>
          <w:marTop w:val="0"/>
          <w:marBottom w:val="0"/>
          <w:divBdr>
            <w:top w:val="none" w:sz="0" w:space="0" w:color="auto"/>
            <w:left w:val="none" w:sz="0" w:space="0" w:color="auto"/>
            <w:bottom w:val="none" w:sz="0" w:space="0" w:color="auto"/>
            <w:right w:val="none" w:sz="0" w:space="0" w:color="auto"/>
          </w:divBdr>
        </w:div>
        <w:div w:id="426194788">
          <w:marLeft w:val="0"/>
          <w:marRight w:val="0"/>
          <w:marTop w:val="0"/>
          <w:marBottom w:val="0"/>
          <w:divBdr>
            <w:top w:val="none" w:sz="0" w:space="0" w:color="auto"/>
            <w:left w:val="none" w:sz="0" w:space="0" w:color="auto"/>
            <w:bottom w:val="none" w:sz="0" w:space="0" w:color="auto"/>
            <w:right w:val="none" w:sz="0" w:space="0" w:color="auto"/>
          </w:divBdr>
        </w:div>
        <w:div w:id="522327258">
          <w:marLeft w:val="0"/>
          <w:marRight w:val="0"/>
          <w:marTop w:val="0"/>
          <w:marBottom w:val="0"/>
          <w:divBdr>
            <w:top w:val="none" w:sz="0" w:space="0" w:color="auto"/>
            <w:left w:val="none" w:sz="0" w:space="0" w:color="auto"/>
            <w:bottom w:val="none" w:sz="0" w:space="0" w:color="auto"/>
            <w:right w:val="none" w:sz="0" w:space="0" w:color="auto"/>
          </w:divBdr>
        </w:div>
      </w:divsChild>
    </w:div>
    <w:div w:id="562758976">
      <w:bodyDiv w:val="1"/>
      <w:marLeft w:val="0"/>
      <w:marRight w:val="0"/>
      <w:marTop w:val="0"/>
      <w:marBottom w:val="0"/>
      <w:divBdr>
        <w:top w:val="none" w:sz="0" w:space="0" w:color="auto"/>
        <w:left w:val="none" w:sz="0" w:space="0" w:color="auto"/>
        <w:bottom w:val="none" w:sz="0" w:space="0" w:color="auto"/>
        <w:right w:val="none" w:sz="0" w:space="0" w:color="auto"/>
      </w:divBdr>
      <w:divsChild>
        <w:div w:id="1417048484">
          <w:marLeft w:val="0"/>
          <w:marRight w:val="0"/>
          <w:marTop w:val="0"/>
          <w:marBottom w:val="0"/>
          <w:divBdr>
            <w:top w:val="none" w:sz="0" w:space="0" w:color="auto"/>
            <w:left w:val="none" w:sz="0" w:space="0" w:color="auto"/>
            <w:bottom w:val="none" w:sz="0" w:space="0" w:color="auto"/>
            <w:right w:val="none" w:sz="0" w:space="0" w:color="auto"/>
          </w:divBdr>
        </w:div>
        <w:div w:id="983857020">
          <w:marLeft w:val="0"/>
          <w:marRight w:val="0"/>
          <w:marTop w:val="0"/>
          <w:marBottom w:val="0"/>
          <w:divBdr>
            <w:top w:val="none" w:sz="0" w:space="0" w:color="auto"/>
            <w:left w:val="none" w:sz="0" w:space="0" w:color="auto"/>
            <w:bottom w:val="none" w:sz="0" w:space="0" w:color="auto"/>
            <w:right w:val="none" w:sz="0" w:space="0" w:color="auto"/>
          </w:divBdr>
        </w:div>
        <w:div w:id="2084596711">
          <w:marLeft w:val="0"/>
          <w:marRight w:val="0"/>
          <w:marTop w:val="0"/>
          <w:marBottom w:val="0"/>
          <w:divBdr>
            <w:top w:val="none" w:sz="0" w:space="0" w:color="auto"/>
            <w:left w:val="none" w:sz="0" w:space="0" w:color="auto"/>
            <w:bottom w:val="none" w:sz="0" w:space="0" w:color="auto"/>
            <w:right w:val="none" w:sz="0" w:space="0" w:color="auto"/>
          </w:divBdr>
        </w:div>
      </w:divsChild>
    </w:div>
    <w:div w:id="567112607">
      <w:bodyDiv w:val="1"/>
      <w:marLeft w:val="0"/>
      <w:marRight w:val="0"/>
      <w:marTop w:val="0"/>
      <w:marBottom w:val="0"/>
      <w:divBdr>
        <w:top w:val="none" w:sz="0" w:space="0" w:color="auto"/>
        <w:left w:val="none" w:sz="0" w:space="0" w:color="auto"/>
        <w:bottom w:val="none" w:sz="0" w:space="0" w:color="auto"/>
        <w:right w:val="none" w:sz="0" w:space="0" w:color="auto"/>
      </w:divBdr>
      <w:divsChild>
        <w:div w:id="768892040">
          <w:marLeft w:val="0"/>
          <w:marRight w:val="0"/>
          <w:marTop w:val="0"/>
          <w:marBottom w:val="0"/>
          <w:divBdr>
            <w:top w:val="none" w:sz="0" w:space="0" w:color="auto"/>
            <w:left w:val="none" w:sz="0" w:space="0" w:color="auto"/>
            <w:bottom w:val="none" w:sz="0" w:space="0" w:color="auto"/>
            <w:right w:val="none" w:sz="0" w:space="0" w:color="auto"/>
          </w:divBdr>
        </w:div>
        <w:div w:id="1981690843">
          <w:marLeft w:val="0"/>
          <w:marRight w:val="0"/>
          <w:marTop w:val="0"/>
          <w:marBottom w:val="0"/>
          <w:divBdr>
            <w:top w:val="none" w:sz="0" w:space="0" w:color="auto"/>
            <w:left w:val="none" w:sz="0" w:space="0" w:color="auto"/>
            <w:bottom w:val="none" w:sz="0" w:space="0" w:color="auto"/>
            <w:right w:val="none" w:sz="0" w:space="0" w:color="auto"/>
          </w:divBdr>
        </w:div>
        <w:div w:id="2011636038">
          <w:marLeft w:val="0"/>
          <w:marRight w:val="0"/>
          <w:marTop w:val="0"/>
          <w:marBottom w:val="0"/>
          <w:divBdr>
            <w:top w:val="none" w:sz="0" w:space="0" w:color="auto"/>
            <w:left w:val="none" w:sz="0" w:space="0" w:color="auto"/>
            <w:bottom w:val="none" w:sz="0" w:space="0" w:color="auto"/>
            <w:right w:val="none" w:sz="0" w:space="0" w:color="auto"/>
          </w:divBdr>
        </w:div>
      </w:divsChild>
    </w:div>
    <w:div w:id="581527659">
      <w:bodyDiv w:val="1"/>
      <w:marLeft w:val="0"/>
      <w:marRight w:val="0"/>
      <w:marTop w:val="0"/>
      <w:marBottom w:val="0"/>
      <w:divBdr>
        <w:top w:val="none" w:sz="0" w:space="0" w:color="auto"/>
        <w:left w:val="none" w:sz="0" w:space="0" w:color="auto"/>
        <w:bottom w:val="none" w:sz="0" w:space="0" w:color="auto"/>
        <w:right w:val="none" w:sz="0" w:space="0" w:color="auto"/>
      </w:divBdr>
      <w:divsChild>
        <w:div w:id="438647353">
          <w:marLeft w:val="0"/>
          <w:marRight w:val="0"/>
          <w:marTop w:val="0"/>
          <w:marBottom w:val="0"/>
          <w:divBdr>
            <w:top w:val="none" w:sz="0" w:space="0" w:color="auto"/>
            <w:left w:val="none" w:sz="0" w:space="0" w:color="auto"/>
            <w:bottom w:val="none" w:sz="0" w:space="0" w:color="auto"/>
            <w:right w:val="none" w:sz="0" w:space="0" w:color="auto"/>
          </w:divBdr>
        </w:div>
        <w:div w:id="1208491444">
          <w:marLeft w:val="0"/>
          <w:marRight w:val="0"/>
          <w:marTop w:val="0"/>
          <w:marBottom w:val="0"/>
          <w:divBdr>
            <w:top w:val="none" w:sz="0" w:space="0" w:color="auto"/>
            <w:left w:val="none" w:sz="0" w:space="0" w:color="auto"/>
            <w:bottom w:val="none" w:sz="0" w:space="0" w:color="auto"/>
            <w:right w:val="none" w:sz="0" w:space="0" w:color="auto"/>
          </w:divBdr>
        </w:div>
      </w:divsChild>
    </w:div>
    <w:div w:id="621155025">
      <w:bodyDiv w:val="1"/>
      <w:marLeft w:val="0"/>
      <w:marRight w:val="0"/>
      <w:marTop w:val="0"/>
      <w:marBottom w:val="0"/>
      <w:divBdr>
        <w:top w:val="none" w:sz="0" w:space="0" w:color="auto"/>
        <w:left w:val="none" w:sz="0" w:space="0" w:color="auto"/>
        <w:bottom w:val="none" w:sz="0" w:space="0" w:color="auto"/>
        <w:right w:val="none" w:sz="0" w:space="0" w:color="auto"/>
      </w:divBdr>
      <w:divsChild>
        <w:div w:id="780150563">
          <w:marLeft w:val="0"/>
          <w:marRight w:val="0"/>
          <w:marTop w:val="0"/>
          <w:marBottom w:val="0"/>
          <w:divBdr>
            <w:top w:val="none" w:sz="0" w:space="0" w:color="auto"/>
            <w:left w:val="none" w:sz="0" w:space="0" w:color="auto"/>
            <w:bottom w:val="none" w:sz="0" w:space="0" w:color="auto"/>
            <w:right w:val="none" w:sz="0" w:space="0" w:color="auto"/>
          </w:divBdr>
        </w:div>
        <w:div w:id="1966229585">
          <w:marLeft w:val="0"/>
          <w:marRight w:val="0"/>
          <w:marTop w:val="0"/>
          <w:marBottom w:val="0"/>
          <w:divBdr>
            <w:top w:val="none" w:sz="0" w:space="0" w:color="auto"/>
            <w:left w:val="none" w:sz="0" w:space="0" w:color="auto"/>
            <w:bottom w:val="none" w:sz="0" w:space="0" w:color="auto"/>
            <w:right w:val="none" w:sz="0" w:space="0" w:color="auto"/>
          </w:divBdr>
        </w:div>
        <w:div w:id="1465731862">
          <w:marLeft w:val="0"/>
          <w:marRight w:val="0"/>
          <w:marTop w:val="0"/>
          <w:marBottom w:val="0"/>
          <w:divBdr>
            <w:top w:val="none" w:sz="0" w:space="0" w:color="auto"/>
            <w:left w:val="none" w:sz="0" w:space="0" w:color="auto"/>
            <w:bottom w:val="none" w:sz="0" w:space="0" w:color="auto"/>
            <w:right w:val="none" w:sz="0" w:space="0" w:color="auto"/>
          </w:divBdr>
        </w:div>
      </w:divsChild>
    </w:div>
    <w:div w:id="626354594">
      <w:bodyDiv w:val="1"/>
      <w:marLeft w:val="0"/>
      <w:marRight w:val="0"/>
      <w:marTop w:val="0"/>
      <w:marBottom w:val="0"/>
      <w:divBdr>
        <w:top w:val="none" w:sz="0" w:space="0" w:color="auto"/>
        <w:left w:val="none" w:sz="0" w:space="0" w:color="auto"/>
        <w:bottom w:val="none" w:sz="0" w:space="0" w:color="auto"/>
        <w:right w:val="none" w:sz="0" w:space="0" w:color="auto"/>
      </w:divBdr>
      <w:divsChild>
        <w:div w:id="793325419">
          <w:marLeft w:val="0"/>
          <w:marRight w:val="0"/>
          <w:marTop w:val="0"/>
          <w:marBottom w:val="0"/>
          <w:divBdr>
            <w:top w:val="none" w:sz="0" w:space="0" w:color="auto"/>
            <w:left w:val="none" w:sz="0" w:space="0" w:color="auto"/>
            <w:bottom w:val="none" w:sz="0" w:space="0" w:color="auto"/>
            <w:right w:val="none" w:sz="0" w:space="0" w:color="auto"/>
          </w:divBdr>
        </w:div>
        <w:div w:id="1108699984">
          <w:marLeft w:val="0"/>
          <w:marRight w:val="0"/>
          <w:marTop w:val="0"/>
          <w:marBottom w:val="0"/>
          <w:divBdr>
            <w:top w:val="none" w:sz="0" w:space="0" w:color="auto"/>
            <w:left w:val="none" w:sz="0" w:space="0" w:color="auto"/>
            <w:bottom w:val="none" w:sz="0" w:space="0" w:color="auto"/>
            <w:right w:val="none" w:sz="0" w:space="0" w:color="auto"/>
          </w:divBdr>
        </w:div>
        <w:div w:id="337542221">
          <w:marLeft w:val="0"/>
          <w:marRight w:val="0"/>
          <w:marTop w:val="0"/>
          <w:marBottom w:val="0"/>
          <w:divBdr>
            <w:top w:val="none" w:sz="0" w:space="0" w:color="auto"/>
            <w:left w:val="none" w:sz="0" w:space="0" w:color="auto"/>
            <w:bottom w:val="none" w:sz="0" w:space="0" w:color="auto"/>
            <w:right w:val="none" w:sz="0" w:space="0" w:color="auto"/>
          </w:divBdr>
        </w:div>
      </w:divsChild>
    </w:div>
    <w:div w:id="644697885">
      <w:bodyDiv w:val="1"/>
      <w:marLeft w:val="0"/>
      <w:marRight w:val="0"/>
      <w:marTop w:val="0"/>
      <w:marBottom w:val="0"/>
      <w:divBdr>
        <w:top w:val="none" w:sz="0" w:space="0" w:color="auto"/>
        <w:left w:val="none" w:sz="0" w:space="0" w:color="auto"/>
        <w:bottom w:val="none" w:sz="0" w:space="0" w:color="auto"/>
        <w:right w:val="none" w:sz="0" w:space="0" w:color="auto"/>
      </w:divBdr>
      <w:divsChild>
        <w:div w:id="1378238901">
          <w:marLeft w:val="0"/>
          <w:marRight w:val="0"/>
          <w:marTop w:val="0"/>
          <w:marBottom w:val="0"/>
          <w:divBdr>
            <w:top w:val="none" w:sz="0" w:space="0" w:color="auto"/>
            <w:left w:val="none" w:sz="0" w:space="0" w:color="auto"/>
            <w:bottom w:val="none" w:sz="0" w:space="0" w:color="auto"/>
            <w:right w:val="none" w:sz="0" w:space="0" w:color="auto"/>
          </w:divBdr>
        </w:div>
        <w:div w:id="1672027844">
          <w:marLeft w:val="0"/>
          <w:marRight w:val="0"/>
          <w:marTop w:val="0"/>
          <w:marBottom w:val="0"/>
          <w:divBdr>
            <w:top w:val="none" w:sz="0" w:space="0" w:color="auto"/>
            <w:left w:val="none" w:sz="0" w:space="0" w:color="auto"/>
            <w:bottom w:val="none" w:sz="0" w:space="0" w:color="auto"/>
            <w:right w:val="none" w:sz="0" w:space="0" w:color="auto"/>
          </w:divBdr>
        </w:div>
        <w:div w:id="1797409282">
          <w:marLeft w:val="0"/>
          <w:marRight w:val="0"/>
          <w:marTop w:val="0"/>
          <w:marBottom w:val="0"/>
          <w:divBdr>
            <w:top w:val="none" w:sz="0" w:space="0" w:color="auto"/>
            <w:left w:val="none" w:sz="0" w:space="0" w:color="auto"/>
            <w:bottom w:val="none" w:sz="0" w:space="0" w:color="auto"/>
            <w:right w:val="none" w:sz="0" w:space="0" w:color="auto"/>
          </w:divBdr>
        </w:div>
      </w:divsChild>
    </w:div>
    <w:div w:id="701594624">
      <w:bodyDiv w:val="1"/>
      <w:marLeft w:val="0"/>
      <w:marRight w:val="0"/>
      <w:marTop w:val="0"/>
      <w:marBottom w:val="0"/>
      <w:divBdr>
        <w:top w:val="none" w:sz="0" w:space="0" w:color="auto"/>
        <w:left w:val="none" w:sz="0" w:space="0" w:color="auto"/>
        <w:bottom w:val="none" w:sz="0" w:space="0" w:color="auto"/>
        <w:right w:val="none" w:sz="0" w:space="0" w:color="auto"/>
      </w:divBdr>
      <w:divsChild>
        <w:div w:id="598413319">
          <w:marLeft w:val="0"/>
          <w:marRight w:val="0"/>
          <w:marTop w:val="0"/>
          <w:marBottom w:val="0"/>
          <w:divBdr>
            <w:top w:val="none" w:sz="0" w:space="0" w:color="auto"/>
            <w:left w:val="none" w:sz="0" w:space="0" w:color="auto"/>
            <w:bottom w:val="none" w:sz="0" w:space="0" w:color="auto"/>
            <w:right w:val="none" w:sz="0" w:space="0" w:color="auto"/>
          </w:divBdr>
        </w:div>
        <w:div w:id="1504904026">
          <w:marLeft w:val="0"/>
          <w:marRight w:val="0"/>
          <w:marTop w:val="0"/>
          <w:marBottom w:val="0"/>
          <w:divBdr>
            <w:top w:val="none" w:sz="0" w:space="0" w:color="auto"/>
            <w:left w:val="none" w:sz="0" w:space="0" w:color="auto"/>
            <w:bottom w:val="none" w:sz="0" w:space="0" w:color="auto"/>
            <w:right w:val="none" w:sz="0" w:space="0" w:color="auto"/>
          </w:divBdr>
        </w:div>
        <w:div w:id="712384563">
          <w:marLeft w:val="0"/>
          <w:marRight w:val="0"/>
          <w:marTop w:val="0"/>
          <w:marBottom w:val="0"/>
          <w:divBdr>
            <w:top w:val="none" w:sz="0" w:space="0" w:color="auto"/>
            <w:left w:val="none" w:sz="0" w:space="0" w:color="auto"/>
            <w:bottom w:val="none" w:sz="0" w:space="0" w:color="auto"/>
            <w:right w:val="none" w:sz="0" w:space="0" w:color="auto"/>
          </w:divBdr>
        </w:div>
      </w:divsChild>
    </w:div>
    <w:div w:id="704789961">
      <w:bodyDiv w:val="1"/>
      <w:marLeft w:val="0"/>
      <w:marRight w:val="0"/>
      <w:marTop w:val="0"/>
      <w:marBottom w:val="0"/>
      <w:divBdr>
        <w:top w:val="none" w:sz="0" w:space="0" w:color="auto"/>
        <w:left w:val="none" w:sz="0" w:space="0" w:color="auto"/>
        <w:bottom w:val="none" w:sz="0" w:space="0" w:color="auto"/>
        <w:right w:val="none" w:sz="0" w:space="0" w:color="auto"/>
      </w:divBdr>
      <w:divsChild>
        <w:div w:id="1826775633">
          <w:marLeft w:val="0"/>
          <w:marRight w:val="0"/>
          <w:marTop w:val="0"/>
          <w:marBottom w:val="0"/>
          <w:divBdr>
            <w:top w:val="none" w:sz="0" w:space="0" w:color="auto"/>
            <w:left w:val="none" w:sz="0" w:space="0" w:color="auto"/>
            <w:bottom w:val="none" w:sz="0" w:space="0" w:color="auto"/>
            <w:right w:val="none" w:sz="0" w:space="0" w:color="auto"/>
          </w:divBdr>
        </w:div>
        <w:div w:id="1524326093">
          <w:marLeft w:val="0"/>
          <w:marRight w:val="0"/>
          <w:marTop w:val="0"/>
          <w:marBottom w:val="0"/>
          <w:divBdr>
            <w:top w:val="none" w:sz="0" w:space="0" w:color="auto"/>
            <w:left w:val="none" w:sz="0" w:space="0" w:color="auto"/>
            <w:bottom w:val="none" w:sz="0" w:space="0" w:color="auto"/>
            <w:right w:val="none" w:sz="0" w:space="0" w:color="auto"/>
          </w:divBdr>
        </w:div>
        <w:div w:id="273370128">
          <w:marLeft w:val="0"/>
          <w:marRight w:val="0"/>
          <w:marTop w:val="0"/>
          <w:marBottom w:val="0"/>
          <w:divBdr>
            <w:top w:val="none" w:sz="0" w:space="0" w:color="auto"/>
            <w:left w:val="none" w:sz="0" w:space="0" w:color="auto"/>
            <w:bottom w:val="none" w:sz="0" w:space="0" w:color="auto"/>
            <w:right w:val="none" w:sz="0" w:space="0" w:color="auto"/>
          </w:divBdr>
        </w:div>
      </w:divsChild>
    </w:div>
    <w:div w:id="731200918">
      <w:bodyDiv w:val="1"/>
      <w:marLeft w:val="0"/>
      <w:marRight w:val="0"/>
      <w:marTop w:val="0"/>
      <w:marBottom w:val="0"/>
      <w:divBdr>
        <w:top w:val="none" w:sz="0" w:space="0" w:color="auto"/>
        <w:left w:val="none" w:sz="0" w:space="0" w:color="auto"/>
        <w:bottom w:val="none" w:sz="0" w:space="0" w:color="auto"/>
        <w:right w:val="none" w:sz="0" w:space="0" w:color="auto"/>
      </w:divBdr>
      <w:divsChild>
        <w:div w:id="240650310">
          <w:marLeft w:val="0"/>
          <w:marRight w:val="0"/>
          <w:marTop w:val="0"/>
          <w:marBottom w:val="0"/>
          <w:divBdr>
            <w:top w:val="none" w:sz="0" w:space="0" w:color="auto"/>
            <w:left w:val="none" w:sz="0" w:space="0" w:color="auto"/>
            <w:bottom w:val="none" w:sz="0" w:space="0" w:color="auto"/>
            <w:right w:val="none" w:sz="0" w:space="0" w:color="auto"/>
          </w:divBdr>
        </w:div>
        <w:div w:id="1598753148">
          <w:marLeft w:val="0"/>
          <w:marRight w:val="0"/>
          <w:marTop w:val="0"/>
          <w:marBottom w:val="0"/>
          <w:divBdr>
            <w:top w:val="none" w:sz="0" w:space="0" w:color="auto"/>
            <w:left w:val="none" w:sz="0" w:space="0" w:color="auto"/>
            <w:bottom w:val="none" w:sz="0" w:space="0" w:color="auto"/>
            <w:right w:val="none" w:sz="0" w:space="0" w:color="auto"/>
          </w:divBdr>
        </w:div>
        <w:div w:id="1540507399">
          <w:marLeft w:val="0"/>
          <w:marRight w:val="0"/>
          <w:marTop w:val="0"/>
          <w:marBottom w:val="0"/>
          <w:divBdr>
            <w:top w:val="none" w:sz="0" w:space="0" w:color="auto"/>
            <w:left w:val="none" w:sz="0" w:space="0" w:color="auto"/>
            <w:bottom w:val="none" w:sz="0" w:space="0" w:color="auto"/>
            <w:right w:val="none" w:sz="0" w:space="0" w:color="auto"/>
          </w:divBdr>
        </w:div>
      </w:divsChild>
    </w:div>
    <w:div w:id="745498195">
      <w:bodyDiv w:val="1"/>
      <w:marLeft w:val="0"/>
      <w:marRight w:val="0"/>
      <w:marTop w:val="0"/>
      <w:marBottom w:val="0"/>
      <w:divBdr>
        <w:top w:val="none" w:sz="0" w:space="0" w:color="auto"/>
        <w:left w:val="none" w:sz="0" w:space="0" w:color="auto"/>
        <w:bottom w:val="none" w:sz="0" w:space="0" w:color="auto"/>
        <w:right w:val="none" w:sz="0" w:space="0" w:color="auto"/>
      </w:divBdr>
      <w:divsChild>
        <w:div w:id="615254382">
          <w:marLeft w:val="0"/>
          <w:marRight w:val="0"/>
          <w:marTop w:val="0"/>
          <w:marBottom w:val="0"/>
          <w:divBdr>
            <w:top w:val="none" w:sz="0" w:space="0" w:color="auto"/>
            <w:left w:val="none" w:sz="0" w:space="0" w:color="auto"/>
            <w:bottom w:val="none" w:sz="0" w:space="0" w:color="auto"/>
            <w:right w:val="none" w:sz="0" w:space="0" w:color="auto"/>
          </w:divBdr>
        </w:div>
        <w:div w:id="1266764585">
          <w:marLeft w:val="0"/>
          <w:marRight w:val="0"/>
          <w:marTop w:val="0"/>
          <w:marBottom w:val="0"/>
          <w:divBdr>
            <w:top w:val="none" w:sz="0" w:space="0" w:color="auto"/>
            <w:left w:val="none" w:sz="0" w:space="0" w:color="auto"/>
            <w:bottom w:val="none" w:sz="0" w:space="0" w:color="auto"/>
            <w:right w:val="none" w:sz="0" w:space="0" w:color="auto"/>
          </w:divBdr>
        </w:div>
        <w:div w:id="238565144">
          <w:marLeft w:val="0"/>
          <w:marRight w:val="0"/>
          <w:marTop w:val="0"/>
          <w:marBottom w:val="0"/>
          <w:divBdr>
            <w:top w:val="none" w:sz="0" w:space="0" w:color="auto"/>
            <w:left w:val="none" w:sz="0" w:space="0" w:color="auto"/>
            <w:bottom w:val="none" w:sz="0" w:space="0" w:color="auto"/>
            <w:right w:val="none" w:sz="0" w:space="0" w:color="auto"/>
          </w:divBdr>
        </w:div>
      </w:divsChild>
    </w:div>
    <w:div w:id="774405612">
      <w:bodyDiv w:val="1"/>
      <w:marLeft w:val="0"/>
      <w:marRight w:val="0"/>
      <w:marTop w:val="0"/>
      <w:marBottom w:val="0"/>
      <w:divBdr>
        <w:top w:val="none" w:sz="0" w:space="0" w:color="auto"/>
        <w:left w:val="none" w:sz="0" w:space="0" w:color="auto"/>
        <w:bottom w:val="none" w:sz="0" w:space="0" w:color="auto"/>
        <w:right w:val="none" w:sz="0" w:space="0" w:color="auto"/>
      </w:divBdr>
    </w:div>
    <w:div w:id="786892729">
      <w:bodyDiv w:val="1"/>
      <w:marLeft w:val="0"/>
      <w:marRight w:val="0"/>
      <w:marTop w:val="0"/>
      <w:marBottom w:val="0"/>
      <w:divBdr>
        <w:top w:val="none" w:sz="0" w:space="0" w:color="auto"/>
        <w:left w:val="none" w:sz="0" w:space="0" w:color="auto"/>
        <w:bottom w:val="none" w:sz="0" w:space="0" w:color="auto"/>
        <w:right w:val="none" w:sz="0" w:space="0" w:color="auto"/>
      </w:divBdr>
      <w:divsChild>
        <w:div w:id="1234467875">
          <w:marLeft w:val="0"/>
          <w:marRight w:val="0"/>
          <w:marTop w:val="0"/>
          <w:marBottom w:val="0"/>
          <w:divBdr>
            <w:top w:val="none" w:sz="0" w:space="0" w:color="auto"/>
            <w:left w:val="none" w:sz="0" w:space="0" w:color="auto"/>
            <w:bottom w:val="none" w:sz="0" w:space="0" w:color="auto"/>
            <w:right w:val="none" w:sz="0" w:space="0" w:color="auto"/>
          </w:divBdr>
        </w:div>
        <w:div w:id="1697584860">
          <w:marLeft w:val="0"/>
          <w:marRight w:val="0"/>
          <w:marTop w:val="0"/>
          <w:marBottom w:val="0"/>
          <w:divBdr>
            <w:top w:val="none" w:sz="0" w:space="0" w:color="auto"/>
            <w:left w:val="none" w:sz="0" w:space="0" w:color="auto"/>
            <w:bottom w:val="none" w:sz="0" w:space="0" w:color="auto"/>
            <w:right w:val="none" w:sz="0" w:space="0" w:color="auto"/>
          </w:divBdr>
        </w:div>
        <w:div w:id="232592733">
          <w:marLeft w:val="0"/>
          <w:marRight w:val="0"/>
          <w:marTop w:val="0"/>
          <w:marBottom w:val="0"/>
          <w:divBdr>
            <w:top w:val="none" w:sz="0" w:space="0" w:color="auto"/>
            <w:left w:val="none" w:sz="0" w:space="0" w:color="auto"/>
            <w:bottom w:val="none" w:sz="0" w:space="0" w:color="auto"/>
            <w:right w:val="none" w:sz="0" w:space="0" w:color="auto"/>
          </w:divBdr>
        </w:div>
      </w:divsChild>
    </w:div>
    <w:div w:id="812332465">
      <w:bodyDiv w:val="1"/>
      <w:marLeft w:val="0"/>
      <w:marRight w:val="0"/>
      <w:marTop w:val="0"/>
      <w:marBottom w:val="0"/>
      <w:divBdr>
        <w:top w:val="none" w:sz="0" w:space="0" w:color="auto"/>
        <w:left w:val="none" w:sz="0" w:space="0" w:color="auto"/>
        <w:bottom w:val="none" w:sz="0" w:space="0" w:color="auto"/>
        <w:right w:val="none" w:sz="0" w:space="0" w:color="auto"/>
      </w:divBdr>
      <w:divsChild>
        <w:div w:id="1700740494">
          <w:marLeft w:val="0"/>
          <w:marRight w:val="0"/>
          <w:marTop w:val="0"/>
          <w:marBottom w:val="0"/>
          <w:divBdr>
            <w:top w:val="none" w:sz="0" w:space="0" w:color="auto"/>
            <w:left w:val="none" w:sz="0" w:space="0" w:color="auto"/>
            <w:bottom w:val="none" w:sz="0" w:space="0" w:color="auto"/>
            <w:right w:val="none" w:sz="0" w:space="0" w:color="auto"/>
          </w:divBdr>
        </w:div>
        <w:div w:id="493106914">
          <w:marLeft w:val="0"/>
          <w:marRight w:val="0"/>
          <w:marTop w:val="0"/>
          <w:marBottom w:val="0"/>
          <w:divBdr>
            <w:top w:val="none" w:sz="0" w:space="0" w:color="auto"/>
            <w:left w:val="none" w:sz="0" w:space="0" w:color="auto"/>
            <w:bottom w:val="none" w:sz="0" w:space="0" w:color="auto"/>
            <w:right w:val="none" w:sz="0" w:space="0" w:color="auto"/>
          </w:divBdr>
        </w:div>
        <w:div w:id="196436439">
          <w:marLeft w:val="0"/>
          <w:marRight w:val="0"/>
          <w:marTop w:val="0"/>
          <w:marBottom w:val="0"/>
          <w:divBdr>
            <w:top w:val="none" w:sz="0" w:space="0" w:color="auto"/>
            <w:left w:val="none" w:sz="0" w:space="0" w:color="auto"/>
            <w:bottom w:val="none" w:sz="0" w:space="0" w:color="auto"/>
            <w:right w:val="none" w:sz="0" w:space="0" w:color="auto"/>
          </w:divBdr>
        </w:div>
      </w:divsChild>
    </w:div>
    <w:div w:id="880938370">
      <w:bodyDiv w:val="1"/>
      <w:marLeft w:val="0"/>
      <w:marRight w:val="0"/>
      <w:marTop w:val="0"/>
      <w:marBottom w:val="0"/>
      <w:divBdr>
        <w:top w:val="none" w:sz="0" w:space="0" w:color="auto"/>
        <w:left w:val="none" w:sz="0" w:space="0" w:color="auto"/>
        <w:bottom w:val="none" w:sz="0" w:space="0" w:color="auto"/>
        <w:right w:val="none" w:sz="0" w:space="0" w:color="auto"/>
      </w:divBdr>
      <w:divsChild>
        <w:div w:id="1642495893">
          <w:marLeft w:val="0"/>
          <w:marRight w:val="0"/>
          <w:marTop w:val="0"/>
          <w:marBottom w:val="0"/>
          <w:divBdr>
            <w:top w:val="none" w:sz="0" w:space="0" w:color="auto"/>
            <w:left w:val="none" w:sz="0" w:space="0" w:color="auto"/>
            <w:bottom w:val="none" w:sz="0" w:space="0" w:color="auto"/>
            <w:right w:val="none" w:sz="0" w:space="0" w:color="auto"/>
          </w:divBdr>
        </w:div>
        <w:div w:id="763692833">
          <w:marLeft w:val="0"/>
          <w:marRight w:val="0"/>
          <w:marTop w:val="0"/>
          <w:marBottom w:val="0"/>
          <w:divBdr>
            <w:top w:val="none" w:sz="0" w:space="0" w:color="auto"/>
            <w:left w:val="none" w:sz="0" w:space="0" w:color="auto"/>
            <w:bottom w:val="none" w:sz="0" w:space="0" w:color="auto"/>
            <w:right w:val="none" w:sz="0" w:space="0" w:color="auto"/>
          </w:divBdr>
        </w:div>
        <w:div w:id="141167339">
          <w:marLeft w:val="0"/>
          <w:marRight w:val="0"/>
          <w:marTop w:val="0"/>
          <w:marBottom w:val="0"/>
          <w:divBdr>
            <w:top w:val="none" w:sz="0" w:space="0" w:color="auto"/>
            <w:left w:val="none" w:sz="0" w:space="0" w:color="auto"/>
            <w:bottom w:val="none" w:sz="0" w:space="0" w:color="auto"/>
            <w:right w:val="none" w:sz="0" w:space="0" w:color="auto"/>
          </w:divBdr>
        </w:div>
      </w:divsChild>
    </w:div>
    <w:div w:id="885991847">
      <w:bodyDiv w:val="1"/>
      <w:marLeft w:val="0"/>
      <w:marRight w:val="0"/>
      <w:marTop w:val="0"/>
      <w:marBottom w:val="0"/>
      <w:divBdr>
        <w:top w:val="none" w:sz="0" w:space="0" w:color="auto"/>
        <w:left w:val="none" w:sz="0" w:space="0" w:color="auto"/>
        <w:bottom w:val="none" w:sz="0" w:space="0" w:color="auto"/>
        <w:right w:val="none" w:sz="0" w:space="0" w:color="auto"/>
      </w:divBdr>
      <w:divsChild>
        <w:div w:id="174420559">
          <w:marLeft w:val="0"/>
          <w:marRight w:val="0"/>
          <w:marTop w:val="0"/>
          <w:marBottom w:val="0"/>
          <w:divBdr>
            <w:top w:val="none" w:sz="0" w:space="0" w:color="auto"/>
            <w:left w:val="none" w:sz="0" w:space="0" w:color="auto"/>
            <w:bottom w:val="none" w:sz="0" w:space="0" w:color="auto"/>
            <w:right w:val="none" w:sz="0" w:space="0" w:color="auto"/>
          </w:divBdr>
        </w:div>
        <w:div w:id="1681346949">
          <w:marLeft w:val="0"/>
          <w:marRight w:val="0"/>
          <w:marTop w:val="0"/>
          <w:marBottom w:val="0"/>
          <w:divBdr>
            <w:top w:val="none" w:sz="0" w:space="0" w:color="auto"/>
            <w:left w:val="none" w:sz="0" w:space="0" w:color="auto"/>
            <w:bottom w:val="none" w:sz="0" w:space="0" w:color="auto"/>
            <w:right w:val="none" w:sz="0" w:space="0" w:color="auto"/>
          </w:divBdr>
        </w:div>
        <w:div w:id="2140030457">
          <w:marLeft w:val="0"/>
          <w:marRight w:val="0"/>
          <w:marTop w:val="0"/>
          <w:marBottom w:val="0"/>
          <w:divBdr>
            <w:top w:val="none" w:sz="0" w:space="0" w:color="auto"/>
            <w:left w:val="none" w:sz="0" w:space="0" w:color="auto"/>
            <w:bottom w:val="none" w:sz="0" w:space="0" w:color="auto"/>
            <w:right w:val="none" w:sz="0" w:space="0" w:color="auto"/>
          </w:divBdr>
        </w:div>
      </w:divsChild>
    </w:div>
    <w:div w:id="977490344">
      <w:bodyDiv w:val="1"/>
      <w:marLeft w:val="0"/>
      <w:marRight w:val="0"/>
      <w:marTop w:val="0"/>
      <w:marBottom w:val="0"/>
      <w:divBdr>
        <w:top w:val="none" w:sz="0" w:space="0" w:color="auto"/>
        <w:left w:val="none" w:sz="0" w:space="0" w:color="auto"/>
        <w:bottom w:val="none" w:sz="0" w:space="0" w:color="auto"/>
        <w:right w:val="none" w:sz="0" w:space="0" w:color="auto"/>
      </w:divBdr>
    </w:div>
    <w:div w:id="1025133517">
      <w:bodyDiv w:val="1"/>
      <w:marLeft w:val="0"/>
      <w:marRight w:val="0"/>
      <w:marTop w:val="0"/>
      <w:marBottom w:val="0"/>
      <w:divBdr>
        <w:top w:val="none" w:sz="0" w:space="0" w:color="auto"/>
        <w:left w:val="none" w:sz="0" w:space="0" w:color="auto"/>
        <w:bottom w:val="none" w:sz="0" w:space="0" w:color="auto"/>
        <w:right w:val="none" w:sz="0" w:space="0" w:color="auto"/>
      </w:divBdr>
      <w:divsChild>
        <w:div w:id="1056781972">
          <w:marLeft w:val="0"/>
          <w:marRight w:val="0"/>
          <w:marTop w:val="0"/>
          <w:marBottom w:val="0"/>
          <w:divBdr>
            <w:top w:val="none" w:sz="0" w:space="0" w:color="auto"/>
            <w:left w:val="none" w:sz="0" w:space="0" w:color="auto"/>
            <w:bottom w:val="none" w:sz="0" w:space="0" w:color="auto"/>
            <w:right w:val="none" w:sz="0" w:space="0" w:color="auto"/>
          </w:divBdr>
        </w:div>
        <w:div w:id="1449928066">
          <w:marLeft w:val="0"/>
          <w:marRight w:val="0"/>
          <w:marTop w:val="0"/>
          <w:marBottom w:val="0"/>
          <w:divBdr>
            <w:top w:val="none" w:sz="0" w:space="0" w:color="auto"/>
            <w:left w:val="none" w:sz="0" w:space="0" w:color="auto"/>
            <w:bottom w:val="none" w:sz="0" w:space="0" w:color="auto"/>
            <w:right w:val="none" w:sz="0" w:space="0" w:color="auto"/>
          </w:divBdr>
        </w:div>
        <w:div w:id="1819375354">
          <w:marLeft w:val="0"/>
          <w:marRight w:val="0"/>
          <w:marTop w:val="0"/>
          <w:marBottom w:val="0"/>
          <w:divBdr>
            <w:top w:val="none" w:sz="0" w:space="0" w:color="auto"/>
            <w:left w:val="none" w:sz="0" w:space="0" w:color="auto"/>
            <w:bottom w:val="none" w:sz="0" w:space="0" w:color="auto"/>
            <w:right w:val="none" w:sz="0" w:space="0" w:color="auto"/>
          </w:divBdr>
        </w:div>
      </w:divsChild>
    </w:div>
    <w:div w:id="1049262210">
      <w:bodyDiv w:val="1"/>
      <w:marLeft w:val="0"/>
      <w:marRight w:val="0"/>
      <w:marTop w:val="0"/>
      <w:marBottom w:val="0"/>
      <w:divBdr>
        <w:top w:val="none" w:sz="0" w:space="0" w:color="auto"/>
        <w:left w:val="none" w:sz="0" w:space="0" w:color="auto"/>
        <w:bottom w:val="none" w:sz="0" w:space="0" w:color="auto"/>
        <w:right w:val="none" w:sz="0" w:space="0" w:color="auto"/>
      </w:divBdr>
      <w:divsChild>
        <w:div w:id="122818817">
          <w:marLeft w:val="0"/>
          <w:marRight w:val="0"/>
          <w:marTop w:val="0"/>
          <w:marBottom w:val="0"/>
          <w:divBdr>
            <w:top w:val="none" w:sz="0" w:space="0" w:color="auto"/>
            <w:left w:val="none" w:sz="0" w:space="0" w:color="auto"/>
            <w:bottom w:val="none" w:sz="0" w:space="0" w:color="auto"/>
            <w:right w:val="none" w:sz="0" w:space="0" w:color="auto"/>
          </w:divBdr>
        </w:div>
        <w:div w:id="1357971892">
          <w:marLeft w:val="0"/>
          <w:marRight w:val="0"/>
          <w:marTop w:val="0"/>
          <w:marBottom w:val="0"/>
          <w:divBdr>
            <w:top w:val="none" w:sz="0" w:space="0" w:color="auto"/>
            <w:left w:val="none" w:sz="0" w:space="0" w:color="auto"/>
            <w:bottom w:val="none" w:sz="0" w:space="0" w:color="auto"/>
            <w:right w:val="none" w:sz="0" w:space="0" w:color="auto"/>
          </w:divBdr>
        </w:div>
        <w:div w:id="1615861296">
          <w:marLeft w:val="0"/>
          <w:marRight w:val="0"/>
          <w:marTop w:val="0"/>
          <w:marBottom w:val="0"/>
          <w:divBdr>
            <w:top w:val="none" w:sz="0" w:space="0" w:color="auto"/>
            <w:left w:val="none" w:sz="0" w:space="0" w:color="auto"/>
            <w:bottom w:val="none" w:sz="0" w:space="0" w:color="auto"/>
            <w:right w:val="none" w:sz="0" w:space="0" w:color="auto"/>
          </w:divBdr>
        </w:div>
      </w:divsChild>
    </w:div>
    <w:div w:id="1050956338">
      <w:bodyDiv w:val="1"/>
      <w:marLeft w:val="0"/>
      <w:marRight w:val="0"/>
      <w:marTop w:val="0"/>
      <w:marBottom w:val="0"/>
      <w:divBdr>
        <w:top w:val="none" w:sz="0" w:space="0" w:color="auto"/>
        <w:left w:val="none" w:sz="0" w:space="0" w:color="auto"/>
        <w:bottom w:val="none" w:sz="0" w:space="0" w:color="auto"/>
        <w:right w:val="none" w:sz="0" w:space="0" w:color="auto"/>
      </w:divBdr>
      <w:divsChild>
        <w:div w:id="1789349924">
          <w:marLeft w:val="0"/>
          <w:marRight w:val="0"/>
          <w:marTop w:val="0"/>
          <w:marBottom w:val="0"/>
          <w:divBdr>
            <w:top w:val="none" w:sz="0" w:space="0" w:color="auto"/>
            <w:left w:val="none" w:sz="0" w:space="0" w:color="auto"/>
            <w:bottom w:val="none" w:sz="0" w:space="0" w:color="auto"/>
            <w:right w:val="none" w:sz="0" w:space="0" w:color="auto"/>
          </w:divBdr>
        </w:div>
        <w:div w:id="161431004">
          <w:marLeft w:val="0"/>
          <w:marRight w:val="0"/>
          <w:marTop w:val="0"/>
          <w:marBottom w:val="0"/>
          <w:divBdr>
            <w:top w:val="none" w:sz="0" w:space="0" w:color="auto"/>
            <w:left w:val="none" w:sz="0" w:space="0" w:color="auto"/>
            <w:bottom w:val="none" w:sz="0" w:space="0" w:color="auto"/>
            <w:right w:val="none" w:sz="0" w:space="0" w:color="auto"/>
          </w:divBdr>
        </w:div>
        <w:div w:id="1114907827">
          <w:marLeft w:val="0"/>
          <w:marRight w:val="0"/>
          <w:marTop w:val="0"/>
          <w:marBottom w:val="0"/>
          <w:divBdr>
            <w:top w:val="none" w:sz="0" w:space="0" w:color="auto"/>
            <w:left w:val="none" w:sz="0" w:space="0" w:color="auto"/>
            <w:bottom w:val="none" w:sz="0" w:space="0" w:color="auto"/>
            <w:right w:val="none" w:sz="0" w:space="0" w:color="auto"/>
          </w:divBdr>
        </w:div>
      </w:divsChild>
    </w:div>
    <w:div w:id="1056778019">
      <w:bodyDiv w:val="1"/>
      <w:marLeft w:val="0"/>
      <w:marRight w:val="0"/>
      <w:marTop w:val="0"/>
      <w:marBottom w:val="0"/>
      <w:divBdr>
        <w:top w:val="none" w:sz="0" w:space="0" w:color="auto"/>
        <w:left w:val="none" w:sz="0" w:space="0" w:color="auto"/>
        <w:bottom w:val="none" w:sz="0" w:space="0" w:color="auto"/>
        <w:right w:val="none" w:sz="0" w:space="0" w:color="auto"/>
      </w:divBdr>
      <w:divsChild>
        <w:div w:id="1863393087">
          <w:marLeft w:val="0"/>
          <w:marRight w:val="0"/>
          <w:marTop w:val="0"/>
          <w:marBottom w:val="0"/>
          <w:divBdr>
            <w:top w:val="none" w:sz="0" w:space="0" w:color="auto"/>
            <w:left w:val="none" w:sz="0" w:space="0" w:color="auto"/>
            <w:bottom w:val="none" w:sz="0" w:space="0" w:color="auto"/>
            <w:right w:val="none" w:sz="0" w:space="0" w:color="auto"/>
          </w:divBdr>
        </w:div>
        <w:div w:id="1285312444">
          <w:marLeft w:val="0"/>
          <w:marRight w:val="0"/>
          <w:marTop w:val="0"/>
          <w:marBottom w:val="0"/>
          <w:divBdr>
            <w:top w:val="none" w:sz="0" w:space="0" w:color="auto"/>
            <w:left w:val="none" w:sz="0" w:space="0" w:color="auto"/>
            <w:bottom w:val="none" w:sz="0" w:space="0" w:color="auto"/>
            <w:right w:val="none" w:sz="0" w:space="0" w:color="auto"/>
          </w:divBdr>
        </w:div>
        <w:div w:id="89275753">
          <w:marLeft w:val="0"/>
          <w:marRight w:val="0"/>
          <w:marTop w:val="0"/>
          <w:marBottom w:val="0"/>
          <w:divBdr>
            <w:top w:val="none" w:sz="0" w:space="0" w:color="auto"/>
            <w:left w:val="none" w:sz="0" w:space="0" w:color="auto"/>
            <w:bottom w:val="none" w:sz="0" w:space="0" w:color="auto"/>
            <w:right w:val="none" w:sz="0" w:space="0" w:color="auto"/>
          </w:divBdr>
        </w:div>
      </w:divsChild>
    </w:div>
    <w:div w:id="1078481732">
      <w:bodyDiv w:val="1"/>
      <w:marLeft w:val="0"/>
      <w:marRight w:val="0"/>
      <w:marTop w:val="0"/>
      <w:marBottom w:val="0"/>
      <w:divBdr>
        <w:top w:val="none" w:sz="0" w:space="0" w:color="auto"/>
        <w:left w:val="none" w:sz="0" w:space="0" w:color="auto"/>
        <w:bottom w:val="none" w:sz="0" w:space="0" w:color="auto"/>
        <w:right w:val="none" w:sz="0" w:space="0" w:color="auto"/>
      </w:divBdr>
      <w:divsChild>
        <w:div w:id="446242050">
          <w:marLeft w:val="0"/>
          <w:marRight w:val="0"/>
          <w:marTop w:val="0"/>
          <w:marBottom w:val="0"/>
          <w:divBdr>
            <w:top w:val="none" w:sz="0" w:space="0" w:color="auto"/>
            <w:left w:val="none" w:sz="0" w:space="0" w:color="auto"/>
            <w:bottom w:val="none" w:sz="0" w:space="0" w:color="auto"/>
            <w:right w:val="none" w:sz="0" w:space="0" w:color="auto"/>
          </w:divBdr>
        </w:div>
        <w:div w:id="1648392127">
          <w:marLeft w:val="0"/>
          <w:marRight w:val="0"/>
          <w:marTop w:val="0"/>
          <w:marBottom w:val="0"/>
          <w:divBdr>
            <w:top w:val="none" w:sz="0" w:space="0" w:color="auto"/>
            <w:left w:val="none" w:sz="0" w:space="0" w:color="auto"/>
            <w:bottom w:val="none" w:sz="0" w:space="0" w:color="auto"/>
            <w:right w:val="none" w:sz="0" w:space="0" w:color="auto"/>
          </w:divBdr>
        </w:div>
        <w:div w:id="70396942">
          <w:marLeft w:val="0"/>
          <w:marRight w:val="0"/>
          <w:marTop w:val="0"/>
          <w:marBottom w:val="0"/>
          <w:divBdr>
            <w:top w:val="none" w:sz="0" w:space="0" w:color="auto"/>
            <w:left w:val="none" w:sz="0" w:space="0" w:color="auto"/>
            <w:bottom w:val="none" w:sz="0" w:space="0" w:color="auto"/>
            <w:right w:val="none" w:sz="0" w:space="0" w:color="auto"/>
          </w:divBdr>
        </w:div>
      </w:divsChild>
    </w:div>
    <w:div w:id="1125931017">
      <w:bodyDiv w:val="1"/>
      <w:marLeft w:val="0"/>
      <w:marRight w:val="0"/>
      <w:marTop w:val="0"/>
      <w:marBottom w:val="0"/>
      <w:divBdr>
        <w:top w:val="none" w:sz="0" w:space="0" w:color="auto"/>
        <w:left w:val="none" w:sz="0" w:space="0" w:color="auto"/>
        <w:bottom w:val="none" w:sz="0" w:space="0" w:color="auto"/>
        <w:right w:val="none" w:sz="0" w:space="0" w:color="auto"/>
      </w:divBdr>
      <w:divsChild>
        <w:div w:id="51084900">
          <w:marLeft w:val="0"/>
          <w:marRight w:val="0"/>
          <w:marTop w:val="0"/>
          <w:marBottom w:val="0"/>
          <w:divBdr>
            <w:top w:val="none" w:sz="0" w:space="0" w:color="auto"/>
            <w:left w:val="none" w:sz="0" w:space="0" w:color="auto"/>
            <w:bottom w:val="none" w:sz="0" w:space="0" w:color="auto"/>
            <w:right w:val="none" w:sz="0" w:space="0" w:color="auto"/>
          </w:divBdr>
        </w:div>
        <w:div w:id="1600601714">
          <w:marLeft w:val="0"/>
          <w:marRight w:val="0"/>
          <w:marTop w:val="0"/>
          <w:marBottom w:val="0"/>
          <w:divBdr>
            <w:top w:val="none" w:sz="0" w:space="0" w:color="auto"/>
            <w:left w:val="none" w:sz="0" w:space="0" w:color="auto"/>
            <w:bottom w:val="none" w:sz="0" w:space="0" w:color="auto"/>
            <w:right w:val="none" w:sz="0" w:space="0" w:color="auto"/>
          </w:divBdr>
        </w:div>
        <w:div w:id="710156006">
          <w:marLeft w:val="0"/>
          <w:marRight w:val="0"/>
          <w:marTop w:val="0"/>
          <w:marBottom w:val="0"/>
          <w:divBdr>
            <w:top w:val="none" w:sz="0" w:space="0" w:color="auto"/>
            <w:left w:val="none" w:sz="0" w:space="0" w:color="auto"/>
            <w:bottom w:val="none" w:sz="0" w:space="0" w:color="auto"/>
            <w:right w:val="none" w:sz="0" w:space="0" w:color="auto"/>
          </w:divBdr>
        </w:div>
      </w:divsChild>
    </w:div>
    <w:div w:id="1136752467">
      <w:bodyDiv w:val="1"/>
      <w:marLeft w:val="0"/>
      <w:marRight w:val="0"/>
      <w:marTop w:val="0"/>
      <w:marBottom w:val="0"/>
      <w:divBdr>
        <w:top w:val="none" w:sz="0" w:space="0" w:color="auto"/>
        <w:left w:val="none" w:sz="0" w:space="0" w:color="auto"/>
        <w:bottom w:val="none" w:sz="0" w:space="0" w:color="auto"/>
        <w:right w:val="none" w:sz="0" w:space="0" w:color="auto"/>
      </w:divBdr>
      <w:divsChild>
        <w:div w:id="2056925210">
          <w:marLeft w:val="0"/>
          <w:marRight w:val="0"/>
          <w:marTop w:val="0"/>
          <w:marBottom w:val="0"/>
          <w:divBdr>
            <w:top w:val="none" w:sz="0" w:space="0" w:color="auto"/>
            <w:left w:val="none" w:sz="0" w:space="0" w:color="auto"/>
            <w:bottom w:val="none" w:sz="0" w:space="0" w:color="auto"/>
            <w:right w:val="none" w:sz="0" w:space="0" w:color="auto"/>
          </w:divBdr>
        </w:div>
        <w:div w:id="1846628312">
          <w:marLeft w:val="0"/>
          <w:marRight w:val="0"/>
          <w:marTop w:val="0"/>
          <w:marBottom w:val="0"/>
          <w:divBdr>
            <w:top w:val="none" w:sz="0" w:space="0" w:color="auto"/>
            <w:left w:val="none" w:sz="0" w:space="0" w:color="auto"/>
            <w:bottom w:val="none" w:sz="0" w:space="0" w:color="auto"/>
            <w:right w:val="none" w:sz="0" w:space="0" w:color="auto"/>
          </w:divBdr>
        </w:div>
        <w:div w:id="1007320429">
          <w:marLeft w:val="0"/>
          <w:marRight w:val="0"/>
          <w:marTop w:val="0"/>
          <w:marBottom w:val="0"/>
          <w:divBdr>
            <w:top w:val="none" w:sz="0" w:space="0" w:color="auto"/>
            <w:left w:val="none" w:sz="0" w:space="0" w:color="auto"/>
            <w:bottom w:val="none" w:sz="0" w:space="0" w:color="auto"/>
            <w:right w:val="none" w:sz="0" w:space="0" w:color="auto"/>
          </w:divBdr>
        </w:div>
      </w:divsChild>
    </w:div>
    <w:div w:id="1163817973">
      <w:bodyDiv w:val="1"/>
      <w:marLeft w:val="0"/>
      <w:marRight w:val="0"/>
      <w:marTop w:val="0"/>
      <w:marBottom w:val="0"/>
      <w:divBdr>
        <w:top w:val="none" w:sz="0" w:space="0" w:color="auto"/>
        <w:left w:val="none" w:sz="0" w:space="0" w:color="auto"/>
        <w:bottom w:val="none" w:sz="0" w:space="0" w:color="auto"/>
        <w:right w:val="none" w:sz="0" w:space="0" w:color="auto"/>
      </w:divBdr>
      <w:divsChild>
        <w:div w:id="51663941">
          <w:marLeft w:val="0"/>
          <w:marRight w:val="0"/>
          <w:marTop w:val="0"/>
          <w:marBottom w:val="0"/>
          <w:divBdr>
            <w:top w:val="none" w:sz="0" w:space="0" w:color="auto"/>
            <w:left w:val="none" w:sz="0" w:space="0" w:color="auto"/>
            <w:bottom w:val="none" w:sz="0" w:space="0" w:color="auto"/>
            <w:right w:val="none" w:sz="0" w:space="0" w:color="auto"/>
          </w:divBdr>
        </w:div>
        <w:div w:id="1878155110">
          <w:marLeft w:val="0"/>
          <w:marRight w:val="0"/>
          <w:marTop w:val="0"/>
          <w:marBottom w:val="0"/>
          <w:divBdr>
            <w:top w:val="none" w:sz="0" w:space="0" w:color="auto"/>
            <w:left w:val="none" w:sz="0" w:space="0" w:color="auto"/>
            <w:bottom w:val="none" w:sz="0" w:space="0" w:color="auto"/>
            <w:right w:val="none" w:sz="0" w:space="0" w:color="auto"/>
          </w:divBdr>
        </w:div>
        <w:div w:id="1637225258">
          <w:marLeft w:val="0"/>
          <w:marRight w:val="0"/>
          <w:marTop w:val="0"/>
          <w:marBottom w:val="0"/>
          <w:divBdr>
            <w:top w:val="none" w:sz="0" w:space="0" w:color="auto"/>
            <w:left w:val="none" w:sz="0" w:space="0" w:color="auto"/>
            <w:bottom w:val="none" w:sz="0" w:space="0" w:color="auto"/>
            <w:right w:val="none" w:sz="0" w:space="0" w:color="auto"/>
          </w:divBdr>
        </w:div>
      </w:divsChild>
    </w:div>
    <w:div w:id="1173641612">
      <w:bodyDiv w:val="1"/>
      <w:marLeft w:val="0"/>
      <w:marRight w:val="0"/>
      <w:marTop w:val="0"/>
      <w:marBottom w:val="0"/>
      <w:divBdr>
        <w:top w:val="none" w:sz="0" w:space="0" w:color="auto"/>
        <w:left w:val="none" w:sz="0" w:space="0" w:color="auto"/>
        <w:bottom w:val="none" w:sz="0" w:space="0" w:color="auto"/>
        <w:right w:val="none" w:sz="0" w:space="0" w:color="auto"/>
      </w:divBdr>
      <w:divsChild>
        <w:div w:id="198933940">
          <w:marLeft w:val="0"/>
          <w:marRight w:val="0"/>
          <w:marTop w:val="0"/>
          <w:marBottom w:val="0"/>
          <w:divBdr>
            <w:top w:val="none" w:sz="0" w:space="0" w:color="auto"/>
            <w:left w:val="none" w:sz="0" w:space="0" w:color="auto"/>
            <w:bottom w:val="none" w:sz="0" w:space="0" w:color="auto"/>
            <w:right w:val="none" w:sz="0" w:space="0" w:color="auto"/>
          </w:divBdr>
        </w:div>
        <w:div w:id="177238394">
          <w:marLeft w:val="0"/>
          <w:marRight w:val="0"/>
          <w:marTop w:val="0"/>
          <w:marBottom w:val="0"/>
          <w:divBdr>
            <w:top w:val="none" w:sz="0" w:space="0" w:color="auto"/>
            <w:left w:val="none" w:sz="0" w:space="0" w:color="auto"/>
            <w:bottom w:val="none" w:sz="0" w:space="0" w:color="auto"/>
            <w:right w:val="none" w:sz="0" w:space="0" w:color="auto"/>
          </w:divBdr>
        </w:div>
        <w:div w:id="2078287297">
          <w:marLeft w:val="0"/>
          <w:marRight w:val="0"/>
          <w:marTop w:val="0"/>
          <w:marBottom w:val="0"/>
          <w:divBdr>
            <w:top w:val="none" w:sz="0" w:space="0" w:color="auto"/>
            <w:left w:val="none" w:sz="0" w:space="0" w:color="auto"/>
            <w:bottom w:val="none" w:sz="0" w:space="0" w:color="auto"/>
            <w:right w:val="none" w:sz="0" w:space="0" w:color="auto"/>
          </w:divBdr>
        </w:div>
      </w:divsChild>
    </w:div>
    <w:div w:id="1221407526">
      <w:bodyDiv w:val="1"/>
      <w:marLeft w:val="0"/>
      <w:marRight w:val="0"/>
      <w:marTop w:val="0"/>
      <w:marBottom w:val="0"/>
      <w:divBdr>
        <w:top w:val="none" w:sz="0" w:space="0" w:color="auto"/>
        <w:left w:val="none" w:sz="0" w:space="0" w:color="auto"/>
        <w:bottom w:val="none" w:sz="0" w:space="0" w:color="auto"/>
        <w:right w:val="none" w:sz="0" w:space="0" w:color="auto"/>
      </w:divBdr>
      <w:divsChild>
        <w:div w:id="776799222">
          <w:marLeft w:val="0"/>
          <w:marRight w:val="0"/>
          <w:marTop w:val="0"/>
          <w:marBottom w:val="0"/>
          <w:divBdr>
            <w:top w:val="none" w:sz="0" w:space="0" w:color="auto"/>
            <w:left w:val="none" w:sz="0" w:space="0" w:color="auto"/>
            <w:bottom w:val="none" w:sz="0" w:space="0" w:color="auto"/>
            <w:right w:val="none" w:sz="0" w:space="0" w:color="auto"/>
          </w:divBdr>
        </w:div>
        <w:div w:id="1969236290">
          <w:marLeft w:val="0"/>
          <w:marRight w:val="0"/>
          <w:marTop w:val="0"/>
          <w:marBottom w:val="0"/>
          <w:divBdr>
            <w:top w:val="none" w:sz="0" w:space="0" w:color="auto"/>
            <w:left w:val="none" w:sz="0" w:space="0" w:color="auto"/>
            <w:bottom w:val="none" w:sz="0" w:space="0" w:color="auto"/>
            <w:right w:val="none" w:sz="0" w:space="0" w:color="auto"/>
          </w:divBdr>
        </w:div>
        <w:div w:id="1867400329">
          <w:marLeft w:val="0"/>
          <w:marRight w:val="0"/>
          <w:marTop w:val="0"/>
          <w:marBottom w:val="0"/>
          <w:divBdr>
            <w:top w:val="none" w:sz="0" w:space="0" w:color="auto"/>
            <w:left w:val="none" w:sz="0" w:space="0" w:color="auto"/>
            <w:bottom w:val="none" w:sz="0" w:space="0" w:color="auto"/>
            <w:right w:val="none" w:sz="0" w:space="0" w:color="auto"/>
          </w:divBdr>
        </w:div>
      </w:divsChild>
    </w:div>
    <w:div w:id="1237983671">
      <w:bodyDiv w:val="1"/>
      <w:marLeft w:val="0"/>
      <w:marRight w:val="0"/>
      <w:marTop w:val="0"/>
      <w:marBottom w:val="0"/>
      <w:divBdr>
        <w:top w:val="none" w:sz="0" w:space="0" w:color="auto"/>
        <w:left w:val="none" w:sz="0" w:space="0" w:color="auto"/>
        <w:bottom w:val="none" w:sz="0" w:space="0" w:color="auto"/>
        <w:right w:val="none" w:sz="0" w:space="0" w:color="auto"/>
      </w:divBdr>
    </w:div>
    <w:div w:id="1240481092">
      <w:bodyDiv w:val="1"/>
      <w:marLeft w:val="0"/>
      <w:marRight w:val="0"/>
      <w:marTop w:val="0"/>
      <w:marBottom w:val="0"/>
      <w:divBdr>
        <w:top w:val="none" w:sz="0" w:space="0" w:color="auto"/>
        <w:left w:val="none" w:sz="0" w:space="0" w:color="auto"/>
        <w:bottom w:val="none" w:sz="0" w:space="0" w:color="auto"/>
        <w:right w:val="none" w:sz="0" w:space="0" w:color="auto"/>
      </w:divBdr>
      <w:divsChild>
        <w:div w:id="740982173">
          <w:marLeft w:val="0"/>
          <w:marRight w:val="0"/>
          <w:marTop w:val="0"/>
          <w:marBottom w:val="0"/>
          <w:divBdr>
            <w:top w:val="none" w:sz="0" w:space="0" w:color="auto"/>
            <w:left w:val="none" w:sz="0" w:space="0" w:color="auto"/>
            <w:bottom w:val="none" w:sz="0" w:space="0" w:color="auto"/>
            <w:right w:val="none" w:sz="0" w:space="0" w:color="auto"/>
          </w:divBdr>
        </w:div>
        <w:div w:id="523786844">
          <w:marLeft w:val="0"/>
          <w:marRight w:val="0"/>
          <w:marTop w:val="0"/>
          <w:marBottom w:val="0"/>
          <w:divBdr>
            <w:top w:val="none" w:sz="0" w:space="0" w:color="auto"/>
            <w:left w:val="none" w:sz="0" w:space="0" w:color="auto"/>
            <w:bottom w:val="none" w:sz="0" w:space="0" w:color="auto"/>
            <w:right w:val="none" w:sz="0" w:space="0" w:color="auto"/>
          </w:divBdr>
        </w:div>
        <w:div w:id="702022980">
          <w:marLeft w:val="0"/>
          <w:marRight w:val="0"/>
          <w:marTop w:val="0"/>
          <w:marBottom w:val="0"/>
          <w:divBdr>
            <w:top w:val="none" w:sz="0" w:space="0" w:color="auto"/>
            <w:left w:val="none" w:sz="0" w:space="0" w:color="auto"/>
            <w:bottom w:val="none" w:sz="0" w:space="0" w:color="auto"/>
            <w:right w:val="none" w:sz="0" w:space="0" w:color="auto"/>
          </w:divBdr>
        </w:div>
      </w:divsChild>
    </w:div>
    <w:div w:id="1259631024">
      <w:bodyDiv w:val="1"/>
      <w:marLeft w:val="0"/>
      <w:marRight w:val="0"/>
      <w:marTop w:val="0"/>
      <w:marBottom w:val="0"/>
      <w:divBdr>
        <w:top w:val="none" w:sz="0" w:space="0" w:color="auto"/>
        <w:left w:val="none" w:sz="0" w:space="0" w:color="auto"/>
        <w:bottom w:val="none" w:sz="0" w:space="0" w:color="auto"/>
        <w:right w:val="none" w:sz="0" w:space="0" w:color="auto"/>
      </w:divBdr>
      <w:divsChild>
        <w:div w:id="615217046">
          <w:marLeft w:val="0"/>
          <w:marRight w:val="0"/>
          <w:marTop w:val="0"/>
          <w:marBottom w:val="0"/>
          <w:divBdr>
            <w:top w:val="none" w:sz="0" w:space="0" w:color="auto"/>
            <w:left w:val="none" w:sz="0" w:space="0" w:color="auto"/>
            <w:bottom w:val="none" w:sz="0" w:space="0" w:color="auto"/>
            <w:right w:val="none" w:sz="0" w:space="0" w:color="auto"/>
          </w:divBdr>
        </w:div>
        <w:div w:id="1839273596">
          <w:marLeft w:val="0"/>
          <w:marRight w:val="0"/>
          <w:marTop w:val="0"/>
          <w:marBottom w:val="0"/>
          <w:divBdr>
            <w:top w:val="none" w:sz="0" w:space="0" w:color="auto"/>
            <w:left w:val="none" w:sz="0" w:space="0" w:color="auto"/>
            <w:bottom w:val="none" w:sz="0" w:space="0" w:color="auto"/>
            <w:right w:val="none" w:sz="0" w:space="0" w:color="auto"/>
          </w:divBdr>
        </w:div>
        <w:div w:id="659118524">
          <w:marLeft w:val="0"/>
          <w:marRight w:val="0"/>
          <w:marTop w:val="0"/>
          <w:marBottom w:val="0"/>
          <w:divBdr>
            <w:top w:val="none" w:sz="0" w:space="0" w:color="auto"/>
            <w:left w:val="none" w:sz="0" w:space="0" w:color="auto"/>
            <w:bottom w:val="none" w:sz="0" w:space="0" w:color="auto"/>
            <w:right w:val="none" w:sz="0" w:space="0" w:color="auto"/>
          </w:divBdr>
        </w:div>
      </w:divsChild>
    </w:div>
    <w:div w:id="1267427065">
      <w:bodyDiv w:val="1"/>
      <w:marLeft w:val="0"/>
      <w:marRight w:val="0"/>
      <w:marTop w:val="0"/>
      <w:marBottom w:val="0"/>
      <w:divBdr>
        <w:top w:val="none" w:sz="0" w:space="0" w:color="auto"/>
        <w:left w:val="none" w:sz="0" w:space="0" w:color="auto"/>
        <w:bottom w:val="none" w:sz="0" w:space="0" w:color="auto"/>
        <w:right w:val="none" w:sz="0" w:space="0" w:color="auto"/>
      </w:divBdr>
      <w:divsChild>
        <w:div w:id="1902598510">
          <w:marLeft w:val="0"/>
          <w:marRight w:val="0"/>
          <w:marTop w:val="0"/>
          <w:marBottom w:val="0"/>
          <w:divBdr>
            <w:top w:val="none" w:sz="0" w:space="0" w:color="auto"/>
            <w:left w:val="none" w:sz="0" w:space="0" w:color="auto"/>
            <w:bottom w:val="none" w:sz="0" w:space="0" w:color="auto"/>
            <w:right w:val="none" w:sz="0" w:space="0" w:color="auto"/>
          </w:divBdr>
        </w:div>
        <w:div w:id="1715496277">
          <w:marLeft w:val="0"/>
          <w:marRight w:val="0"/>
          <w:marTop w:val="0"/>
          <w:marBottom w:val="0"/>
          <w:divBdr>
            <w:top w:val="none" w:sz="0" w:space="0" w:color="auto"/>
            <w:left w:val="none" w:sz="0" w:space="0" w:color="auto"/>
            <w:bottom w:val="none" w:sz="0" w:space="0" w:color="auto"/>
            <w:right w:val="none" w:sz="0" w:space="0" w:color="auto"/>
          </w:divBdr>
        </w:div>
        <w:div w:id="497232147">
          <w:marLeft w:val="0"/>
          <w:marRight w:val="0"/>
          <w:marTop w:val="0"/>
          <w:marBottom w:val="0"/>
          <w:divBdr>
            <w:top w:val="none" w:sz="0" w:space="0" w:color="auto"/>
            <w:left w:val="none" w:sz="0" w:space="0" w:color="auto"/>
            <w:bottom w:val="none" w:sz="0" w:space="0" w:color="auto"/>
            <w:right w:val="none" w:sz="0" w:space="0" w:color="auto"/>
          </w:divBdr>
        </w:div>
      </w:divsChild>
    </w:div>
    <w:div w:id="1311010833">
      <w:bodyDiv w:val="1"/>
      <w:marLeft w:val="0"/>
      <w:marRight w:val="0"/>
      <w:marTop w:val="0"/>
      <w:marBottom w:val="0"/>
      <w:divBdr>
        <w:top w:val="none" w:sz="0" w:space="0" w:color="auto"/>
        <w:left w:val="none" w:sz="0" w:space="0" w:color="auto"/>
        <w:bottom w:val="none" w:sz="0" w:space="0" w:color="auto"/>
        <w:right w:val="none" w:sz="0" w:space="0" w:color="auto"/>
      </w:divBdr>
      <w:divsChild>
        <w:div w:id="340202327">
          <w:marLeft w:val="0"/>
          <w:marRight w:val="0"/>
          <w:marTop w:val="0"/>
          <w:marBottom w:val="0"/>
          <w:divBdr>
            <w:top w:val="none" w:sz="0" w:space="0" w:color="auto"/>
            <w:left w:val="none" w:sz="0" w:space="0" w:color="auto"/>
            <w:bottom w:val="none" w:sz="0" w:space="0" w:color="auto"/>
            <w:right w:val="none" w:sz="0" w:space="0" w:color="auto"/>
          </w:divBdr>
        </w:div>
        <w:div w:id="1971743108">
          <w:marLeft w:val="0"/>
          <w:marRight w:val="0"/>
          <w:marTop w:val="0"/>
          <w:marBottom w:val="0"/>
          <w:divBdr>
            <w:top w:val="none" w:sz="0" w:space="0" w:color="auto"/>
            <w:left w:val="none" w:sz="0" w:space="0" w:color="auto"/>
            <w:bottom w:val="none" w:sz="0" w:space="0" w:color="auto"/>
            <w:right w:val="none" w:sz="0" w:space="0" w:color="auto"/>
          </w:divBdr>
        </w:div>
        <w:div w:id="84422741">
          <w:marLeft w:val="0"/>
          <w:marRight w:val="0"/>
          <w:marTop w:val="0"/>
          <w:marBottom w:val="0"/>
          <w:divBdr>
            <w:top w:val="none" w:sz="0" w:space="0" w:color="auto"/>
            <w:left w:val="none" w:sz="0" w:space="0" w:color="auto"/>
            <w:bottom w:val="none" w:sz="0" w:space="0" w:color="auto"/>
            <w:right w:val="none" w:sz="0" w:space="0" w:color="auto"/>
          </w:divBdr>
        </w:div>
      </w:divsChild>
    </w:div>
    <w:div w:id="1367756142">
      <w:bodyDiv w:val="1"/>
      <w:marLeft w:val="0"/>
      <w:marRight w:val="0"/>
      <w:marTop w:val="0"/>
      <w:marBottom w:val="0"/>
      <w:divBdr>
        <w:top w:val="none" w:sz="0" w:space="0" w:color="auto"/>
        <w:left w:val="none" w:sz="0" w:space="0" w:color="auto"/>
        <w:bottom w:val="none" w:sz="0" w:space="0" w:color="auto"/>
        <w:right w:val="none" w:sz="0" w:space="0" w:color="auto"/>
      </w:divBdr>
      <w:divsChild>
        <w:div w:id="170877798">
          <w:marLeft w:val="0"/>
          <w:marRight w:val="0"/>
          <w:marTop w:val="0"/>
          <w:marBottom w:val="0"/>
          <w:divBdr>
            <w:top w:val="none" w:sz="0" w:space="0" w:color="auto"/>
            <w:left w:val="none" w:sz="0" w:space="0" w:color="auto"/>
            <w:bottom w:val="none" w:sz="0" w:space="0" w:color="auto"/>
            <w:right w:val="none" w:sz="0" w:space="0" w:color="auto"/>
          </w:divBdr>
        </w:div>
        <w:div w:id="1785031649">
          <w:marLeft w:val="0"/>
          <w:marRight w:val="0"/>
          <w:marTop w:val="0"/>
          <w:marBottom w:val="0"/>
          <w:divBdr>
            <w:top w:val="none" w:sz="0" w:space="0" w:color="auto"/>
            <w:left w:val="none" w:sz="0" w:space="0" w:color="auto"/>
            <w:bottom w:val="none" w:sz="0" w:space="0" w:color="auto"/>
            <w:right w:val="none" w:sz="0" w:space="0" w:color="auto"/>
          </w:divBdr>
        </w:div>
        <w:div w:id="1048605152">
          <w:marLeft w:val="0"/>
          <w:marRight w:val="0"/>
          <w:marTop w:val="0"/>
          <w:marBottom w:val="0"/>
          <w:divBdr>
            <w:top w:val="none" w:sz="0" w:space="0" w:color="auto"/>
            <w:left w:val="none" w:sz="0" w:space="0" w:color="auto"/>
            <w:bottom w:val="none" w:sz="0" w:space="0" w:color="auto"/>
            <w:right w:val="none" w:sz="0" w:space="0" w:color="auto"/>
          </w:divBdr>
        </w:div>
      </w:divsChild>
    </w:div>
    <w:div w:id="1383628446">
      <w:bodyDiv w:val="1"/>
      <w:marLeft w:val="0"/>
      <w:marRight w:val="0"/>
      <w:marTop w:val="0"/>
      <w:marBottom w:val="0"/>
      <w:divBdr>
        <w:top w:val="none" w:sz="0" w:space="0" w:color="auto"/>
        <w:left w:val="none" w:sz="0" w:space="0" w:color="auto"/>
        <w:bottom w:val="none" w:sz="0" w:space="0" w:color="auto"/>
        <w:right w:val="none" w:sz="0" w:space="0" w:color="auto"/>
      </w:divBdr>
      <w:divsChild>
        <w:div w:id="512039430">
          <w:marLeft w:val="0"/>
          <w:marRight w:val="0"/>
          <w:marTop w:val="0"/>
          <w:marBottom w:val="0"/>
          <w:divBdr>
            <w:top w:val="none" w:sz="0" w:space="0" w:color="auto"/>
            <w:left w:val="none" w:sz="0" w:space="0" w:color="auto"/>
            <w:bottom w:val="none" w:sz="0" w:space="0" w:color="auto"/>
            <w:right w:val="none" w:sz="0" w:space="0" w:color="auto"/>
          </w:divBdr>
        </w:div>
        <w:div w:id="1684892762">
          <w:marLeft w:val="0"/>
          <w:marRight w:val="0"/>
          <w:marTop w:val="0"/>
          <w:marBottom w:val="0"/>
          <w:divBdr>
            <w:top w:val="none" w:sz="0" w:space="0" w:color="auto"/>
            <w:left w:val="none" w:sz="0" w:space="0" w:color="auto"/>
            <w:bottom w:val="none" w:sz="0" w:space="0" w:color="auto"/>
            <w:right w:val="none" w:sz="0" w:space="0" w:color="auto"/>
          </w:divBdr>
        </w:div>
        <w:div w:id="1468619915">
          <w:marLeft w:val="0"/>
          <w:marRight w:val="0"/>
          <w:marTop w:val="0"/>
          <w:marBottom w:val="0"/>
          <w:divBdr>
            <w:top w:val="none" w:sz="0" w:space="0" w:color="auto"/>
            <w:left w:val="none" w:sz="0" w:space="0" w:color="auto"/>
            <w:bottom w:val="none" w:sz="0" w:space="0" w:color="auto"/>
            <w:right w:val="none" w:sz="0" w:space="0" w:color="auto"/>
          </w:divBdr>
        </w:div>
      </w:divsChild>
    </w:div>
    <w:div w:id="1421442896">
      <w:bodyDiv w:val="1"/>
      <w:marLeft w:val="0"/>
      <w:marRight w:val="0"/>
      <w:marTop w:val="0"/>
      <w:marBottom w:val="0"/>
      <w:divBdr>
        <w:top w:val="none" w:sz="0" w:space="0" w:color="auto"/>
        <w:left w:val="none" w:sz="0" w:space="0" w:color="auto"/>
        <w:bottom w:val="none" w:sz="0" w:space="0" w:color="auto"/>
        <w:right w:val="none" w:sz="0" w:space="0" w:color="auto"/>
      </w:divBdr>
    </w:div>
    <w:div w:id="1470584653">
      <w:bodyDiv w:val="1"/>
      <w:marLeft w:val="0"/>
      <w:marRight w:val="0"/>
      <w:marTop w:val="0"/>
      <w:marBottom w:val="0"/>
      <w:divBdr>
        <w:top w:val="none" w:sz="0" w:space="0" w:color="auto"/>
        <w:left w:val="none" w:sz="0" w:space="0" w:color="auto"/>
        <w:bottom w:val="none" w:sz="0" w:space="0" w:color="auto"/>
        <w:right w:val="none" w:sz="0" w:space="0" w:color="auto"/>
      </w:divBdr>
      <w:divsChild>
        <w:div w:id="1435594800">
          <w:marLeft w:val="0"/>
          <w:marRight w:val="0"/>
          <w:marTop w:val="0"/>
          <w:marBottom w:val="0"/>
          <w:divBdr>
            <w:top w:val="none" w:sz="0" w:space="0" w:color="auto"/>
            <w:left w:val="none" w:sz="0" w:space="0" w:color="auto"/>
            <w:bottom w:val="none" w:sz="0" w:space="0" w:color="auto"/>
            <w:right w:val="none" w:sz="0" w:space="0" w:color="auto"/>
          </w:divBdr>
        </w:div>
        <w:div w:id="2079552129">
          <w:marLeft w:val="0"/>
          <w:marRight w:val="0"/>
          <w:marTop w:val="0"/>
          <w:marBottom w:val="0"/>
          <w:divBdr>
            <w:top w:val="none" w:sz="0" w:space="0" w:color="auto"/>
            <w:left w:val="none" w:sz="0" w:space="0" w:color="auto"/>
            <w:bottom w:val="none" w:sz="0" w:space="0" w:color="auto"/>
            <w:right w:val="none" w:sz="0" w:space="0" w:color="auto"/>
          </w:divBdr>
        </w:div>
        <w:div w:id="1832285439">
          <w:marLeft w:val="0"/>
          <w:marRight w:val="0"/>
          <w:marTop w:val="0"/>
          <w:marBottom w:val="0"/>
          <w:divBdr>
            <w:top w:val="none" w:sz="0" w:space="0" w:color="auto"/>
            <w:left w:val="none" w:sz="0" w:space="0" w:color="auto"/>
            <w:bottom w:val="none" w:sz="0" w:space="0" w:color="auto"/>
            <w:right w:val="none" w:sz="0" w:space="0" w:color="auto"/>
          </w:divBdr>
        </w:div>
      </w:divsChild>
    </w:div>
    <w:div w:id="1478448245">
      <w:bodyDiv w:val="1"/>
      <w:marLeft w:val="0"/>
      <w:marRight w:val="0"/>
      <w:marTop w:val="0"/>
      <w:marBottom w:val="0"/>
      <w:divBdr>
        <w:top w:val="none" w:sz="0" w:space="0" w:color="auto"/>
        <w:left w:val="none" w:sz="0" w:space="0" w:color="auto"/>
        <w:bottom w:val="none" w:sz="0" w:space="0" w:color="auto"/>
        <w:right w:val="none" w:sz="0" w:space="0" w:color="auto"/>
      </w:divBdr>
      <w:divsChild>
        <w:div w:id="504059219">
          <w:marLeft w:val="0"/>
          <w:marRight w:val="0"/>
          <w:marTop w:val="0"/>
          <w:marBottom w:val="0"/>
          <w:divBdr>
            <w:top w:val="none" w:sz="0" w:space="0" w:color="auto"/>
            <w:left w:val="none" w:sz="0" w:space="0" w:color="auto"/>
            <w:bottom w:val="none" w:sz="0" w:space="0" w:color="auto"/>
            <w:right w:val="none" w:sz="0" w:space="0" w:color="auto"/>
          </w:divBdr>
        </w:div>
        <w:div w:id="1682469665">
          <w:marLeft w:val="0"/>
          <w:marRight w:val="0"/>
          <w:marTop w:val="0"/>
          <w:marBottom w:val="0"/>
          <w:divBdr>
            <w:top w:val="none" w:sz="0" w:space="0" w:color="auto"/>
            <w:left w:val="none" w:sz="0" w:space="0" w:color="auto"/>
            <w:bottom w:val="none" w:sz="0" w:space="0" w:color="auto"/>
            <w:right w:val="none" w:sz="0" w:space="0" w:color="auto"/>
          </w:divBdr>
        </w:div>
        <w:div w:id="1684015731">
          <w:marLeft w:val="0"/>
          <w:marRight w:val="0"/>
          <w:marTop w:val="0"/>
          <w:marBottom w:val="0"/>
          <w:divBdr>
            <w:top w:val="none" w:sz="0" w:space="0" w:color="auto"/>
            <w:left w:val="none" w:sz="0" w:space="0" w:color="auto"/>
            <w:bottom w:val="none" w:sz="0" w:space="0" w:color="auto"/>
            <w:right w:val="none" w:sz="0" w:space="0" w:color="auto"/>
          </w:divBdr>
        </w:div>
      </w:divsChild>
    </w:div>
    <w:div w:id="1487941547">
      <w:bodyDiv w:val="1"/>
      <w:marLeft w:val="0"/>
      <w:marRight w:val="0"/>
      <w:marTop w:val="0"/>
      <w:marBottom w:val="0"/>
      <w:divBdr>
        <w:top w:val="none" w:sz="0" w:space="0" w:color="auto"/>
        <w:left w:val="none" w:sz="0" w:space="0" w:color="auto"/>
        <w:bottom w:val="none" w:sz="0" w:space="0" w:color="auto"/>
        <w:right w:val="none" w:sz="0" w:space="0" w:color="auto"/>
      </w:divBdr>
      <w:divsChild>
        <w:div w:id="1035231962">
          <w:marLeft w:val="0"/>
          <w:marRight w:val="0"/>
          <w:marTop w:val="0"/>
          <w:marBottom w:val="0"/>
          <w:divBdr>
            <w:top w:val="none" w:sz="0" w:space="0" w:color="auto"/>
            <w:left w:val="none" w:sz="0" w:space="0" w:color="auto"/>
            <w:bottom w:val="none" w:sz="0" w:space="0" w:color="auto"/>
            <w:right w:val="none" w:sz="0" w:space="0" w:color="auto"/>
          </w:divBdr>
        </w:div>
        <w:div w:id="1657614657">
          <w:marLeft w:val="0"/>
          <w:marRight w:val="0"/>
          <w:marTop w:val="0"/>
          <w:marBottom w:val="0"/>
          <w:divBdr>
            <w:top w:val="none" w:sz="0" w:space="0" w:color="auto"/>
            <w:left w:val="none" w:sz="0" w:space="0" w:color="auto"/>
            <w:bottom w:val="none" w:sz="0" w:space="0" w:color="auto"/>
            <w:right w:val="none" w:sz="0" w:space="0" w:color="auto"/>
          </w:divBdr>
        </w:div>
        <w:div w:id="641346203">
          <w:marLeft w:val="0"/>
          <w:marRight w:val="0"/>
          <w:marTop w:val="0"/>
          <w:marBottom w:val="0"/>
          <w:divBdr>
            <w:top w:val="none" w:sz="0" w:space="0" w:color="auto"/>
            <w:left w:val="none" w:sz="0" w:space="0" w:color="auto"/>
            <w:bottom w:val="none" w:sz="0" w:space="0" w:color="auto"/>
            <w:right w:val="none" w:sz="0" w:space="0" w:color="auto"/>
          </w:divBdr>
        </w:div>
      </w:divsChild>
    </w:div>
    <w:div w:id="1530097755">
      <w:bodyDiv w:val="1"/>
      <w:marLeft w:val="0"/>
      <w:marRight w:val="0"/>
      <w:marTop w:val="0"/>
      <w:marBottom w:val="0"/>
      <w:divBdr>
        <w:top w:val="none" w:sz="0" w:space="0" w:color="auto"/>
        <w:left w:val="none" w:sz="0" w:space="0" w:color="auto"/>
        <w:bottom w:val="none" w:sz="0" w:space="0" w:color="auto"/>
        <w:right w:val="none" w:sz="0" w:space="0" w:color="auto"/>
      </w:divBdr>
      <w:divsChild>
        <w:div w:id="1910576474">
          <w:marLeft w:val="0"/>
          <w:marRight w:val="0"/>
          <w:marTop w:val="0"/>
          <w:marBottom w:val="0"/>
          <w:divBdr>
            <w:top w:val="none" w:sz="0" w:space="0" w:color="auto"/>
            <w:left w:val="none" w:sz="0" w:space="0" w:color="auto"/>
            <w:bottom w:val="none" w:sz="0" w:space="0" w:color="auto"/>
            <w:right w:val="none" w:sz="0" w:space="0" w:color="auto"/>
          </w:divBdr>
        </w:div>
        <w:div w:id="947203223">
          <w:marLeft w:val="0"/>
          <w:marRight w:val="0"/>
          <w:marTop w:val="0"/>
          <w:marBottom w:val="0"/>
          <w:divBdr>
            <w:top w:val="none" w:sz="0" w:space="0" w:color="auto"/>
            <w:left w:val="none" w:sz="0" w:space="0" w:color="auto"/>
            <w:bottom w:val="none" w:sz="0" w:space="0" w:color="auto"/>
            <w:right w:val="none" w:sz="0" w:space="0" w:color="auto"/>
          </w:divBdr>
        </w:div>
        <w:div w:id="1021854235">
          <w:marLeft w:val="0"/>
          <w:marRight w:val="0"/>
          <w:marTop w:val="0"/>
          <w:marBottom w:val="0"/>
          <w:divBdr>
            <w:top w:val="none" w:sz="0" w:space="0" w:color="auto"/>
            <w:left w:val="none" w:sz="0" w:space="0" w:color="auto"/>
            <w:bottom w:val="none" w:sz="0" w:space="0" w:color="auto"/>
            <w:right w:val="none" w:sz="0" w:space="0" w:color="auto"/>
          </w:divBdr>
        </w:div>
      </w:divsChild>
    </w:div>
    <w:div w:id="1542012918">
      <w:bodyDiv w:val="1"/>
      <w:marLeft w:val="0"/>
      <w:marRight w:val="0"/>
      <w:marTop w:val="0"/>
      <w:marBottom w:val="0"/>
      <w:divBdr>
        <w:top w:val="none" w:sz="0" w:space="0" w:color="auto"/>
        <w:left w:val="none" w:sz="0" w:space="0" w:color="auto"/>
        <w:bottom w:val="none" w:sz="0" w:space="0" w:color="auto"/>
        <w:right w:val="none" w:sz="0" w:space="0" w:color="auto"/>
      </w:divBdr>
      <w:divsChild>
        <w:div w:id="1458378717">
          <w:marLeft w:val="0"/>
          <w:marRight w:val="0"/>
          <w:marTop w:val="0"/>
          <w:marBottom w:val="0"/>
          <w:divBdr>
            <w:top w:val="none" w:sz="0" w:space="0" w:color="auto"/>
            <w:left w:val="none" w:sz="0" w:space="0" w:color="auto"/>
            <w:bottom w:val="none" w:sz="0" w:space="0" w:color="auto"/>
            <w:right w:val="none" w:sz="0" w:space="0" w:color="auto"/>
          </w:divBdr>
        </w:div>
        <w:div w:id="2104495447">
          <w:marLeft w:val="0"/>
          <w:marRight w:val="0"/>
          <w:marTop w:val="0"/>
          <w:marBottom w:val="0"/>
          <w:divBdr>
            <w:top w:val="none" w:sz="0" w:space="0" w:color="auto"/>
            <w:left w:val="none" w:sz="0" w:space="0" w:color="auto"/>
            <w:bottom w:val="none" w:sz="0" w:space="0" w:color="auto"/>
            <w:right w:val="none" w:sz="0" w:space="0" w:color="auto"/>
          </w:divBdr>
        </w:div>
      </w:divsChild>
    </w:div>
    <w:div w:id="1545826589">
      <w:bodyDiv w:val="1"/>
      <w:marLeft w:val="0"/>
      <w:marRight w:val="0"/>
      <w:marTop w:val="0"/>
      <w:marBottom w:val="0"/>
      <w:divBdr>
        <w:top w:val="none" w:sz="0" w:space="0" w:color="auto"/>
        <w:left w:val="none" w:sz="0" w:space="0" w:color="auto"/>
        <w:bottom w:val="none" w:sz="0" w:space="0" w:color="auto"/>
        <w:right w:val="none" w:sz="0" w:space="0" w:color="auto"/>
      </w:divBdr>
      <w:divsChild>
        <w:div w:id="2100329229">
          <w:marLeft w:val="0"/>
          <w:marRight w:val="0"/>
          <w:marTop w:val="0"/>
          <w:marBottom w:val="0"/>
          <w:divBdr>
            <w:top w:val="none" w:sz="0" w:space="0" w:color="auto"/>
            <w:left w:val="none" w:sz="0" w:space="0" w:color="auto"/>
            <w:bottom w:val="none" w:sz="0" w:space="0" w:color="auto"/>
            <w:right w:val="none" w:sz="0" w:space="0" w:color="auto"/>
          </w:divBdr>
        </w:div>
        <w:div w:id="1222786268">
          <w:marLeft w:val="0"/>
          <w:marRight w:val="0"/>
          <w:marTop w:val="0"/>
          <w:marBottom w:val="0"/>
          <w:divBdr>
            <w:top w:val="none" w:sz="0" w:space="0" w:color="auto"/>
            <w:left w:val="none" w:sz="0" w:space="0" w:color="auto"/>
            <w:bottom w:val="none" w:sz="0" w:space="0" w:color="auto"/>
            <w:right w:val="none" w:sz="0" w:space="0" w:color="auto"/>
          </w:divBdr>
        </w:div>
        <w:div w:id="1613391343">
          <w:marLeft w:val="0"/>
          <w:marRight w:val="0"/>
          <w:marTop w:val="0"/>
          <w:marBottom w:val="0"/>
          <w:divBdr>
            <w:top w:val="none" w:sz="0" w:space="0" w:color="auto"/>
            <w:left w:val="none" w:sz="0" w:space="0" w:color="auto"/>
            <w:bottom w:val="none" w:sz="0" w:space="0" w:color="auto"/>
            <w:right w:val="none" w:sz="0" w:space="0" w:color="auto"/>
          </w:divBdr>
        </w:div>
      </w:divsChild>
    </w:div>
    <w:div w:id="1577134354">
      <w:bodyDiv w:val="1"/>
      <w:marLeft w:val="0"/>
      <w:marRight w:val="0"/>
      <w:marTop w:val="0"/>
      <w:marBottom w:val="0"/>
      <w:divBdr>
        <w:top w:val="none" w:sz="0" w:space="0" w:color="auto"/>
        <w:left w:val="none" w:sz="0" w:space="0" w:color="auto"/>
        <w:bottom w:val="none" w:sz="0" w:space="0" w:color="auto"/>
        <w:right w:val="none" w:sz="0" w:space="0" w:color="auto"/>
      </w:divBdr>
    </w:div>
    <w:div w:id="1608537724">
      <w:bodyDiv w:val="1"/>
      <w:marLeft w:val="0"/>
      <w:marRight w:val="0"/>
      <w:marTop w:val="0"/>
      <w:marBottom w:val="0"/>
      <w:divBdr>
        <w:top w:val="none" w:sz="0" w:space="0" w:color="auto"/>
        <w:left w:val="none" w:sz="0" w:space="0" w:color="auto"/>
        <w:bottom w:val="none" w:sz="0" w:space="0" w:color="auto"/>
        <w:right w:val="none" w:sz="0" w:space="0" w:color="auto"/>
      </w:divBdr>
    </w:div>
    <w:div w:id="1636449762">
      <w:bodyDiv w:val="1"/>
      <w:marLeft w:val="0"/>
      <w:marRight w:val="0"/>
      <w:marTop w:val="0"/>
      <w:marBottom w:val="0"/>
      <w:divBdr>
        <w:top w:val="none" w:sz="0" w:space="0" w:color="auto"/>
        <w:left w:val="none" w:sz="0" w:space="0" w:color="auto"/>
        <w:bottom w:val="none" w:sz="0" w:space="0" w:color="auto"/>
        <w:right w:val="none" w:sz="0" w:space="0" w:color="auto"/>
      </w:divBdr>
      <w:divsChild>
        <w:div w:id="1199471737">
          <w:marLeft w:val="0"/>
          <w:marRight w:val="0"/>
          <w:marTop w:val="0"/>
          <w:marBottom w:val="0"/>
          <w:divBdr>
            <w:top w:val="none" w:sz="0" w:space="0" w:color="auto"/>
            <w:left w:val="none" w:sz="0" w:space="0" w:color="auto"/>
            <w:bottom w:val="none" w:sz="0" w:space="0" w:color="auto"/>
            <w:right w:val="none" w:sz="0" w:space="0" w:color="auto"/>
          </w:divBdr>
        </w:div>
        <w:div w:id="1559047369">
          <w:marLeft w:val="0"/>
          <w:marRight w:val="0"/>
          <w:marTop w:val="0"/>
          <w:marBottom w:val="0"/>
          <w:divBdr>
            <w:top w:val="none" w:sz="0" w:space="0" w:color="auto"/>
            <w:left w:val="none" w:sz="0" w:space="0" w:color="auto"/>
            <w:bottom w:val="none" w:sz="0" w:space="0" w:color="auto"/>
            <w:right w:val="none" w:sz="0" w:space="0" w:color="auto"/>
          </w:divBdr>
        </w:div>
        <w:div w:id="585189094">
          <w:marLeft w:val="0"/>
          <w:marRight w:val="0"/>
          <w:marTop w:val="0"/>
          <w:marBottom w:val="0"/>
          <w:divBdr>
            <w:top w:val="none" w:sz="0" w:space="0" w:color="auto"/>
            <w:left w:val="none" w:sz="0" w:space="0" w:color="auto"/>
            <w:bottom w:val="none" w:sz="0" w:space="0" w:color="auto"/>
            <w:right w:val="none" w:sz="0" w:space="0" w:color="auto"/>
          </w:divBdr>
        </w:div>
      </w:divsChild>
    </w:div>
    <w:div w:id="1647934427">
      <w:bodyDiv w:val="1"/>
      <w:marLeft w:val="0"/>
      <w:marRight w:val="0"/>
      <w:marTop w:val="0"/>
      <w:marBottom w:val="0"/>
      <w:divBdr>
        <w:top w:val="none" w:sz="0" w:space="0" w:color="auto"/>
        <w:left w:val="none" w:sz="0" w:space="0" w:color="auto"/>
        <w:bottom w:val="none" w:sz="0" w:space="0" w:color="auto"/>
        <w:right w:val="none" w:sz="0" w:space="0" w:color="auto"/>
      </w:divBdr>
      <w:divsChild>
        <w:div w:id="150490418">
          <w:marLeft w:val="0"/>
          <w:marRight w:val="0"/>
          <w:marTop w:val="0"/>
          <w:marBottom w:val="0"/>
          <w:divBdr>
            <w:top w:val="none" w:sz="0" w:space="0" w:color="auto"/>
            <w:left w:val="none" w:sz="0" w:space="0" w:color="auto"/>
            <w:bottom w:val="none" w:sz="0" w:space="0" w:color="auto"/>
            <w:right w:val="none" w:sz="0" w:space="0" w:color="auto"/>
          </w:divBdr>
        </w:div>
        <w:div w:id="376901642">
          <w:marLeft w:val="0"/>
          <w:marRight w:val="0"/>
          <w:marTop w:val="0"/>
          <w:marBottom w:val="0"/>
          <w:divBdr>
            <w:top w:val="none" w:sz="0" w:space="0" w:color="auto"/>
            <w:left w:val="none" w:sz="0" w:space="0" w:color="auto"/>
            <w:bottom w:val="none" w:sz="0" w:space="0" w:color="auto"/>
            <w:right w:val="none" w:sz="0" w:space="0" w:color="auto"/>
          </w:divBdr>
        </w:div>
        <w:div w:id="1845243338">
          <w:marLeft w:val="0"/>
          <w:marRight w:val="0"/>
          <w:marTop w:val="0"/>
          <w:marBottom w:val="0"/>
          <w:divBdr>
            <w:top w:val="none" w:sz="0" w:space="0" w:color="auto"/>
            <w:left w:val="none" w:sz="0" w:space="0" w:color="auto"/>
            <w:bottom w:val="none" w:sz="0" w:space="0" w:color="auto"/>
            <w:right w:val="none" w:sz="0" w:space="0" w:color="auto"/>
          </w:divBdr>
        </w:div>
      </w:divsChild>
    </w:div>
    <w:div w:id="1700083175">
      <w:bodyDiv w:val="1"/>
      <w:marLeft w:val="0"/>
      <w:marRight w:val="0"/>
      <w:marTop w:val="0"/>
      <w:marBottom w:val="0"/>
      <w:divBdr>
        <w:top w:val="none" w:sz="0" w:space="0" w:color="auto"/>
        <w:left w:val="none" w:sz="0" w:space="0" w:color="auto"/>
        <w:bottom w:val="none" w:sz="0" w:space="0" w:color="auto"/>
        <w:right w:val="none" w:sz="0" w:space="0" w:color="auto"/>
      </w:divBdr>
      <w:divsChild>
        <w:div w:id="1038244426">
          <w:marLeft w:val="0"/>
          <w:marRight w:val="0"/>
          <w:marTop w:val="0"/>
          <w:marBottom w:val="0"/>
          <w:divBdr>
            <w:top w:val="none" w:sz="0" w:space="0" w:color="auto"/>
            <w:left w:val="none" w:sz="0" w:space="0" w:color="auto"/>
            <w:bottom w:val="none" w:sz="0" w:space="0" w:color="auto"/>
            <w:right w:val="none" w:sz="0" w:space="0" w:color="auto"/>
          </w:divBdr>
        </w:div>
        <w:div w:id="1512601354">
          <w:marLeft w:val="0"/>
          <w:marRight w:val="0"/>
          <w:marTop w:val="0"/>
          <w:marBottom w:val="0"/>
          <w:divBdr>
            <w:top w:val="none" w:sz="0" w:space="0" w:color="auto"/>
            <w:left w:val="none" w:sz="0" w:space="0" w:color="auto"/>
            <w:bottom w:val="none" w:sz="0" w:space="0" w:color="auto"/>
            <w:right w:val="none" w:sz="0" w:space="0" w:color="auto"/>
          </w:divBdr>
        </w:div>
        <w:div w:id="1994333418">
          <w:marLeft w:val="0"/>
          <w:marRight w:val="0"/>
          <w:marTop w:val="0"/>
          <w:marBottom w:val="0"/>
          <w:divBdr>
            <w:top w:val="none" w:sz="0" w:space="0" w:color="auto"/>
            <w:left w:val="none" w:sz="0" w:space="0" w:color="auto"/>
            <w:bottom w:val="none" w:sz="0" w:space="0" w:color="auto"/>
            <w:right w:val="none" w:sz="0" w:space="0" w:color="auto"/>
          </w:divBdr>
        </w:div>
      </w:divsChild>
    </w:div>
    <w:div w:id="1723477919">
      <w:bodyDiv w:val="1"/>
      <w:marLeft w:val="0"/>
      <w:marRight w:val="0"/>
      <w:marTop w:val="0"/>
      <w:marBottom w:val="0"/>
      <w:divBdr>
        <w:top w:val="none" w:sz="0" w:space="0" w:color="auto"/>
        <w:left w:val="none" w:sz="0" w:space="0" w:color="auto"/>
        <w:bottom w:val="none" w:sz="0" w:space="0" w:color="auto"/>
        <w:right w:val="none" w:sz="0" w:space="0" w:color="auto"/>
      </w:divBdr>
      <w:divsChild>
        <w:div w:id="998580481">
          <w:marLeft w:val="0"/>
          <w:marRight w:val="0"/>
          <w:marTop w:val="0"/>
          <w:marBottom w:val="0"/>
          <w:divBdr>
            <w:top w:val="none" w:sz="0" w:space="0" w:color="auto"/>
            <w:left w:val="none" w:sz="0" w:space="0" w:color="auto"/>
            <w:bottom w:val="none" w:sz="0" w:space="0" w:color="auto"/>
            <w:right w:val="none" w:sz="0" w:space="0" w:color="auto"/>
          </w:divBdr>
        </w:div>
        <w:div w:id="901906605">
          <w:marLeft w:val="0"/>
          <w:marRight w:val="0"/>
          <w:marTop w:val="0"/>
          <w:marBottom w:val="0"/>
          <w:divBdr>
            <w:top w:val="none" w:sz="0" w:space="0" w:color="auto"/>
            <w:left w:val="none" w:sz="0" w:space="0" w:color="auto"/>
            <w:bottom w:val="none" w:sz="0" w:space="0" w:color="auto"/>
            <w:right w:val="none" w:sz="0" w:space="0" w:color="auto"/>
          </w:divBdr>
        </w:div>
        <w:div w:id="1782458793">
          <w:marLeft w:val="0"/>
          <w:marRight w:val="0"/>
          <w:marTop w:val="0"/>
          <w:marBottom w:val="0"/>
          <w:divBdr>
            <w:top w:val="none" w:sz="0" w:space="0" w:color="auto"/>
            <w:left w:val="none" w:sz="0" w:space="0" w:color="auto"/>
            <w:bottom w:val="none" w:sz="0" w:space="0" w:color="auto"/>
            <w:right w:val="none" w:sz="0" w:space="0" w:color="auto"/>
          </w:divBdr>
        </w:div>
      </w:divsChild>
    </w:div>
    <w:div w:id="1723598690">
      <w:bodyDiv w:val="1"/>
      <w:marLeft w:val="0"/>
      <w:marRight w:val="0"/>
      <w:marTop w:val="0"/>
      <w:marBottom w:val="0"/>
      <w:divBdr>
        <w:top w:val="none" w:sz="0" w:space="0" w:color="auto"/>
        <w:left w:val="none" w:sz="0" w:space="0" w:color="auto"/>
        <w:bottom w:val="none" w:sz="0" w:space="0" w:color="auto"/>
        <w:right w:val="none" w:sz="0" w:space="0" w:color="auto"/>
      </w:divBdr>
      <w:divsChild>
        <w:div w:id="512690278">
          <w:marLeft w:val="0"/>
          <w:marRight w:val="0"/>
          <w:marTop w:val="0"/>
          <w:marBottom w:val="0"/>
          <w:divBdr>
            <w:top w:val="none" w:sz="0" w:space="0" w:color="auto"/>
            <w:left w:val="none" w:sz="0" w:space="0" w:color="auto"/>
            <w:bottom w:val="none" w:sz="0" w:space="0" w:color="auto"/>
            <w:right w:val="none" w:sz="0" w:space="0" w:color="auto"/>
          </w:divBdr>
        </w:div>
        <w:div w:id="1047951460">
          <w:marLeft w:val="0"/>
          <w:marRight w:val="0"/>
          <w:marTop w:val="0"/>
          <w:marBottom w:val="0"/>
          <w:divBdr>
            <w:top w:val="none" w:sz="0" w:space="0" w:color="auto"/>
            <w:left w:val="none" w:sz="0" w:space="0" w:color="auto"/>
            <w:bottom w:val="none" w:sz="0" w:space="0" w:color="auto"/>
            <w:right w:val="none" w:sz="0" w:space="0" w:color="auto"/>
          </w:divBdr>
        </w:div>
        <w:div w:id="1160803400">
          <w:marLeft w:val="0"/>
          <w:marRight w:val="0"/>
          <w:marTop w:val="0"/>
          <w:marBottom w:val="0"/>
          <w:divBdr>
            <w:top w:val="none" w:sz="0" w:space="0" w:color="auto"/>
            <w:left w:val="none" w:sz="0" w:space="0" w:color="auto"/>
            <w:bottom w:val="none" w:sz="0" w:space="0" w:color="auto"/>
            <w:right w:val="none" w:sz="0" w:space="0" w:color="auto"/>
          </w:divBdr>
        </w:div>
      </w:divsChild>
    </w:div>
    <w:div w:id="1728458540">
      <w:bodyDiv w:val="1"/>
      <w:marLeft w:val="0"/>
      <w:marRight w:val="0"/>
      <w:marTop w:val="0"/>
      <w:marBottom w:val="0"/>
      <w:divBdr>
        <w:top w:val="none" w:sz="0" w:space="0" w:color="auto"/>
        <w:left w:val="none" w:sz="0" w:space="0" w:color="auto"/>
        <w:bottom w:val="none" w:sz="0" w:space="0" w:color="auto"/>
        <w:right w:val="none" w:sz="0" w:space="0" w:color="auto"/>
      </w:divBdr>
      <w:divsChild>
        <w:div w:id="1247107903">
          <w:marLeft w:val="0"/>
          <w:marRight w:val="0"/>
          <w:marTop w:val="0"/>
          <w:marBottom w:val="0"/>
          <w:divBdr>
            <w:top w:val="none" w:sz="0" w:space="0" w:color="auto"/>
            <w:left w:val="none" w:sz="0" w:space="0" w:color="auto"/>
            <w:bottom w:val="none" w:sz="0" w:space="0" w:color="auto"/>
            <w:right w:val="none" w:sz="0" w:space="0" w:color="auto"/>
          </w:divBdr>
        </w:div>
        <w:div w:id="335572688">
          <w:marLeft w:val="0"/>
          <w:marRight w:val="0"/>
          <w:marTop w:val="0"/>
          <w:marBottom w:val="0"/>
          <w:divBdr>
            <w:top w:val="none" w:sz="0" w:space="0" w:color="auto"/>
            <w:left w:val="none" w:sz="0" w:space="0" w:color="auto"/>
            <w:bottom w:val="none" w:sz="0" w:space="0" w:color="auto"/>
            <w:right w:val="none" w:sz="0" w:space="0" w:color="auto"/>
          </w:divBdr>
        </w:div>
        <w:div w:id="1272007217">
          <w:marLeft w:val="0"/>
          <w:marRight w:val="0"/>
          <w:marTop w:val="0"/>
          <w:marBottom w:val="0"/>
          <w:divBdr>
            <w:top w:val="none" w:sz="0" w:space="0" w:color="auto"/>
            <w:left w:val="none" w:sz="0" w:space="0" w:color="auto"/>
            <w:bottom w:val="none" w:sz="0" w:space="0" w:color="auto"/>
            <w:right w:val="none" w:sz="0" w:space="0" w:color="auto"/>
          </w:divBdr>
        </w:div>
      </w:divsChild>
    </w:div>
    <w:div w:id="1746610831">
      <w:bodyDiv w:val="1"/>
      <w:marLeft w:val="0"/>
      <w:marRight w:val="0"/>
      <w:marTop w:val="0"/>
      <w:marBottom w:val="0"/>
      <w:divBdr>
        <w:top w:val="none" w:sz="0" w:space="0" w:color="auto"/>
        <w:left w:val="none" w:sz="0" w:space="0" w:color="auto"/>
        <w:bottom w:val="none" w:sz="0" w:space="0" w:color="auto"/>
        <w:right w:val="none" w:sz="0" w:space="0" w:color="auto"/>
      </w:divBdr>
    </w:div>
    <w:div w:id="1748459233">
      <w:bodyDiv w:val="1"/>
      <w:marLeft w:val="0"/>
      <w:marRight w:val="0"/>
      <w:marTop w:val="0"/>
      <w:marBottom w:val="0"/>
      <w:divBdr>
        <w:top w:val="none" w:sz="0" w:space="0" w:color="auto"/>
        <w:left w:val="none" w:sz="0" w:space="0" w:color="auto"/>
        <w:bottom w:val="none" w:sz="0" w:space="0" w:color="auto"/>
        <w:right w:val="none" w:sz="0" w:space="0" w:color="auto"/>
      </w:divBdr>
      <w:divsChild>
        <w:div w:id="2041465122">
          <w:marLeft w:val="0"/>
          <w:marRight w:val="0"/>
          <w:marTop w:val="0"/>
          <w:marBottom w:val="0"/>
          <w:divBdr>
            <w:top w:val="none" w:sz="0" w:space="0" w:color="auto"/>
            <w:left w:val="none" w:sz="0" w:space="0" w:color="auto"/>
            <w:bottom w:val="none" w:sz="0" w:space="0" w:color="auto"/>
            <w:right w:val="none" w:sz="0" w:space="0" w:color="auto"/>
          </w:divBdr>
        </w:div>
        <w:div w:id="877161395">
          <w:marLeft w:val="0"/>
          <w:marRight w:val="0"/>
          <w:marTop w:val="0"/>
          <w:marBottom w:val="0"/>
          <w:divBdr>
            <w:top w:val="none" w:sz="0" w:space="0" w:color="auto"/>
            <w:left w:val="none" w:sz="0" w:space="0" w:color="auto"/>
            <w:bottom w:val="none" w:sz="0" w:space="0" w:color="auto"/>
            <w:right w:val="none" w:sz="0" w:space="0" w:color="auto"/>
          </w:divBdr>
        </w:div>
        <w:div w:id="1605920021">
          <w:marLeft w:val="0"/>
          <w:marRight w:val="0"/>
          <w:marTop w:val="0"/>
          <w:marBottom w:val="0"/>
          <w:divBdr>
            <w:top w:val="none" w:sz="0" w:space="0" w:color="auto"/>
            <w:left w:val="none" w:sz="0" w:space="0" w:color="auto"/>
            <w:bottom w:val="none" w:sz="0" w:space="0" w:color="auto"/>
            <w:right w:val="none" w:sz="0" w:space="0" w:color="auto"/>
          </w:divBdr>
        </w:div>
      </w:divsChild>
    </w:div>
    <w:div w:id="1757898930">
      <w:bodyDiv w:val="1"/>
      <w:marLeft w:val="0"/>
      <w:marRight w:val="0"/>
      <w:marTop w:val="0"/>
      <w:marBottom w:val="0"/>
      <w:divBdr>
        <w:top w:val="none" w:sz="0" w:space="0" w:color="auto"/>
        <w:left w:val="none" w:sz="0" w:space="0" w:color="auto"/>
        <w:bottom w:val="none" w:sz="0" w:space="0" w:color="auto"/>
        <w:right w:val="none" w:sz="0" w:space="0" w:color="auto"/>
      </w:divBdr>
      <w:divsChild>
        <w:div w:id="1093666883">
          <w:marLeft w:val="0"/>
          <w:marRight w:val="0"/>
          <w:marTop w:val="0"/>
          <w:marBottom w:val="0"/>
          <w:divBdr>
            <w:top w:val="none" w:sz="0" w:space="0" w:color="auto"/>
            <w:left w:val="none" w:sz="0" w:space="0" w:color="auto"/>
            <w:bottom w:val="none" w:sz="0" w:space="0" w:color="auto"/>
            <w:right w:val="none" w:sz="0" w:space="0" w:color="auto"/>
          </w:divBdr>
        </w:div>
        <w:div w:id="1834104958">
          <w:marLeft w:val="0"/>
          <w:marRight w:val="0"/>
          <w:marTop w:val="0"/>
          <w:marBottom w:val="0"/>
          <w:divBdr>
            <w:top w:val="none" w:sz="0" w:space="0" w:color="auto"/>
            <w:left w:val="none" w:sz="0" w:space="0" w:color="auto"/>
            <w:bottom w:val="none" w:sz="0" w:space="0" w:color="auto"/>
            <w:right w:val="none" w:sz="0" w:space="0" w:color="auto"/>
          </w:divBdr>
        </w:div>
      </w:divsChild>
    </w:div>
    <w:div w:id="1799491849">
      <w:bodyDiv w:val="1"/>
      <w:marLeft w:val="0"/>
      <w:marRight w:val="0"/>
      <w:marTop w:val="0"/>
      <w:marBottom w:val="0"/>
      <w:divBdr>
        <w:top w:val="none" w:sz="0" w:space="0" w:color="auto"/>
        <w:left w:val="none" w:sz="0" w:space="0" w:color="auto"/>
        <w:bottom w:val="none" w:sz="0" w:space="0" w:color="auto"/>
        <w:right w:val="none" w:sz="0" w:space="0" w:color="auto"/>
      </w:divBdr>
      <w:divsChild>
        <w:div w:id="1046758060">
          <w:marLeft w:val="0"/>
          <w:marRight w:val="0"/>
          <w:marTop w:val="0"/>
          <w:marBottom w:val="0"/>
          <w:divBdr>
            <w:top w:val="none" w:sz="0" w:space="0" w:color="auto"/>
            <w:left w:val="none" w:sz="0" w:space="0" w:color="auto"/>
            <w:bottom w:val="none" w:sz="0" w:space="0" w:color="auto"/>
            <w:right w:val="none" w:sz="0" w:space="0" w:color="auto"/>
          </w:divBdr>
        </w:div>
        <w:div w:id="1240866077">
          <w:marLeft w:val="0"/>
          <w:marRight w:val="0"/>
          <w:marTop w:val="0"/>
          <w:marBottom w:val="0"/>
          <w:divBdr>
            <w:top w:val="none" w:sz="0" w:space="0" w:color="auto"/>
            <w:left w:val="none" w:sz="0" w:space="0" w:color="auto"/>
            <w:bottom w:val="none" w:sz="0" w:space="0" w:color="auto"/>
            <w:right w:val="none" w:sz="0" w:space="0" w:color="auto"/>
          </w:divBdr>
        </w:div>
        <w:div w:id="1810122481">
          <w:marLeft w:val="0"/>
          <w:marRight w:val="0"/>
          <w:marTop w:val="0"/>
          <w:marBottom w:val="0"/>
          <w:divBdr>
            <w:top w:val="none" w:sz="0" w:space="0" w:color="auto"/>
            <w:left w:val="none" w:sz="0" w:space="0" w:color="auto"/>
            <w:bottom w:val="none" w:sz="0" w:space="0" w:color="auto"/>
            <w:right w:val="none" w:sz="0" w:space="0" w:color="auto"/>
          </w:divBdr>
        </w:div>
      </w:divsChild>
    </w:div>
    <w:div w:id="1805349301">
      <w:bodyDiv w:val="1"/>
      <w:marLeft w:val="0"/>
      <w:marRight w:val="0"/>
      <w:marTop w:val="0"/>
      <w:marBottom w:val="0"/>
      <w:divBdr>
        <w:top w:val="none" w:sz="0" w:space="0" w:color="auto"/>
        <w:left w:val="none" w:sz="0" w:space="0" w:color="auto"/>
        <w:bottom w:val="none" w:sz="0" w:space="0" w:color="auto"/>
        <w:right w:val="none" w:sz="0" w:space="0" w:color="auto"/>
      </w:divBdr>
      <w:divsChild>
        <w:div w:id="462311293">
          <w:marLeft w:val="0"/>
          <w:marRight w:val="0"/>
          <w:marTop w:val="0"/>
          <w:marBottom w:val="0"/>
          <w:divBdr>
            <w:top w:val="none" w:sz="0" w:space="0" w:color="auto"/>
            <w:left w:val="none" w:sz="0" w:space="0" w:color="auto"/>
            <w:bottom w:val="none" w:sz="0" w:space="0" w:color="auto"/>
            <w:right w:val="none" w:sz="0" w:space="0" w:color="auto"/>
          </w:divBdr>
        </w:div>
        <w:div w:id="53549988">
          <w:marLeft w:val="0"/>
          <w:marRight w:val="0"/>
          <w:marTop w:val="0"/>
          <w:marBottom w:val="0"/>
          <w:divBdr>
            <w:top w:val="none" w:sz="0" w:space="0" w:color="auto"/>
            <w:left w:val="none" w:sz="0" w:space="0" w:color="auto"/>
            <w:bottom w:val="none" w:sz="0" w:space="0" w:color="auto"/>
            <w:right w:val="none" w:sz="0" w:space="0" w:color="auto"/>
          </w:divBdr>
        </w:div>
        <w:div w:id="1969312361">
          <w:marLeft w:val="0"/>
          <w:marRight w:val="0"/>
          <w:marTop w:val="0"/>
          <w:marBottom w:val="0"/>
          <w:divBdr>
            <w:top w:val="none" w:sz="0" w:space="0" w:color="auto"/>
            <w:left w:val="none" w:sz="0" w:space="0" w:color="auto"/>
            <w:bottom w:val="none" w:sz="0" w:space="0" w:color="auto"/>
            <w:right w:val="none" w:sz="0" w:space="0" w:color="auto"/>
          </w:divBdr>
        </w:div>
      </w:divsChild>
    </w:div>
    <w:div w:id="1883514356">
      <w:bodyDiv w:val="1"/>
      <w:marLeft w:val="0"/>
      <w:marRight w:val="0"/>
      <w:marTop w:val="0"/>
      <w:marBottom w:val="0"/>
      <w:divBdr>
        <w:top w:val="none" w:sz="0" w:space="0" w:color="auto"/>
        <w:left w:val="none" w:sz="0" w:space="0" w:color="auto"/>
        <w:bottom w:val="none" w:sz="0" w:space="0" w:color="auto"/>
        <w:right w:val="none" w:sz="0" w:space="0" w:color="auto"/>
      </w:divBdr>
      <w:divsChild>
        <w:div w:id="486672795">
          <w:marLeft w:val="0"/>
          <w:marRight w:val="0"/>
          <w:marTop w:val="0"/>
          <w:marBottom w:val="0"/>
          <w:divBdr>
            <w:top w:val="none" w:sz="0" w:space="0" w:color="auto"/>
            <w:left w:val="none" w:sz="0" w:space="0" w:color="auto"/>
            <w:bottom w:val="none" w:sz="0" w:space="0" w:color="auto"/>
            <w:right w:val="none" w:sz="0" w:space="0" w:color="auto"/>
          </w:divBdr>
        </w:div>
        <w:div w:id="30543531">
          <w:marLeft w:val="0"/>
          <w:marRight w:val="0"/>
          <w:marTop w:val="0"/>
          <w:marBottom w:val="0"/>
          <w:divBdr>
            <w:top w:val="none" w:sz="0" w:space="0" w:color="auto"/>
            <w:left w:val="none" w:sz="0" w:space="0" w:color="auto"/>
            <w:bottom w:val="none" w:sz="0" w:space="0" w:color="auto"/>
            <w:right w:val="none" w:sz="0" w:space="0" w:color="auto"/>
          </w:divBdr>
        </w:div>
      </w:divsChild>
    </w:div>
    <w:div w:id="1932591139">
      <w:bodyDiv w:val="1"/>
      <w:marLeft w:val="0"/>
      <w:marRight w:val="0"/>
      <w:marTop w:val="0"/>
      <w:marBottom w:val="0"/>
      <w:divBdr>
        <w:top w:val="none" w:sz="0" w:space="0" w:color="auto"/>
        <w:left w:val="none" w:sz="0" w:space="0" w:color="auto"/>
        <w:bottom w:val="none" w:sz="0" w:space="0" w:color="auto"/>
        <w:right w:val="none" w:sz="0" w:space="0" w:color="auto"/>
      </w:divBdr>
      <w:divsChild>
        <w:div w:id="1733773032">
          <w:marLeft w:val="0"/>
          <w:marRight w:val="0"/>
          <w:marTop w:val="0"/>
          <w:marBottom w:val="0"/>
          <w:divBdr>
            <w:top w:val="none" w:sz="0" w:space="0" w:color="auto"/>
            <w:left w:val="none" w:sz="0" w:space="0" w:color="auto"/>
            <w:bottom w:val="none" w:sz="0" w:space="0" w:color="auto"/>
            <w:right w:val="none" w:sz="0" w:space="0" w:color="auto"/>
          </w:divBdr>
        </w:div>
        <w:div w:id="1376126630">
          <w:marLeft w:val="0"/>
          <w:marRight w:val="0"/>
          <w:marTop w:val="0"/>
          <w:marBottom w:val="0"/>
          <w:divBdr>
            <w:top w:val="none" w:sz="0" w:space="0" w:color="auto"/>
            <w:left w:val="none" w:sz="0" w:space="0" w:color="auto"/>
            <w:bottom w:val="none" w:sz="0" w:space="0" w:color="auto"/>
            <w:right w:val="none" w:sz="0" w:space="0" w:color="auto"/>
          </w:divBdr>
        </w:div>
        <w:div w:id="545331795">
          <w:marLeft w:val="0"/>
          <w:marRight w:val="0"/>
          <w:marTop w:val="0"/>
          <w:marBottom w:val="0"/>
          <w:divBdr>
            <w:top w:val="none" w:sz="0" w:space="0" w:color="auto"/>
            <w:left w:val="none" w:sz="0" w:space="0" w:color="auto"/>
            <w:bottom w:val="none" w:sz="0" w:space="0" w:color="auto"/>
            <w:right w:val="none" w:sz="0" w:space="0" w:color="auto"/>
          </w:divBdr>
        </w:div>
      </w:divsChild>
    </w:div>
    <w:div w:id="1979871555">
      <w:bodyDiv w:val="1"/>
      <w:marLeft w:val="0"/>
      <w:marRight w:val="0"/>
      <w:marTop w:val="0"/>
      <w:marBottom w:val="0"/>
      <w:divBdr>
        <w:top w:val="none" w:sz="0" w:space="0" w:color="auto"/>
        <w:left w:val="none" w:sz="0" w:space="0" w:color="auto"/>
        <w:bottom w:val="none" w:sz="0" w:space="0" w:color="auto"/>
        <w:right w:val="none" w:sz="0" w:space="0" w:color="auto"/>
      </w:divBdr>
      <w:divsChild>
        <w:div w:id="1435369787">
          <w:marLeft w:val="0"/>
          <w:marRight w:val="0"/>
          <w:marTop w:val="0"/>
          <w:marBottom w:val="0"/>
          <w:divBdr>
            <w:top w:val="none" w:sz="0" w:space="0" w:color="auto"/>
            <w:left w:val="none" w:sz="0" w:space="0" w:color="auto"/>
            <w:bottom w:val="none" w:sz="0" w:space="0" w:color="auto"/>
            <w:right w:val="none" w:sz="0" w:space="0" w:color="auto"/>
          </w:divBdr>
        </w:div>
        <w:div w:id="896671273">
          <w:marLeft w:val="0"/>
          <w:marRight w:val="0"/>
          <w:marTop w:val="0"/>
          <w:marBottom w:val="0"/>
          <w:divBdr>
            <w:top w:val="none" w:sz="0" w:space="0" w:color="auto"/>
            <w:left w:val="none" w:sz="0" w:space="0" w:color="auto"/>
            <w:bottom w:val="none" w:sz="0" w:space="0" w:color="auto"/>
            <w:right w:val="none" w:sz="0" w:space="0" w:color="auto"/>
          </w:divBdr>
        </w:div>
        <w:div w:id="692390088">
          <w:marLeft w:val="0"/>
          <w:marRight w:val="0"/>
          <w:marTop w:val="0"/>
          <w:marBottom w:val="0"/>
          <w:divBdr>
            <w:top w:val="none" w:sz="0" w:space="0" w:color="auto"/>
            <w:left w:val="none" w:sz="0" w:space="0" w:color="auto"/>
            <w:bottom w:val="none" w:sz="0" w:space="0" w:color="auto"/>
            <w:right w:val="none" w:sz="0" w:space="0" w:color="auto"/>
          </w:divBdr>
        </w:div>
      </w:divsChild>
    </w:div>
    <w:div w:id="2006129188">
      <w:bodyDiv w:val="1"/>
      <w:marLeft w:val="0"/>
      <w:marRight w:val="0"/>
      <w:marTop w:val="0"/>
      <w:marBottom w:val="0"/>
      <w:divBdr>
        <w:top w:val="none" w:sz="0" w:space="0" w:color="auto"/>
        <w:left w:val="none" w:sz="0" w:space="0" w:color="auto"/>
        <w:bottom w:val="none" w:sz="0" w:space="0" w:color="auto"/>
        <w:right w:val="none" w:sz="0" w:space="0" w:color="auto"/>
      </w:divBdr>
    </w:div>
    <w:div w:id="2040007103">
      <w:bodyDiv w:val="1"/>
      <w:marLeft w:val="0"/>
      <w:marRight w:val="0"/>
      <w:marTop w:val="0"/>
      <w:marBottom w:val="0"/>
      <w:divBdr>
        <w:top w:val="none" w:sz="0" w:space="0" w:color="auto"/>
        <w:left w:val="none" w:sz="0" w:space="0" w:color="auto"/>
        <w:bottom w:val="none" w:sz="0" w:space="0" w:color="auto"/>
        <w:right w:val="none" w:sz="0" w:space="0" w:color="auto"/>
      </w:divBdr>
      <w:divsChild>
        <w:div w:id="614871833">
          <w:marLeft w:val="0"/>
          <w:marRight w:val="0"/>
          <w:marTop w:val="0"/>
          <w:marBottom w:val="0"/>
          <w:divBdr>
            <w:top w:val="none" w:sz="0" w:space="0" w:color="auto"/>
            <w:left w:val="none" w:sz="0" w:space="0" w:color="auto"/>
            <w:bottom w:val="none" w:sz="0" w:space="0" w:color="auto"/>
            <w:right w:val="none" w:sz="0" w:space="0" w:color="auto"/>
          </w:divBdr>
        </w:div>
        <w:div w:id="1359699254">
          <w:marLeft w:val="0"/>
          <w:marRight w:val="0"/>
          <w:marTop w:val="0"/>
          <w:marBottom w:val="0"/>
          <w:divBdr>
            <w:top w:val="none" w:sz="0" w:space="0" w:color="auto"/>
            <w:left w:val="none" w:sz="0" w:space="0" w:color="auto"/>
            <w:bottom w:val="none" w:sz="0" w:space="0" w:color="auto"/>
            <w:right w:val="none" w:sz="0" w:space="0" w:color="auto"/>
          </w:divBdr>
        </w:div>
        <w:div w:id="82118596">
          <w:marLeft w:val="0"/>
          <w:marRight w:val="0"/>
          <w:marTop w:val="0"/>
          <w:marBottom w:val="0"/>
          <w:divBdr>
            <w:top w:val="none" w:sz="0" w:space="0" w:color="auto"/>
            <w:left w:val="none" w:sz="0" w:space="0" w:color="auto"/>
            <w:bottom w:val="none" w:sz="0" w:space="0" w:color="auto"/>
            <w:right w:val="none" w:sz="0" w:space="0" w:color="auto"/>
          </w:divBdr>
        </w:div>
      </w:divsChild>
    </w:div>
    <w:div w:id="2111509203">
      <w:bodyDiv w:val="1"/>
      <w:marLeft w:val="0"/>
      <w:marRight w:val="0"/>
      <w:marTop w:val="0"/>
      <w:marBottom w:val="0"/>
      <w:divBdr>
        <w:top w:val="none" w:sz="0" w:space="0" w:color="auto"/>
        <w:left w:val="none" w:sz="0" w:space="0" w:color="auto"/>
        <w:bottom w:val="none" w:sz="0" w:space="0" w:color="auto"/>
        <w:right w:val="none" w:sz="0" w:space="0" w:color="auto"/>
      </w:divBdr>
      <w:divsChild>
        <w:div w:id="613752626">
          <w:marLeft w:val="0"/>
          <w:marRight w:val="0"/>
          <w:marTop w:val="0"/>
          <w:marBottom w:val="0"/>
          <w:divBdr>
            <w:top w:val="none" w:sz="0" w:space="0" w:color="auto"/>
            <w:left w:val="none" w:sz="0" w:space="0" w:color="auto"/>
            <w:bottom w:val="none" w:sz="0" w:space="0" w:color="auto"/>
            <w:right w:val="none" w:sz="0" w:space="0" w:color="auto"/>
          </w:divBdr>
        </w:div>
        <w:div w:id="1341541144">
          <w:marLeft w:val="0"/>
          <w:marRight w:val="0"/>
          <w:marTop w:val="0"/>
          <w:marBottom w:val="0"/>
          <w:divBdr>
            <w:top w:val="none" w:sz="0" w:space="0" w:color="auto"/>
            <w:left w:val="none" w:sz="0" w:space="0" w:color="auto"/>
            <w:bottom w:val="none" w:sz="0" w:space="0" w:color="auto"/>
            <w:right w:val="none" w:sz="0" w:space="0" w:color="auto"/>
          </w:divBdr>
        </w:div>
      </w:divsChild>
    </w:div>
    <w:div w:id="2137984889">
      <w:bodyDiv w:val="1"/>
      <w:marLeft w:val="0"/>
      <w:marRight w:val="0"/>
      <w:marTop w:val="0"/>
      <w:marBottom w:val="0"/>
      <w:divBdr>
        <w:top w:val="none" w:sz="0" w:space="0" w:color="auto"/>
        <w:left w:val="none" w:sz="0" w:space="0" w:color="auto"/>
        <w:bottom w:val="none" w:sz="0" w:space="0" w:color="auto"/>
        <w:right w:val="none" w:sz="0" w:space="0" w:color="auto"/>
      </w:divBdr>
      <w:divsChild>
        <w:div w:id="1551844792">
          <w:marLeft w:val="0"/>
          <w:marRight w:val="0"/>
          <w:marTop w:val="0"/>
          <w:marBottom w:val="0"/>
          <w:divBdr>
            <w:top w:val="none" w:sz="0" w:space="0" w:color="auto"/>
            <w:left w:val="none" w:sz="0" w:space="0" w:color="auto"/>
            <w:bottom w:val="none" w:sz="0" w:space="0" w:color="auto"/>
            <w:right w:val="none" w:sz="0" w:space="0" w:color="auto"/>
          </w:divBdr>
        </w:div>
        <w:div w:id="1317371064">
          <w:marLeft w:val="0"/>
          <w:marRight w:val="0"/>
          <w:marTop w:val="0"/>
          <w:marBottom w:val="0"/>
          <w:divBdr>
            <w:top w:val="none" w:sz="0" w:space="0" w:color="auto"/>
            <w:left w:val="none" w:sz="0" w:space="0" w:color="auto"/>
            <w:bottom w:val="none" w:sz="0" w:space="0" w:color="auto"/>
            <w:right w:val="none" w:sz="0" w:space="0" w:color="auto"/>
          </w:divBdr>
        </w:div>
        <w:div w:id="1412771584">
          <w:marLeft w:val="0"/>
          <w:marRight w:val="0"/>
          <w:marTop w:val="0"/>
          <w:marBottom w:val="0"/>
          <w:divBdr>
            <w:top w:val="none" w:sz="0" w:space="0" w:color="auto"/>
            <w:left w:val="none" w:sz="0" w:space="0" w:color="auto"/>
            <w:bottom w:val="none" w:sz="0" w:space="0" w:color="auto"/>
            <w:right w:val="none" w:sz="0" w:space="0" w:color="auto"/>
          </w:divBdr>
        </w:div>
      </w:divsChild>
    </w:div>
    <w:div w:id="2138836264">
      <w:bodyDiv w:val="1"/>
      <w:marLeft w:val="0"/>
      <w:marRight w:val="0"/>
      <w:marTop w:val="0"/>
      <w:marBottom w:val="0"/>
      <w:divBdr>
        <w:top w:val="none" w:sz="0" w:space="0" w:color="auto"/>
        <w:left w:val="none" w:sz="0" w:space="0" w:color="auto"/>
        <w:bottom w:val="none" w:sz="0" w:space="0" w:color="auto"/>
        <w:right w:val="none" w:sz="0" w:space="0" w:color="auto"/>
      </w:divBdr>
      <w:divsChild>
        <w:div w:id="728962851">
          <w:marLeft w:val="0"/>
          <w:marRight w:val="0"/>
          <w:marTop w:val="0"/>
          <w:marBottom w:val="0"/>
          <w:divBdr>
            <w:top w:val="none" w:sz="0" w:space="0" w:color="auto"/>
            <w:left w:val="none" w:sz="0" w:space="0" w:color="auto"/>
            <w:bottom w:val="none" w:sz="0" w:space="0" w:color="auto"/>
            <w:right w:val="none" w:sz="0" w:space="0" w:color="auto"/>
          </w:divBdr>
        </w:div>
        <w:div w:id="853109737">
          <w:marLeft w:val="0"/>
          <w:marRight w:val="0"/>
          <w:marTop w:val="0"/>
          <w:marBottom w:val="0"/>
          <w:divBdr>
            <w:top w:val="none" w:sz="0" w:space="0" w:color="auto"/>
            <w:left w:val="none" w:sz="0" w:space="0" w:color="auto"/>
            <w:bottom w:val="none" w:sz="0" w:space="0" w:color="auto"/>
            <w:right w:val="none" w:sz="0" w:space="0" w:color="auto"/>
          </w:divBdr>
        </w:div>
        <w:div w:id="1638294203">
          <w:marLeft w:val="0"/>
          <w:marRight w:val="0"/>
          <w:marTop w:val="0"/>
          <w:marBottom w:val="0"/>
          <w:divBdr>
            <w:top w:val="none" w:sz="0" w:space="0" w:color="auto"/>
            <w:left w:val="none" w:sz="0" w:space="0" w:color="auto"/>
            <w:bottom w:val="none" w:sz="0" w:space="0" w:color="auto"/>
            <w:right w:val="none" w:sz="0" w:space="0" w:color="auto"/>
          </w:divBdr>
        </w:div>
      </w:divsChild>
    </w:div>
    <w:div w:id="2145344997">
      <w:bodyDiv w:val="1"/>
      <w:marLeft w:val="0"/>
      <w:marRight w:val="0"/>
      <w:marTop w:val="0"/>
      <w:marBottom w:val="0"/>
      <w:divBdr>
        <w:top w:val="none" w:sz="0" w:space="0" w:color="auto"/>
        <w:left w:val="none" w:sz="0" w:space="0" w:color="auto"/>
        <w:bottom w:val="none" w:sz="0" w:space="0" w:color="auto"/>
        <w:right w:val="none" w:sz="0" w:space="0" w:color="auto"/>
      </w:divBdr>
      <w:divsChild>
        <w:div w:id="1832865202">
          <w:marLeft w:val="0"/>
          <w:marRight w:val="0"/>
          <w:marTop w:val="0"/>
          <w:marBottom w:val="0"/>
          <w:divBdr>
            <w:top w:val="none" w:sz="0" w:space="0" w:color="auto"/>
            <w:left w:val="none" w:sz="0" w:space="0" w:color="auto"/>
            <w:bottom w:val="none" w:sz="0" w:space="0" w:color="auto"/>
            <w:right w:val="none" w:sz="0" w:space="0" w:color="auto"/>
          </w:divBdr>
        </w:div>
        <w:div w:id="1264923959">
          <w:marLeft w:val="0"/>
          <w:marRight w:val="0"/>
          <w:marTop w:val="0"/>
          <w:marBottom w:val="0"/>
          <w:divBdr>
            <w:top w:val="none" w:sz="0" w:space="0" w:color="auto"/>
            <w:left w:val="none" w:sz="0" w:space="0" w:color="auto"/>
            <w:bottom w:val="none" w:sz="0" w:space="0" w:color="auto"/>
            <w:right w:val="none" w:sz="0" w:space="0" w:color="auto"/>
          </w:divBdr>
        </w:div>
        <w:div w:id="244265908">
          <w:marLeft w:val="0"/>
          <w:marRight w:val="0"/>
          <w:marTop w:val="0"/>
          <w:marBottom w:val="0"/>
          <w:divBdr>
            <w:top w:val="none" w:sz="0" w:space="0" w:color="auto"/>
            <w:left w:val="none" w:sz="0" w:space="0" w:color="auto"/>
            <w:bottom w:val="none" w:sz="0" w:space="0" w:color="auto"/>
            <w:right w:val="none" w:sz="0" w:space="0" w:color="auto"/>
          </w:divBdr>
        </w:div>
      </w:divsChild>
    </w:div>
    <w:div w:id="2146967065">
      <w:bodyDiv w:val="1"/>
      <w:marLeft w:val="0"/>
      <w:marRight w:val="0"/>
      <w:marTop w:val="0"/>
      <w:marBottom w:val="0"/>
      <w:divBdr>
        <w:top w:val="none" w:sz="0" w:space="0" w:color="auto"/>
        <w:left w:val="none" w:sz="0" w:space="0" w:color="auto"/>
        <w:bottom w:val="none" w:sz="0" w:space="0" w:color="auto"/>
        <w:right w:val="none" w:sz="0" w:space="0" w:color="auto"/>
      </w:divBdr>
      <w:divsChild>
        <w:div w:id="982276393">
          <w:marLeft w:val="0"/>
          <w:marRight w:val="0"/>
          <w:marTop w:val="0"/>
          <w:marBottom w:val="0"/>
          <w:divBdr>
            <w:top w:val="none" w:sz="0" w:space="0" w:color="auto"/>
            <w:left w:val="none" w:sz="0" w:space="0" w:color="auto"/>
            <w:bottom w:val="none" w:sz="0" w:space="0" w:color="auto"/>
            <w:right w:val="none" w:sz="0" w:space="0" w:color="auto"/>
          </w:divBdr>
        </w:div>
        <w:div w:id="332102120">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1.xml"/><Relationship Id="rId21" Type="http://schemas.openxmlformats.org/officeDocument/2006/relationships/chart" Target="charts/chart11.xml"/><Relationship Id="rId34"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2.xml"/><Relationship Id="rId33" Type="http://schemas.openxmlformats.org/officeDocument/2006/relationships/customXml" Target="../customXml/item1.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oter" Target="footer3.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hart" Target="charts/chart9.xml"/><Relationship Id="rId31"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image" Target="media/image1.emf"/><Relationship Id="rId27" Type="http://schemas.openxmlformats.org/officeDocument/2006/relationships/footer" Target="footer2.xml"/><Relationship Id="rId30" Type="http://schemas.openxmlformats.org/officeDocument/2006/relationships/fontTable" Target="fontTable.xml"/><Relationship Id="rId35"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jn0106aa\Documents\a_20%20talsgruppen\Diagramunderlag%20L&#246;nebildningsrapport%2020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sgem1.riksdagen.se\fsgem1share\V\Team\20-tals%20uppdraget\L&#229;ngtidsbudget\2.%20Starka%20och%20trygga%20l&#246;ntagare\A-kassan%20ers&#228;ttning%20tom%202022.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jn0106aa\Documents\a_20%20talsgruppen\Kapitalinkomster%20diagram.xlsx" TargetMode="External"/></Relationships>
</file>

<file path=word/charts/_rels/chart12.xml.rels><?xml version="1.0" encoding="UTF-8" standalone="yes"?>
<Relationships xmlns="http://schemas.openxmlformats.org/package/2006/relationships"><Relationship Id="rId2" Type="http://schemas.openxmlformats.org/officeDocument/2006/relationships/oleObject" Target="file:///C:\Users\jn0106aa\Documents\a_20%20talsgruppen\Bruttoskuld%202022%20IMF_korr.xls" TargetMode="External"/><Relationship Id="rId1" Type="http://schemas.openxmlformats.org/officeDocument/2006/relationships/themeOverride" Target="../theme/themeOverride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n0106aa\Documents\a_20%20talsgruppen\DiagramunderlagKLSep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home1\fshome1share\aa1016aa\Aku2021_1574_%20mars%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sgem1.riksdagen.se\fsgem1share\V\Team\20-tals%20uppdraget\L&#229;ngtidsbudget\0.%20Forskarrapporter\Diagramunderlag%20Regionalt%20utfal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Users\ridern00\Documents\25Arena\V\Arbetsmarknad\korr_bist_skat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Users\ridern00\Documents\25Arena\V\Arbetsmarknad\korr_bist_skatt.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fsgem1.riksdagen.se\fsgem1share\V\Team\20-tals%20uppdraget\L&#229;ngtidsbudget\6.%20Framtidens%20skattesystem\Skattekvot%201900-202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2" Type="http://schemas.openxmlformats.org/officeDocument/2006/relationships/oleObject" Target="file:///\\fsgem1.riksdagen.se\fsgem1share\V\Team\20-tals%20uppdraget\L&#229;ngtidsbudget\JG%20diagram%20och%20tabeller\Arbetsl&#246;shet%20i%20utvalda%20l&#228;nder.xls" TargetMode="External"/><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oleObject" Target="file:///\\fsgem1.riksdagen.se\fsgem1share\V\Team\20-tals%20uppdraget\L&#229;ngtidsbudget\JG%20diagram%20och%20tabeller\Syssels&#228;ttningsgrad,%2020-64%20&#229;r,%201987-202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'D90'!$B$57</c:f>
              <c:strCache>
                <c:ptCount val="1"/>
                <c:pt idx="0">
                  <c:v>Vinstandel</c:v>
                </c:pt>
              </c:strCache>
            </c:strRef>
          </c:tx>
          <c:spPr>
            <a:ln w="28575" cap="rnd">
              <a:solidFill>
                <a:schemeClr val="accent1"/>
              </a:solidFill>
              <a:round/>
            </a:ln>
            <a:effectLst/>
          </c:spPr>
          <c:marker>
            <c:symbol val="none"/>
          </c:marker>
          <c:cat>
            <c:numRef>
              <c:f>'D90'!$A$58:$A$147</c:f>
              <c:numCache>
                <c:formatCode>m/d/yyyy</c:formatCode>
                <c:ptCount val="90"/>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pt idx="61">
                  <c:v>42095</c:v>
                </c:pt>
                <c:pt idx="62">
                  <c:v>42186</c:v>
                </c:pt>
                <c:pt idx="63">
                  <c:v>42278</c:v>
                </c:pt>
                <c:pt idx="64">
                  <c:v>42370</c:v>
                </c:pt>
                <c:pt idx="65">
                  <c:v>42461</c:v>
                </c:pt>
                <c:pt idx="66">
                  <c:v>42552</c:v>
                </c:pt>
                <c:pt idx="67">
                  <c:v>42644</c:v>
                </c:pt>
                <c:pt idx="68">
                  <c:v>42736</c:v>
                </c:pt>
                <c:pt idx="69">
                  <c:v>42826</c:v>
                </c:pt>
                <c:pt idx="70">
                  <c:v>42917</c:v>
                </c:pt>
                <c:pt idx="71">
                  <c:v>43009</c:v>
                </c:pt>
                <c:pt idx="72">
                  <c:v>43101</c:v>
                </c:pt>
                <c:pt idx="73">
                  <c:v>43191</c:v>
                </c:pt>
                <c:pt idx="74">
                  <c:v>43282</c:v>
                </c:pt>
                <c:pt idx="75">
                  <c:v>43374</c:v>
                </c:pt>
                <c:pt idx="76">
                  <c:v>43466</c:v>
                </c:pt>
                <c:pt idx="77">
                  <c:v>43556</c:v>
                </c:pt>
                <c:pt idx="78">
                  <c:v>43647</c:v>
                </c:pt>
                <c:pt idx="79">
                  <c:v>43739</c:v>
                </c:pt>
                <c:pt idx="80">
                  <c:v>43831</c:v>
                </c:pt>
                <c:pt idx="81">
                  <c:v>43922</c:v>
                </c:pt>
                <c:pt idx="82">
                  <c:v>44013</c:v>
                </c:pt>
                <c:pt idx="83">
                  <c:v>44105</c:v>
                </c:pt>
                <c:pt idx="84">
                  <c:v>44197</c:v>
                </c:pt>
                <c:pt idx="85">
                  <c:v>44287</c:v>
                </c:pt>
                <c:pt idx="86">
                  <c:v>44378</c:v>
                </c:pt>
                <c:pt idx="87">
                  <c:v>44470</c:v>
                </c:pt>
                <c:pt idx="88">
                  <c:v>44562</c:v>
                </c:pt>
                <c:pt idx="89">
                  <c:v>44652</c:v>
                </c:pt>
              </c:numCache>
            </c:numRef>
          </c:cat>
          <c:val>
            <c:numRef>
              <c:f>'D90'!$B$58:$B$147</c:f>
              <c:numCache>
                <c:formatCode>0</c:formatCode>
                <c:ptCount val="90"/>
                <c:pt idx="0">
                  <c:v>35.222708345485117</c:v>
                </c:pt>
                <c:pt idx="1">
                  <c:v>36.873795606060781</c:v>
                </c:pt>
                <c:pt idx="2">
                  <c:v>36.857559682740579</c:v>
                </c:pt>
                <c:pt idx="3">
                  <c:v>36.201905715650888</c:v>
                </c:pt>
                <c:pt idx="4">
                  <c:v>34.182911760400025</c:v>
                </c:pt>
                <c:pt idx="5">
                  <c:v>35.152071063899889</c:v>
                </c:pt>
                <c:pt idx="6">
                  <c:v>33.781222912817938</c:v>
                </c:pt>
                <c:pt idx="7">
                  <c:v>35.361656336717964</c:v>
                </c:pt>
                <c:pt idx="8">
                  <c:v>33.798982926194405</c:v>
                </c:pt>
                <c:pt idx="9">
                  <c:v>35.839530129716429</c:v>
                </c:pt>
                <c:pt idx="10">
                  <c:v>35.510473692966684</c:v>
                </c:pt>
                <c:pt idx="11">
                  <c:v>34.721418876394132</c:v>
                </c:pt>
                <c:pt idx="12">
                  <c:v>35.526144905576722</c:v>
                </c:pt>
                <c:pt idx="13">
                  <c:v>35.532999962592392</c:v>
                </c:pt>
                <c:pt idx="14">
                  <c:v>36.360693629412623</c:v>
                </c:pt>
                <c:pt idx="15">
                  <c:v>37.123421495708804</c:v>
                </c:pt>
                <c:pt idx="16">
                  <c:v>36.457856039293738</c:v>
                </c:pt>
                <c:pt idx="17">
                  <c:v>37.423736176746822</c:v>
                </c:pt>
                <c:pt idx="18">
                  <c:v>37.605044024453093</c:v>
                </c:pt>
                <c:pt idx="19">
                  <c:v>38.323473290542239</c:v>
                </c:pt>
                <c:pt idx="20">
                  <c:v>36.759424317755808</c:v>
                </c:pt>
                <c:pt idx="21">
                  <c:v>37.2513579027001</c:v>
                </c:pt>
                <c:pt idx="22">
                  <c:v>37.235682712990368</c:v>
                </c:pt>
                <c:pt idx="23">
                  <c:v>37.517235216524874</c:v>
                </c:pt>
                <c:pt idx="24">
                  <c:v>38.5474699427199</c:v>
                </c:pt>
                <c:pt idx="25">
                  <c:v>39.25054929501843</c:v>
                </c:pt>
                <c:pt idx="26">
                  <c:v>39.26028861462472</c:v>
                </c:pt>
                <c:pt idx="27">
                  <c:v>39.15473079370441</c:v>
                </c:pt>
                <c:pt idx="28">
                  <c:v>37.752269986257254</c:v>
                </c:pt>
                <c:pt idx="29">
                  <c:v>38.241316093704903</c:v>
                </c:pt>
                <c:pt idx="30">
                  <c:v>38.134546309153961</c:v>
                </c:pt>
                <c:pt idx="31">
                  <c:v>37.916433098722187</c:v>
                </c:pt>
                <c:pt idx="32">
                  <c:v>36.969820254785979</c:v>
                </c:pt>
                <c:pt idx="33">
                  <c:v>36.568034676481226</c:v>
                </c:pt>
                <c:pt idx="34">
                  <c:v>37.158259225103777</c:v>
                </c:pt>
                <c:pt idx="35">
                  <c:v>34.667220440155297</c:v>
                </c:pt>
                <c:pt idx="36">
                  <c:v>33.81974468633129</c:v>
                </c:pt>
                <c:pt idx="37">
                  <c:v>34.924156861888392</c:v>
                </c:pt>
                <c:pt idx="38">
                  <c:v>34.885603831642158</c:v>
                </c:pt>
                <c:pt idx="39">
                  <c:v>35.037028750283447</c:v>
                </c:pt>
                <c:pt idx="40">
                  <c:v>36.695614562138381</c:v>
                </c:pt>
                <c:pt idx="41">
                  <c:v>37.87130771080114</c:v>
                </c:pt>
                <c:pt idx="42">
                  <c:v>38.375219346139922</c:v>
                </c:pt>
                <c:pt idx="43">
                  <c:v>38.677509197370455</c:v>
                </c:pt>
                <c:pt idx="44">
                  <c:v>37.28986399963906</c:v>
                </c:pt>
                <c:pt idx="45">
                  <c:v>37.672625904898197</c:v>
                </c:pt>
                <c:pt idx="46">
                  <c:v>38.421373220789334</c:v>
                </c:pt>
                <c:pt idx="47">
                  <c:v>36.985232669764564</c:v>
                </c:pt>
                <c:pt idx="48">
                  <c:v>35.768142293278288</c:v>
                </c:pt>
                <c:pt idx="49">
                  <c:v>35.956286750041158</c:v>
                </c:pt>
                <c:pt idx="50">
                  <c:v>34.945109070225662</c:v>
                </c:pt>
                <c:pt idx="51">
                  <c:v>34.177760133989068</c:v>
                </c:pt>
                <c:pt idx="52">
                  <c:v>34.936055876672967</c:v>
                </c:pt>
                <c:pt idx="53">
                  <c:v>34.774441588824779</c:v>
                </c:pt>
                <c:pt idx="54">
                  <c:v>34.464429033478574</c:v>
                </c:pt>
                <c:pt idx="55">
                  <c:v>34.905764038431677</c:v>
                </c:pt>
                <c:pt idx="56">
                  <c:v>34.957622289673509</c:v>
                </c:pt>
                <c:pt idx="57">
                  <c:v>35.248815156473412</c:v>
                </c:pt>
                <c:pt idx="58">
                  <c:v>35.309366798845232</c:v>
                </c:pt>
                <c:pt idx="59">
                  <c:v>36.647771030052233</c:v>
                </c:pt>
                <c:pt idx="60">
                  <c:v>36.864960976645655</c:v>
                </c:pt>
                <c:pt idx="61">
                  <c:v>37.293978550790634</c:v>
                </c:pt>
                <c:pt idx="62">
                  <c:v>37.757392673587198</c:v>
                </c:pt>
                <c:pt idx="63">
                  <c:v>37.955659536595157</c:v>
                </c:pt>
                <c:pt idx="64">
                  <c:v>36.105422429056667</c:v>
                </c:pt>
                <c:pt idx="65">
                  <c:v>36.480219017068528</c:v>
                </c:pt>
                <c:pt idx="66">
                  <c:v>35.879637885187833</c:v>
                </c:pt>
                <c:pt idx="67">
                  <c:v>35.857218527556626</c:v>
                </c:pt>
                <c:pt idx="68">
                  <c:v>35.926169804176702</c:v>
                </c:pt>
                <c:pt idx="69">
                  <c:v>36.835221154498164</c:v>
                </c:pt>
                <c:pt idx="70">
                  <c:v>36.339081956387723</c:v>
                </c:pt>
                <c:pt idx="71">
                  <c:v>36.316541393073557</c:v>
                </c:pt>
                <c:pt idx="72">
                  <c:v>35.629327505758035</c:v>
                </c:pt>
                <c:pt idx="73">
                  <c:v>35.589973988895693</c:v>
                </c:pt>
                <c:pt idx="74">
                  <c:v>35.007035421161973</c:v>
                </c:pt>
                <c:pt idx="75">
                  <c:v>35.792114369004331</c:v>
                </c:pt>
                <c:pt idx="76">
                  <c:v>36.355283330700608</c:v>
                </c:pt>
                <c:pt idx="77">
                  <c:v>36.231851476661895</c:v>
                </c:pt>
                <c:pt idx="78">
                  <c:v>36.491758925008668</c:v>
                </c:pt>
                <c:pt idx="79">
                  <c:v>36.96843398793613</c:v>
                </c:pt>
                <c:pt idx="80">
                  <c:v>37.065401639716434</c:v>
                </c:pt>
                <c:pt idx="81">
                  <c:v>37.334872148849854</c:v>
                </c:pt>
                <c:pt idx="82">
                  <c:v>37.360145525535444</c:v>
                </c:pt>
                <c:pt idx="83">
                  <c:v>37.963025095815709</c:v>
                </c:pt>
                <c:pt idx="84">
                  <c:v>37.395317627180766</c:v>
                </c:pt>
                <c:pt idx="85">
                  <c:v>38.627810862224187</c:v>
                </c:pt>
                <c:pt idx="86">
                  <c:v>39.139335167410863</c:v>
                </c:pt>
                <c:pt idx="87">
                  <c:v>39.460453906025812</c:v>
                </c:pt>
                <c:pt idx="88">
                  <c:v>38.345653477732498</c:v>
                </c:pt>
                <c:pt idx="89">
                  <c:v>40.350855068822632</c:v>
                </c:pt>
              </c:numCache>
            </c:numRef>
          </c:val>
          <c:smooth val="0"/>
          <c:extLst>
            <c:ext xmlns:c16="http://schemas.microsoft.com/office/drawing/2014/chart" uri="{C3380CC4-5D6E-409C-BE32-E72D297353CC}">
              <c16:uniqueId val="{00000000-657A-41BA-801D-90540E8B8315}"/>
            </c:ext>
          </c:extLst>
        </c:ser>
        <c:ser>
          <c:idx val="1"/>
          <c:order val="1"/>
          <c:tx>
            <c:strRef>
              <c:f>'D90'!$C$57</c:f>
              <c:strCache>
                <c:ptCount val="1"/>
                <c:pt idx="0">
                  <c:v>Vinstandel medelvärde</c:v>
                </c:pt>
              </c:strCache>
            </c:strRef>
          </c:tx>
          <c:spPr>
            <a:ln w="28575" cap="rnd">
              <a:solidFill>
                <a:schemeClr val="accent2"/>
              </a:solidFill>
              <a:round/>
            </a:ln>
            <a:effectLst/>
          </c:spPr>
          <c:marker>
            <c:symbol val="none"/>
          </c:marker>
          <c:cat>
            <c:numRef>
              <c:f>'D90'!$A$58:$A$147</c:f>
              <c:numCache>
                <c:formatCode>m/d/yyyy</c:formatCode>
                <c:ptCount val="90"/>
                <c:pt idx="0">
                  <c:v>36526</c:v>
                </c:pt>
                <c:pt idx="1">
                  <c:v>36617</c:v>
                </c:pt>
                <c:pt idx="2">
                  <c:v>36708</c:v>
                </c:pt>
                <c:pt idx="3">
                  <c:v>36800</c:v>
                </c:pt>
                <c:pt idx="4">
                  <c:v>36892</c:v>
                </c:pt>
                <c:pt idx="5">
                  <c:v>36982</c:v>
                </c:pt>
                <c:pt idx="6">
                  <c:v>37073</c:v>
                </c:pt>
                <c:pt idx="7">
                  <c:v>37165</c:v>
                </c:pt>
                <c:pt idx="8">
                  <c:v>37257</c:v>
                </c:pt>
                <c:pt idx="9">
                  <c:v>37347</c:v>
                </c:pt>
                <c:pt idx="10">
                  <c:v>37438</c:v>
                </c:pt>
                <c:pt idx="11">
                  <c:v>37530</c:v>
                </c:pt>
                <c:pt idx="12">
                  <c:v>37622</c:v>
                </c:pt>
                <c:pt idx="13">
                  <c:v>37712</c:v>
                </c:pt>
                <c:pt idx="14">
                  <c:v>37803</c:v>
                </c:pt>
                <c:pt idx="15">
                  <c:v>37895</c:v>
                </c:pt>
                <c:pt idx="16">
                  <c:v>37987</c:v>
                </c:pt>
                <c:pt idx="17">
                  <c:v>38078</c:v>
                </c:pt>
                <c:pt idx="18">
                  <c:v>38169</c:v>
                </c:pt>
                <c:pt idx="19">
                  <c:v>38261</c:v>
                </c:pt>
                <c:pt idx="20">
                  <c:v>38353</c:v>
                </c:pt>
                <c:pt idx="21">
                  <c:v>38443</c:v>
                </c:pt>
                <c:pt idx="22">
                  <c:v>38534</c:v>
                </c:pt>
                <c:pt idx="23">
                  <c:v>38626</c:v>
                </c:pt>
                <c:pt idx="24">
                  <c:v>38718</c:v>
                </c:pt>
                <c:pt idx="25">
                  <c:v>38808</c:v>
                </c:pt>
                <c:pt idx="26">
                  <c:v>38899</c:v>
                </c:pt>
                <c:pt idx="27">
                  <c:v>38991</c:v>
                </c:pt>
                <c:pt idx="28">
                  <c:v>39083</c:v>
                </c:pt>
                <c:pt idx="29">
                  <c:v>39173</c:v>
                </c:pt>
                <c:pt idx="30">
                  <c:v>39264</c:v>
                </c:pt>
                <c:pt idx="31">
                  <c:v>39356</c:v>
                </c:pt>
                <c:pt idx="32">
                  <c:v>39448</c:v>
                </c:pt>
                <c:pt idx="33">
                  <c:v>39539</c:v>
                </c:pt>
                <c:pt idx="34">
                  <c:v>39630</c:v>
                </c:pt>
                <c:pt idx="35">
                  <c:v>39722</c:v>
                </c:pt>
                <c:pt idx="36">
                  <c:v>39814</c:v>
                </c:pt>
                <c:pt idx="37">
                  <c:v>39904</c:v>
                </c:pt>
                <c:pt idx="38">
                  <c:v>39995</c:v>
                </c:pt>
                <c:pt idx="39">
                  <c:v>40087</c:v>
                </c:pt>
                <c:pt idx="40">
                  <c:v>40179</c:v>
                </c:pt>
                <c:pt idx="41">
                  <c:v>40269</c:v>
                </c:pt>
                <c:pt idx="42">
                  <c:v>40360</c:v>
                </c:pt>
                <c:pt idx="43">
                  <c:v>40452</c:v>
                </c:pt>
                <c:pt idx="44">
                  <c:v>40544</c:v>
                </c:pt>
                <c:pt idx="45">
                  <c:v>40634</c:v>
                </c:pt>
                <c:pt idx="46">
                  <c:v>40725</c:v>
                </c:pt>
                <c:pt idx="47">
                  <c:v>40817</c:v>
                </c:pt>
                <c:pt idx="48">
                  <c:v>40909</c:v>
                </c:pt>
                <c:pt idx="49">
                  <c:v>41000</c:v>
                </c:pt>
                <c:pt idx="50">
                  <c:v>41091</c:v>
                </c:pt>
                <c:pt idx="51">
                  <c:v>41183</c:v>
                </c:pt>
                <c:pt idx="52">
                  <c:v>41275</c:v>
                </c:pt>
                <c:pt idx="53">
                  <c:v>41365</c:v>
                </c:pt>
                <c:pt idx="54">
                  <c:v>41456</c:v>
                </c:pt>
                <c:pt idx="55">
                  <c:v>41548</c:v>
                </c:pt>
                <c:pt idx="56">
                  <c:v>41640</c:v>
                </c:pt>
                <c:pt idx="57">
                  <c:v>41730</c:v>
                </c:pt>
                <c:pt idx="58">
                  <c:v>41821</c:v>
                </c:pt>
                <c:pt idx="59">
                  <c:v>41913</c:v>
                </c:pt>
                <c:pt idx="60">
                  <c:v>42005</c:v>
                </c:pt>
                <c:pt idx="61">
                  <c:v>42095</c:v>
                </c:pt>
                <c:pt idx="62">
                  <c:v>42186</c:v>
                </c:pt>
                <c:pt idx="63">
                  <c:v>42278</c:v>
                </c:pt>
                <c:pt idx="64">
                  <c:v>42370</c:v>
                </c:pt>
                <c:pt idx="65">
                  <c:v>42461</c:v>
                </c:pt>
                <c:pt idx="66">
                  <c:v>42552</c:v>
                </c:pt>
                <c:pt idx="67">
                  <c:v>42644</c:v>
                </c:pt>
                <c:pt idx="68">
                  <c:v>42736</c:v>
                </c:pt>
                <c:pt idx="69">
                  <c:v>42826</c:v>
                </c:pt>
                <c:pt idx="70">
                  <c:v>42917</c:v>
                </c:pt>
                <c:pt idx="71">
                  <c:v>43009</c:v>
                </c:pt>
                <c:pt idx="72">
                  <c:v>43101</c:v>
                </c:pt>
                <c:pt idx="73">
                  <c:v>43191</c:v>
                </c:pt>
                <c:pt idx="74">
                  <c:v>43282</c:v>
                </c:pt>
                <c:pt idx="75">
                  <c:v>43374</c:v>
                </c:pt>
                <c:pt idx="76">
                  <c:v>43466</c:v>
                </c:pt>
                <c:pt idx="77">
                  <c:v>43556</c:v>
                </c:pt>
                <c:pt idx="78">
                  <c:v>43647</c:v>
                </c:pt>
                <c:pt idx="79">
                  <c:v>43739</c:v>
                </c:pt>
                <c:pt idx="80">
                  <c:v>43831</c:v>
                </c:pt>
                <c:pt idx="81">
                  <c:v>43922</c:v>
                </c:pt>
                <c:pt idx="82">
                  <c:v>44013</c:v>
                </c:pt>
                <c:pt idx="83">
                  <c:v>44105</c:v>
                </c:pt>
                <c:pt idx="84">
                  <c:v>44197</c:v>
                </c:pt>
                <c:pt idx="85">
                  <c:v>44287</c:v>
                </c:pt>
                <c:pt idx="86">
                  <c:v>44378</c:v>
                </c:pt>
                <c:pt idx="87">
                  <c:v>44470</c:v>
                </c:pt>
                <c:pt idx="88">
                  <c:v>44562</c:v>
                </c:pt>
                <c:pt idx="89">
                  <c:v>44652</c:v>
                </c:pt>
              </c:numCache>
            </c:numRef>
          </c:cat>
          <c:val>
            <c:numRef>
              <c:f>'D90'!$C$58:$C$147</c:f>
              <c:numCache>
                <c:formatCode>0</c:formatCode>
                <c:ptCount val="90"/>
                <c:pt idx="0">
                  <c:v>36.38332966456499</c:v>
                </c:pt>
                <c:pt idx="1">
                  <c:v>36.38332966456499</c:v>
                </c:pt>
                <c:pt idx="2">
                  <c:v>36.38332966456499</c:v>
                </c:pt>
                <c:pt idx="3">
                  <c:v>36.38332966456499</c:v>
                </c:pt>
                <c:pt idx="4">
                  <c:v>36.38332966456499</c:v>
                </c:pt>
                <c:pt idx="5">
                  <c:v>36.38332966456499</c:v>
                </c:pt>
                <c:pt idx="6">
                  <c:v>36.38332966456499</c:v>
                </c:pt>
                <c:pt idx="7">
                  <c:v>36.38332966456499</c:v>
                </c:pt>
                <c:pt idx="8">
                  <c:v>36.38332966456499</c:v>
                </c:pt>
                <c:pt idx="9">
                  <c:v>36.38332966456499</c:v>
                </c:pt>
                <c:pt idx="10">
                  <c:v>36.38332966456499</c:v>
                </c:pt>
                <c:pt idx="11">
                  <c:v>36.38332966456499</c:v>
                </c:pt>
                <c:pt idx="12">
                  <c:v>36.38332966456499</c:v>
                </c:pt>
                <c:pt idx="13">
                  <c:v>36.38332966456499</c:v>
                </c:pt>
                <c:pt idx="14">
                  <c:v>36.38332966456499</c:v>
                </c:pt>
                <c:pt idx="15">
                  <c:v>36.38332966456499</c:v>
                </c:pt>
                <c:pt idx="16">
                  <c:v>36.38332966456499</c:v>
                </c:pt>
                <c:pt idx="17">
                  <c:v>36.38332966456499</c:v>
                </c:pt>
                <c:pt idx="18">
                  <c:v>36.38332966456499</c:v>
                </c:pt>
                <c:pt idx="19">
                  <c:v>36.38332966456499</c:v>
                </c:pt>
                <c:pt idx="20">
                  <c:v>36.38332966456499</c:v>
                </c:pt>
                <c:pt idx="21">
                  <c:v>36.38332966456499</c:v>
                </c:pt>
                <c:pt idx="22">
                  <c:v>36.38332966456499</c:v>
                </c:pt>
                <c:pt idx="23">
                  <c:v>36.38332966456499</c:v>
                </c:pt>
                <c:pt idx="24">
                  <c:v>36.38332966456499</c:v>
                </c:pt>
                <c:pt idx="25">
                  <c:v>36.38332966456499</c:v>
                </c:pt>
                <c:pt idx="26">
                  <c:v>36.38332966456499</c:v>
                </c:pt>
                <c:pt idx="27">
                  <c:v>36.38332966456499</c:v>
                </c:pt>
                <c:pt idx="28">
                  <c:v>36.38332966456499</c:v>
                </c:pt>
                <c:pt idx="29">
                  <c:v>36.38332966456499</c:v>
                </c:pt>
                <c:pt idx="30">
                  <c:v>36.38332966456499</c:v>
                </c:pt>
                <c:pt idx="31">
                  <c:v>36.38332966456499</c:v>
                </c:pt>
                <c:pt idx="32">
                  <c:v>36.38332966456499</c:v>
                </c:pt>
                <c:pt idx="33">
                  <c:v>36.38332966456499</c:v>
                </c:pt>
                <c:pt idx="34">
                  <c:v>36.38332966456499</c:v>
                </c:pt>
                <c:pt idx="35">
                  <c:v>36.38332966456499</c:v>
                </c:pt>
                <c:pt idx="36">
                  <c:v>36.38332966456499</c:v>
                </c:pt>
                <c:pt idx="37">
                  <c:v>36.38332966456499</c:v>
                </c:pt>
                <c:pt idx="38">
                  <c:v>36.38332966456499</c:v>
                </c:pt>
                <c:pt idx="39">
                  <c:v>36.38332966456499</c:v>
                </c:pt>
                <c:pt idx="40">
                  <c:v>36.38332966456499</c:v>
                </c:pt>
                <c:pt idx="41">
                  <c:v>36.38332966456499</c:v>
                </c:pt>
                <c:pt idx="42">
                  <c:v>36.38332966456499</c:v>
                </c:pt>
                <c:pt idx="43">
                  <c:v>36.38332966456499</c:v>
                </c:pt>
                <c:pt idx="44">
                  <c:v>36.38332966456499</c:v>
                </c:pt>
                <c:pt idx="45">
                  <c:v>36.38332966456499</c:v>
                </c:pt>
                <c:pt idx="46">
                  <c:v>36.38332966456499</c:v>
                </c:pt>
                <c:pt idx="47">
                  <c:v>36.38332966456499</c:v>
                </c:pt>
                <c:pt idx="48">
                  <c:v>36.38332966456499</c:v>
                </c:pt>
                <c:pt idx="49">
                  <c:v>36.38332966456499</c:v>
                </c:pt>
                <c:pt idx="50">
                  <c:v>36.38332966456499</c:v>
                </c:pt>
                <c:pt idx="51">
                  <c:v>36.38332966456499</c:v>
                </c:pt>
                <c:pt idx="52">
                  <c:v>36.38332966456499</c:v>
                </c:pt>
                <c:pt idx="53">
                  <c:v>36.38332966456499</c:v>
                </c:pt>
                <c:pt idx="54">
                  <c:v>36.38332966456499</c:v>
                </c:pt>
                <c:pt idx="55">
                  <c:v>36.38332966456499</c:v>
                </c:pt>
                <c:pt idx="56">
                  <c:v>36.38332966456499</c:v>
                </c:pt>
                <c:pt idx="57">
                  <c:v>36.38332966456499</c:v>
                </c:pt>
                <c:pt idx="58">
                  <c:v>36.38332966456499</c:v>
                </c:pt>
                <c:pt idx="59">
                  <c:v>36.38332966456499</c:v>
                </c:pt>
                <c:pt idx="60">
                  <c:v>36.38332966456499</c:v>
                </c:pt>
                <c:pt idx="61">
                  <c:v>36.38332966456499</c:v>
                </c:pt>
                <c:pt idx="62">
                  <c:v>36.38332966456499</c:v>
                </c:pt>
                <c:pt idx="63">
                  <c:v>36.38332966456499</c:v>
                </c:pt>
                <c:pt idx="64">
                  <c:v>36.38332966456499</c:v>
                </c:pt>
                <c:pt idx="65">
                  <c:v>36.38332966456499</c:v>
                </c:pt>
                <c:pt idx="66">
                  <c:v>36.38332966456499</c:v>
                </c:pt>
                <c:pt idx="67">
                  <c:v>36.38332966456499</c:v>
                </c:pt>
                <c:pt idx="68">
                  <c:v>36.38332966456499</c:v>
                </c:pt>
                <c:pt idx="69">
                  <c:v>36.38332966456499</c:v>
                </c:pt>
                <c:pt idx="70">
                  <c:v>36.38332966456499</c:v>
                </c:pt>
                <c:pt idx="71">
                  <c:v>36.38332966456499</c:v>
                </c:pt>
                <c:pt idx="72">
                  <c:v>36.38332966456499</c:v>
                </c:pt>
                <c:pt idx="73">
                  <c:v>36.38332966456499</c:v>
                </c:pt>
                <c:pt idx="74">
                  <c:v>36.38332966456499</c:v>
                </c:pt>
                <c:pt idx="75">
                  <c:v>36.38332966456499</c:v>
                </c:pt>
                <c:pt idx="76">
                  <c:v>36.38332966456499</c:v>
                </c:pt>
                <c:pt idx="77">
                  <c:v>36.38332966456499</c:v>
                </c:pt>
                <c:pt idx="78">
                  <c:v>36.38332966456499</c:v>
                </c:pt>
                <c:pt idx="79">
                  <c:v>36.38332966456499</c:v>
                </c:pt>
                <c:pt idx="80">
                  <c:v>36.38332966456499</c:v>
                </c:pt>
                <c:pt idx="81">
                  <c:v>36.38332966456499</c:v>
                </c:pt>
                <c:pt idx="82">
                  <c:v>36.38332966456499</c:v>
                </c:pt>
                <c:pt idx="83">
                  <c:v>36.38332966456499</c:v>
                </c:pt>
                <c:pt idx="84">
                  <c:v>36.38332966456499</c:v>
                </c:pt>
                <c:pt idx="85">
                  <c:v>36.38332966456499</c:v>
                </c:pt>
                <c:pt idx="86">
                  <c:v>36.38332966456499</c:v>
                </c:pt>
                <c:pt idx="87">
                  <c:v>36.38332966456499</c:v>
                </c:pt>
                <c:pt idx="88">
                  <c:v>36.38332966456499</c:v>
                </c:pt>
                <c:pt idx="89">
                  <c:v>36.38332966456499</c:v>
                </c:pt>
              </c:numCache>
            </c:numRef>
          </c:val>
          <c:smooth val="0"/>
          <c:extLst>
            <c:ext xmlns:c16="http://schemas.microsoft.com/office/drawing/2014/chart" uri="{C3380CC4-5D6E-409C-BE32-E72D297353CC}">
              <c16:uniqueId val="{00000001-657A-41BA-801D-90540E8B8315}"/>
            </c:ext>
          </c:extLst>
        </c:ser>
        <c:dLbls>
          <c:showLegendKey val="0"/>
          <c:showVal val="0"/>
          <c:showCatName val="0"/>
          <c:showSerName val="0"/>
          <c:showPercent val="0"/>
          <c:showBubbleSize val="0"/>
        </c:dLbls>
        <c:smooth val="0"/>
        <c:axId val="693375816"/>
        <c:axId val="693372864"/>
      </c:lineChart>
      <c:dateAx>
        <c:axId val="69337581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93372864"/>
        <c:crosses val="autoZero"/>
        <c:auto val="1"/>
        <c:lblOffset val="100"/>
        <c:baseTimeUnit val="months"/>
        <c:majorUnit val="2"/>
        <c:majorTimeUnit val="years"/>
      </c:dateAx>
      <c:valAx>
        <c:axId val="693372864"/>
        <c:scaling>
          <c:orientation val="minMax"/>
          <c:min val="33"/>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93375816"/>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Blad1!$J$2</c:f>
              <c:strCache>
                <c:ptCount val="1"/>
                <c:pt idx="0">
                  <c:v>Från dag hundraett</c:v>
                </c:pt>
              </c:strCache>
            </c:strRef>
          </c:tx>
          <c:spPr>
            <a:ln w="28575" cap="rnd">
              <a:solidFill>
                <a:schemeClr val="tx1"/>
              </a:solidFill>
              <a:prstDash val="sysDash"/>
              <a:round/>
            </a:ln>
            <a:effectLst/>
          </c:spPr>
          <c:marker>
            <c:symbol val="none"/>
          </c:marker>
          <c:cat>
            <c:numRef>
              <c:f>Blad1!$I$3:$I$33</c:f>
              <c:numCache>
                <c:formatCode>General</c:formatCode>
                <c:ptCount val="3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numCache>
            </c:numRef>
          </c:cat>
          <c:val>
            <c:numRef>
              <c:f>Blad1!$J$3:$J$33</c:f>
              <c:numCache>
                <c:formatCode>0%</c:formatCode>
                <c:ptCount val="31"/>
                <c:pt idx="0">
                  <c:v>0.66</c:v>
                </c:pt>
                <c:pt idx="1">
                  <c:v>0.69</c:v>
                </c:pt>
                <c:pt idx="2">
                  <c:v>0.71</c:v>
                </c:pt>
                <c:pt idx="3">
                  <c:v>0.68</c:v>
                </c:pt>
                <c:pt idx="4">
                  <c:v>0.68</c:v>
                </c:pt>
                <c:pt idx="5">
                  <c:v>0.6</c:v>
                </c:pt>
                <c:pt idx="6">
                  <c:v>0.48</c:v>
                </c:pt>
                <c:pt idx="7">
                  <c:v>0.42</c:v>
                </c:pt>
                <c:pt idx="8">
                  <c:v>0.37</c:v>
                </c:pt>
                <c:pt idx="9">
                  <c:v>0.32</c:v>
                </c:pt>
                <c:pt idx="10">
                  <c:v>0.49</c:v>
                </c:pt>
                <c:pt idx="11">
                  <c:v>0.45</c:v>
                </c:pt>
                <c:pt idx="12">
                  <c:v>0.41</c:v>
                </c:pt>
                <c:pt idx="13">
                  <c:v>0.37</c:v>
                </c:pt>
                <c:pt idx="14">
                  <c:v>0.32</c:v>
                </c:pt>
                <c:pt idx="15">
                  <c:v>0.3</c:v>
                </c:pt>
                <c:pt idx="16">
                  <c:v>0.25</c:v>
                </c:pt>
                <c:pt idx="17">
                  <c:v>0.22</c:v>
                </c:pt>
                <c:pt idx="18">
                  <c:v>0.21</c:v>
                </c:pt>
                <c:pt idx="19">
                  <c:v>0.19</c:v>
                </c:pt>
                <c:pt idx="20">
                  <c:v>0.17</c:v>
                </c:pt>
                <c:pt idx="21">
                  <c:v>0.17</c:v>
                </c:pt>
                <c:pt idx="22">
                  <c:v>0.15</c:v>
                </c:pt>
                <c:pt idx="23">
                  <c:v>0.2</c:v>
                </c:pt>
                <c:pt idx="24">
                  <c:v>0.18</c:v>
                </c:pt>
                <c:pt idx="25">
                  <c:v>0.17</c:v>
                </c:pt>
                <c:pt idx="26">
                  <c:v>0.16</c:v>
                </c:pt>
                <c:pt idx="27">
                  <c:v>0.16</c:v>
                </c:pt>
                <c:pt idx="28">
                  <c:v>0.35</c:v>
                </c:pt>
                <c:pt idx="29">
                  <c:v>0.32</c:v>
                </c:pt>
                <c:pt idx="30">
                  <c:v>0.3</c:v>
                </c:pt>
              </c:numCache>
            </c:numRef>
          </c:val>
          <c:smooth val="0"/>
          <c:extLst>
            <c:ext xmlns:c16="http://schemas.microsoft.com/office/drawing/2014/chart" uri="{C3380CC4-5D6E-409C-BE32-E72D297353CC}">
              <c16:uniqueId val="{00000000-C2CD-44A1-BC1A-78AD25D49D8A}"/>
            </c:ext>
          </c:extLst>
        </c:ser>
        <c:ser>
          <c:idx val="2"/>
          <c:order val="1"/>
          <c:tx>
            <c:strRef>
              <c:f>Blad1!$K$2</c:f>
              <c:strCache>
                <c:ptCount val="1"/>
                <c:pt idx="0">
                  <c:v>Första hundra dagarna</c:v>
                </c:pt>
              </c:strCache>
            </c:strRef>
          </c:tx>
          <c:spPr>
            <a:ln w="28575" cap="rnd">
              <a:solidFill>
                <a:srgbClr val="FF0000"/>
              </a:solidFill>
              <a:round/>
            </a:ln>
            <a:effectLst/>
          </c:spPr>
          <c:marker>
            <c:symbol val="none"/>
          </c:marker>
          <c:cat>
            <c:numRef>
              <c:f>Blad1!$I$3:$I$33</c:f>
              <c:numCache>
                <c:formatCode>General</c:formatCode>
                <c:ptCount val="3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numCache>
            </c:numRef>
          </c:cat>
          <c:val>
            <c:numRef>
              <c:f>Blad1!$K$3:$K$33</c:f>
              <c:numCache>
                <c:formatCode>0%</c:formatCode>
                <c:ptCount val="31"/>
                <c:pt idx="0">
                  <c:v>0.66</c:v>
                </c:pt>
                <c:pt idx="1">
                  <c:v>0.69</c:v>
                </c:pt>
                <c:pt idx="2">
                  <c:v>0.71</c:v>
                </c:pt>
                <c:pt idx="3">
                  <c:v>0.68</c:v>
                </c:pt>
                <c:pt idx="4">
                  <c:v>0.68</c:v>
                </c:pt>
                <c:pt idx="5">
                  <c:v>0.6</c:v>
                </c:pt>
                <c:pt idx="6">
                  <c:v>0.48</c:v>
                </c:pt>
                <c:pt idx="7">
                  <c:v>0.42</c:v>
                </c:pt>
                <c:pt idx="8">
                  <c:v>0.37</c:v>
                </c:pt>
                <c:pt idx="9">
                  <c:v>0.54</c:v>
                </c:pt>
                <c:pt idx="10">
                  <c:v>0.59</c:v>
                </c:pt>
                <c:pt idx="11">
                  <c:v>0.55000000000000004</c:v>
                </c:pt>
                <c:pt idx="12">
                  <c:v>0.51</c:v>
                </c:pt>
                <c:pt idx="13">
                  <c:v>0.47</c:v>
                </c:pt>
                <c:pt idx="14">
                  <c:v>0.42</c:v>
                </c:pt>
                <c:pt idx="15">
                  <c:v>0.3</c:v>
                </c:pt>
                <c:pt idx="16">
                  <c:v>0.25</c:v>
                </c:pt>
                <c:pt idx="17">
                  <c:v>0.22</c:v>
                </c:pt>
                <c:pt idx="18">
                  <c:v>0.21</c:v>
                </c:pt>
                <c:pt idx="19">
                  <c:v>0.19</c:v>
                </c:pt>
                <c:pt idx="20">
                  <c:v>0.17</c:v>
                </c:pt>
                <c:pt idx="21">
                  <c:v>0.17</c:v>
                </c:pt>
                <c:pt idx="22">
                  <c:v>0.15</c:v>
                </c:pt>
                <c:pt idx="23">
                  <c:v>0.36</c:v>
                </c:pt>
                <c:pt idx="24">
                  <c:v>0.33</c:v>
                </c:pt>
                <c:pt idx="25">
                  <c:v>0.31</c:v>
                </c:pt>
                <c:pt idx="26">
                  <c:v>0.28000000000000003</c:v>
                </c:pt>
                <c:pt idx="27">
                  <c:v>0.28000000000000003</c:v>
                </c:pt>
                <c:pt idx="28">
                  <c:v>0.57999999999999996</c:v>
                </c:pt>
                <c:pt idx="29">
                  <c:v>0.55000000000000004</c:v>
                </c:pt>
                <c:pt idx="30">
                  <c:v>0.52</c:v>
                </c:pt>
              </c:numCache>
            </c:numRef>
          </c:val>
          <c:smooth val="0"/>
          <c:extLst>
            <c:ext xmlns:c16="http://schemas.microsoft.com/office/drawing/2014/chart" uri="{C3380CC4-5D6E-409C-BE32-E72D297353CC}">
              <c16:uniqueId val="{00000001-C2CD-44A1-BC1A-78AD25D49D8A}"/>
            </c:ext>
          </c:extLst>
        </c:ser>
        <c:dLbls>
          <c:showLegendKey val="0"/>
          <c:showVal val="0"/>
          <c:showCatName val="0"/>
          <c:showSerName val="0"/>
          <c:showPercent val="0"/>
          <c:showBubbleSize val="0"/>
        </c:dLbls>
        <c:smooth val="0"/>
        <c:axId val="544251640"/>
        <c:axId val="544253936"/>
      </c:lineChart>
      <c:catAx>
        <c:axId val="544251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544253936"/>
        <c:crosses val="autoZero"/>
        <c:auto val="1"/>
        <c:lblAlgn val="ctr"/>
        <c:lblOffset val="100"/>
        <c:noMultiLvlLbl val="0"/>
      </c:catAx>
      <c:valAx>
        <c:axId val="544253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544251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'Kapitalinkomst, hushåll'!$G$44</c:f>
              <c:strCache>
                <c:ptCount val="1"/>
                <c:pt idx="0">
                  <c:v>Andel</c:v>
                </c:pt>
              </c:strCache>
            </c:strRef>
          </c:tx>
          <c:spPr>
            <a:solidFill>
              <a:schemeClr val="accent1"/>
            </a:solidFill>
            <a:ln>
              <a:noFill/>
            </a:ln>
            <a:effectLst/>
          </c:spPr>
          <c:invertIfNegative val="0"/>
          <c:cat>
            <c:numRef>
              <c:f>'Kapitalinkomst, hushåll'!$H$43:$DD$43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'Kapitalinkomst, hushåll'!$H$44:$DD$44</c:f>
              <c:numCache>
                <c:formatCode>#\ ##0.0_ ;\-#\ ##0.0\ </c:formatCode>
                <c:ptCount val="101"/>
                <c:pt idx="1">
                  <c:v>-0.72958266829609852</c:v>
                </c:pt>
                <c:pt idx="2">
                  <c:v>-2.6003209574796571E-2</c:v>
                </c:pt>
                <c:pt idx="3">
                  <c:v>-8.1553891500715401E-4</c:v>
                </c:pt>
                <c:pt idx="4">
                  <c:v>7.3404947942262442E-3</c:v>
                </c:pt>
                <c:pt idx="5">
                  <c:v>7.4597221347586506E-3</c:v>
                </c:pt>
                <c:pt idx="6">
                  <c:v>1.297280525970157E-2</c:v>
                </c:pt>
                <c:pt idx="7">
                  <c:v>1.767282326028434E-2</c:v>
                </c:pt>
                <c:pt idx="8">
                  <c:v>1.7665638155233827E-2</c:v>
                </c:pt>
                <c:pt idx="9">
                  <c:v>1.9342218590309518E-2</c:v>
                </c:pt>
                <c:pt idx="10">
                  <c:v>2.2303935425790542E-2</c:v>
                </c:pt>
                <c:pt idx="11">
                  <c:v>2.0827480385931799E-2</c:v>
                </c:pt>
                <c:pt idx="12">
                  <c:v>2.5268660546149596E-2</c:v>
                </c:pt>
                <c:pt idx="13">
                  <c:v>2.4377981795013413E-2</c:v>
                </c:pt>
                <c:pt idx="14">
                  <c:v>2.5836859661559471E-2</c:v>
                </c:pt>
                <c:pt idx="15">
                  <c:v>2.3645607275036208E-2</c:v>
                </c:pt>
                <c:pt idx="16">
                  <c:v>2.810595945846036E-2</c:v>
                </c:pt>
                <c:pt idx="17">
                  <c:v>3.0669487729247578E-2</c:v>
                </c:pt>
                <c:pt idx="18">
                  <c:v>3.0855408220512574E-2</c:v>
                </c:pt>
                <c:pt idx="19">
                  <c:v>3.3062969422059087E-2</c:v>
                </c:pt>
                <c:pt idx="20">
                  <c:v>3.2772020162044384E-2</c:v>
                </c:pt>
                <c:pt idx="21">
                  <c:v>3.7088419871530026E-2</c:v>
                </c:pt>
                <c:pt idx="22">
                  <c:v>3.9429278454533194E-2</c:v>
                </c:pt>
                <c:pt idx="23">
                  <c:v>4.2903273505351468E-2</c:v>
                </c:pt>
                <c:pt idx="24">
                  <c:v>4.3249455285578227E-2</c:v>
                </c:pt>
                <c:pt idx="25">
                  <c:v>4.4083379360433508E-2</c:v>
                </c:pt>
                <c:pt idx="26">
                  <c:v>4.908540165349639E-2</c:v>
                </c:pt>
                <c:pt idx="27">
                  <c:v>5.4344668322192598E-2</c:v>
                </c:pt>
                <c:pt idx="28">
                  <c:v>5.3730369622983686E-2</c:v>
                </c:pt>
                <c:pt idx="29">
                  <c:v>5.8732391916046567E-2</c:v>
                </c:pt>
                <c:pt idx="30">
                  <c:v>6.2886790729634642E-2</c:v>
                </c:pt>
                <c:pt idx="31">
                  <c:v>6.5506856225835769E-2</c:v>
                </c:pt>
                <c:pt idx="32">
                  <c:v>6.8218033635300102E-2</c:v>
                </c:pt>
                <c:pt idx="33">
                  <c:v>7.4362760234325045E-2</c:v>
                </c:pt>
                <c:pt idx="34">
                  <c:v>7.5133623557757115E-2</c:v>
                </c:pt>
                <c:pt idx="35">
                  <c:v>7.8862471024671976E-2</c:v>
                </c:pt>
                <c:pt idx="36">
                  <c:v>8.0378973370966833E-2</c:v>
                </c:pt>
                <c:pt idx="37">
                  <c:v>8.6347564767740734E-2</c:v>
                </c:pt>
                <c:pt idx="38">
                  <c:v>8.625145148453707E-2</c:v>
                </c:pt>
                <c:pt idx="39">
                  <c:v>8.7600516663259936E-2</c:v>
                </c:pt>
                <c:pt idx="40">
                  <c:v>9.0859017904904388E-2</c:v>
                </c:pt>
                <c:pt idx="41">
                  <c:v>9.4405424094425858E-2</c:v>
                </c:pt>
                <c:pt idx="42">
                  <c:v>9.756759460199968E-2</c:v>
                </c:pt>
                <c:pt idx="43">
                  <c:v>9.7042015856517214E-2</c:v>
                </c:pt>
                <c:pt idx="44">
                  <c:v>0.10424137916037871</c:v>
                </c:pt>
                <c:pt idx="45">
                  <c:v>0.10351922483114939</c:v>
                </c:pt>
                <c:pt idx="46">
                  <c:v>0.11426042785632586</c:v>
                </c:pt>
                <c:pt idx="47">
                  <c:v>0.1115401175104485</c:v>
                </c:pt>
                <c:pt idx="48">
                  <c:v>0.11214223896110674</c:v>
                </c:pt>
                <c:pt idx="49">
                  <c:v>0.11532876396578193</c:v>
                </c:pt>
                <c:pt idx="50">
                  <c:v>0.1224902908187895</c:v>
                </c:pt>
                <c:pt idx="51">
                  <c:v>0.12166876144335186</c:v>
                </c:pt>
                <c:pt idx="52">
                  <c:v>0.12692955026811692</c:v>
                </c:pt>
                <c:pt idx="53">
                  <c:v>0.12942044994933394</c:v>
                </c:pt>
                <c:pt idx="54">
                  <c:v>0.135880262854608</c:v>
                </c:pt>
                <c:pt idx="55">
                  <c:v>0.14135850254634966</c:v>
                </c:pt>
                <c:pt idx="56">
                  <c:v>0.14060873195701429</c:v>
                </c:pt>
                <c:pt idx="57">
                  <c:v>0.14980777343359269</c:v>
                </c:pt>
                <c:pt idx="58">
                  <c:v>0.15408677159395834</c:v>
                </c:pt>
                <c:pt idx="59">
                  <c:v>0.15358185068083866</c:v>
                </c:pt>
                <c:pt idx="60">
                  <c:v>0.16107346794991673</c:v>
                </c:pt>
                <c:pt idx="61">
                  <c:v>0.17063695707954787</c:v>
                </c:pt>
                <c:pt idx="62">
                  <c:v>0.17749035605404959</c:v>
                </c:pt>
                <c:pt idx="63">
                  <c:v>0.1816199654688023</c:v>
                </c:pt>
                <c:pt idx="64">
                  <c:v>0.18271765744530022</c:v>
                </c:pt>
                <c:pt idx="65">
                  <c:v>0.19595389171816627</c:v>
                </c:pt>
                <c:pt idx="66">
                  <c:v>0.20136580889548009</c:v>
                </c:pt>
                <c:pt idx="67">
                  <c:v>0.20919991128004625</c:v>
                </c:pt>
                <c:pt idx="68">
                  <c:v>0.22165701909653512</c:v>
                </c:pt>
                <c:pt idx="69">
                  <c:v>0.22610410677707374</c:v>
                </c:pt>
                <c:pt idx="70">
                  <c:v>0.23740568068644888</c:v>
                </c:pt>
                <c:pt idx="71">
                  <c:v>0.24939613894240595</c:v>
                </c:pt>
                <c:pt idx="72">
                  <c:v>0.25950129818167589</c:v>
                </c:pt>
                <c:pt idx="73">
                  <c:v>0.26850898289531483</c:v>
                </c:pt>
                <c:pt idx="74">
                  <c:v>0.28011216115718651</c:v>
                </c:pt>
                <c:pt idx="75">
                  <c:v>0.2942079787072111</c:v>
                </c:pt>
                <c:pt idx="76">
                  <c:v>0.30659876400927211</c:v>
                </c:pt>
                <c:pt idx="77">
                  <c:v>0.33119941549206955</c:v>
                </c:pt>
                <c:pt idx="78">
                  <c:v>0.33991462878962497</c:v>
                </c:pt>
                <c:pt idx="79">
                  <c:v>0.34813231450353793</c:v>
                </c:pt>
                <c:pt idx="80">
                  <c:v>0.36901955753097587</c:v>
                </c:pt>
                <c:pt idx="81">
                  <c:v>0.39171164275431963</c:v>
                </c:pt>
                <c:pt idx="82">
                  <c:v>0.4212593014608349</c:v>
                </c:pt>
                <c:pt idx="83">
                  <c:v>0.43144839673475777</c:v>
                </c:pt>
                <c:pt idx="84">
                  <c:v>0.46096039349908885</c:v>
                </c:pt>
                <c:pt idx="85">
                  <c:v>0.50456538095217385</c:v>
                </c:pt>
                <c:pt idx="86">
                  <c:v>0.54394290610036666</c:v>
                </c:pt>
                <c:pt idx="87">
                  <c:v>0.58796844353018429</c:v>
                </c:pt>
                <c:pt idx="88">
                  <c:v>0.64176078665025638</c:v>
                </c:pt>
                <c:pt idx="89">
                  <c:v>0.71594110560718793</c:v>
                </c:pt>
                <c:pt idx="90">
                  <c:v>0.79349517476526177</c:v>
                </c:pt>
                <c:pt idx="91">
                  <c:v>0.90101767005745048</c:v>
                </c:pt>
                <c:pt idx="92">
                  <c:v>1.0455616103541405</c:v>
                </c:pt>
                <c:pt idx="93">
                  <c:v>1.2350163305601101</c:v>
                </c:pt>
                <c:pt idx="94">
                  <c:v>1.4949592714526152</c:v>
                </c:pt>
                <c:pt idx="95">
                  <c:v>1.86729669431192</c:v>
                </c:pt>
                <c:pt idx="96">
                  <c:v>2.4108810239326424</c:v>
                </c:pt>
                <c:pt idx="97">
                  <c:v>3.3580833010781213</c:v>
                </c:pt>
                <c:pt idx="98">
                  <c:v>5.3097372323723455</c:v>
                </c:pt>
                <c:pt idx="99">
                  <c:v>10.212484071723994</c:v>
                </c:pt>
                <c:pt idx="100">
                  <c:v>58.232219477509055</c:v>
                </c:pt>
              </c:numCache>
            </c:numRef>
          </c:val>
          <c:extLst>
            <c:ext xmlns:c16="http://schemas.microsoft.com/office/drawing/2014/chart" uri="{C3380CC4-5D6E-409C-BE32-E72D297353CC}">
              <c16:uniqueId val="{00000000-BEF2-4E83-9D09-8C8707990238}"/>
            </c:ext>
          </c:extLst>
        </c:ser>
        <c:dLbls>
          <c:showLegendKey val="0"/>
          <c:showVal val="0"/>
          <c:showCatName val="0"/>
          <c:showSerName val="0"/>
          <c:showPercent val="0"/>
          <c:showBubbleSize val="0"/>
        </c:dLbls>
        <c:gapWidth val="150"/>
        <c:axId val="622643288"/>
        <c:axId val="622643616"/>
      </c:barChart>
      <c:catAx>
        <c:axId val="622643288"/>
        <c:scaling>
          <c:orientation val="minMax"/>
        </c:scaling>
        <c:delete val="0"/>
        <c:axPos val="b"/>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616"/>
        <c:crosses val="autoZero"/>
        <c:auto val="1"/>
        <c:lblAlgn val="ctr"/>
        <c:lblOffset val="100"/>
        <c:tickLblSkip val="10"/>
        <c:noMultiLvlLbl val="0"/>
      </c:catAx>
      <c:valAx>
        <c:axId val="622643616"/>
        <c:scaling>
          <c:orientation val="minMax"/>
        </c:scaling>
        <c:delete val="0"/>
        <c:axPos val="l"/>
        <c:majorGridlines>
          <c:spPr>
            <a:ln w="9525" cap="flat" cmpd="sng" algn="ctr">
              <a:solidFill>
                <a:schemeClr val="tx1">
                  <a:lumMod val="15000"/>
                  <a:lumOff val="85000"/>
                </a:schemeClr>
              </a:solidFill>
              <a:round/>
            </a:ln>
            <a:effectLst/>
          </c:spPr>
        </c:majorGridlines>
        <c:numFmt formatCode="#\ ##0.0_ ;\-#\ ##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GGXWDG_NGDP!$F$5</c:f>
              <c:strCache>
                <c:ptCount val="1"/>
                <c:pt idx="0">
                  <c:v>Bruttoskuld</c:v>
                </c:pt>
              </c:strCache>
            </c:strRef>
          </c:tx>
          <c:spPr>
            <a:solidFill>
              <a:srgbClr val="4472C4"/>
            </a:solidFill>
            <a:ln w="25400">
              <a:noFill/>
            </a:ln>
          </c:spPr>
          <c:invertIfNegative val="0"/>
          <c:cat>
            <c:strRef>
              <c:f>GGXWDG_NGDP!$G$4:$S$4</c:f>
              <c:strCache>
                <c:ptCount val="13"/>
                <c:pt idx="0">
                  <c:v>SWE</c:v>
                </c:pt>
                <c:pt idx="1">
                  <c:v>SWE 2032</c:v>
                </c:pt>
                <c:pt idx="2">
                  <c:v>DNK</c:v>
                </c:pt>
                <c:pt idx="3">
                  <c:v>NLD</c:v>
                </c:pt>
                <c:pt idx="4">
                  <c:v>DEU</c:v>
                </c:pt>
                <c:pt idx="5">
                  <c:v>CHN</c:v>
                </c:pt>
                <c:pt idx="6">
                  <c:v>FIN</c:v>
                </c:pt>
                <c:pt idx="7">
                  <c:v>EU</c:v>
                </c:pt>
                <c:pt idx="8">
                  <c:v>EURO</c:v>
                </c:pt>
                <c:pt idx="9">
                  <c:v>UK</c:v>
                </c:pt>
                <c:pt idx="10">
                  <c:v>FRA</c:v>
                </c:pt>
                <c:pt idx="11">
                  <c:v>USA</c:v>
                </c:pt>
                <c:pt idx="12">
                  <c:v>ITA</c:v>
                </c:pt>
              </c:strCache>
            </c:strRef>
          </c:cat>
          <c:val>
            <c:numRef>
              <c:f>GGXWDG_NGDP!$G$5:$S$5</c:f>
              <c:numCache>
                <c:formatCode>General</c:formatCode>
                <c:ptCount val="13"/>
                <c:pt idx="0">
                  <c:v>29.1</c:v>
                </c:pt>
                <c:pt idx="1">
                  <c:v>38.700000000000003</c:v>
                </c:pt>
                <c:pt idx="2">
                  <c:v>38.5</c:v>
                </c:pt>
                <c:pt idx="3">
                  <c:v>56.2</c:v>
                </c:pt>
                <c:pt idx="4">
                  <c:v>69.8</c:v>
                </c:pt>
                <c:pt idx="5">
                  <c:v>72.099999999999994</c:v>
                </c:pt>
                <c:pt idx="6">
                  <c:v>72.2</c:v>
                </c:pt>
                <c:pt idx="7">
                  <c:v>90.7</c:v>
                </c:pt>
                <c:pt idx="8">
                  <c:v>96.3</c:v>
                </c:pt>
                <c:pt idx="9">
                  <c:v>107.1</c:v>
                </c:pt>
                <c:pt idx="10">
                  <c:v>113.5</c:v>
                </c:pt>
                <c:pt idx="11">
                  <c:v>130.69999999999999</c:v>
                </c:pt>
                <c:pt idx="12">
                  <c:v>150.4</c:v>
                </c:pt>
              </c:numCache>
            </c:numRef>
          </c:val>
          <c:extLst>
            <c:ext xmlns:c16="http://schemas.microsoft.com/office/drawing/2014/chart" uri="{C3380CC4-5D6E-409C-BE32-E72D297353CC}">
              <c16:uniqueId val="{00000000-E924-4307-AD31-E197A1192C57}"/>
            </c:ext>
          </c:extLst>
        </c:ser>
        <c:dLbls>
          <c:showLegendKey val="0"/>
          <c:showVal val="0"/>
          <c:showCatName val="0"/>
          <c:showSerName val="0"/>
          <c:showPercent val="0"/>
          <c:showBubbleSize val="0"/>
        </c:dLbls>
        <c:gapWidth val="219"/>
        <c:overlap val="-27"/>
        <c:axId val="657382216"/>
        <c:axId val="1"/>
      </c:barChart>
      <c:catAx>
        <c:axId val="657382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5738221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'D32'!$E$7</c:f>
              <c:strCache>
                <c:ptCount val="1"/>
                <c:pt idx="0">
                  <c:v>Näringslivet</c:v>
                </c:pt>
              </c:strCache>
            </c:strRef>
          </c:tx>
          <c:spPr>
            <a:ln w="28575" cap="rnd">
              <a:solidFill>
                <a:schemeClr val="accent1"/>
              </a:solidFill>
              <a:round/>
            </a:ln>
            <a:effectLst/>
          </c:spPr>
          <c:marker>
            <c:symbol val="none"/>
          </c:marker>
          <c:cat>
            <c:numRef>
              <c:f>'D32'!$F$6:$LB$6</c:f>
              <c:numCache>
                <c:formatCode>m/d/yyyy</c:formatCode>
                <c:ptCount val="309"/>
                <c:pt idx="0">
                  <c:v>35431</c:v>
                </c:pt>
                <c:pt idx="1">
                  <c:v>35462</c:v>
                </c:pt>
                <c:pt idx="2">
                  <c:v>35490</c:v>
                </c:pt>
                <c:pt idx="3">
                  <c:v>35521</c:v>
                </c:pt>
                <c:pt idx="4">
                  <c:v>35551</c:v>
                </c:pt>
                <c:pt idx="5">
                  <c:v>35582</c:v>
                </c:pt>
                <c:pt idx="6">
                  <c:v>35612</c:v>
                </c:pt>
                <c:pt idx="7">
                  <c:v>35643</c:v>
                </c:pt>
                <c:pt idx="8">
                  <c:v>35674</c:v>
                </c:pt>
                <c:pt idx="9">
                  <c:v>35704</c:v>
                </c:pt>
                <c:pt idx="10">
                  <c:v>35735</c:v>
                </c:pt>
                <c:pt idx="11">
                  <c:v>35765</c:v>
                </c:pt>
                <c:pt idx="12">
                  <c:v>35796</c:v>
                </c:pt>
                <c:pt idx="13">
                  <c:v>35827</c:v>
                </c:pt>
                <c:pt idx="14">
                  <c:v>35855</c:v>
                </c:pt>
                <c:pt idx="15">
                  <c:v>35886</c:v>
                </c:pt>
                <c:pt idx="16">
                  <c:v>35916</c:v>
                </c:pt>
                <c:pt idx="17">
                  <c:v>35947</c:v>
                </c:pt>
                <c:pt idx="18">
                  <c:v>35977</c:v>
                </c:pt>
                <c:pt idx="19">
                  <c:v>36008</c:v>
                </c:pt>
                <c:pt idx="20">
                  <c:v>36039</c:v>
                </c:pt>
                <c:pt idx="21">
                  <c:v>36069</c:v>
                </c:pt>
                <c:pt idx="22">
                  <c:v>36100</c:v>
                </c:pt>
                <c:pt idx="23">
                  <c:v>36130</c:v>
                </c:pt>
                <c:pt idx="24">
                  <c:v>36161</c:v>
                </c:pt>
                <c:pt idx="25">
                  <c:v>36192</c:v>
                </c:pt>
                <c:pt idx="26">
                  <c:v>36220</c:v>
                </c:pt>
                <c:pt idx="27">
                  <c:v>36251</c:v>
                </c:pt>
                <c:pt idx="28">
                  <c:v>36281</c:v>
                </c:pt>
                <c:pt idx="29">
                  <c:v>36312</c:v>
                </c:pt>
                <c:pt idx="30">
                  <c:v>36342</c:v>
                </c:pt>
                <c:pt idx="31">
                  <c:v>36373</c:v>
                </c:pt>
                <c:pt idx="32">
                  <c:v>36404</c:v>
                </c:pt>
                <c:pt idx="33">
                  <c:v>36434</c:v>
                </c:pt>
                <c:pt idx="34">
                  <c:v>36465</c:v>
                </c:pt>
                <c:pt idx="35">
                  <c:v>36495</c:v>
                </c:pt>
                <c:pt idx="36">
                  <c:v>36526</c:v>
                </c:pt>
                <c:pt idx="37">
                  <c:v>36557</c:v>
                </c:pt>
                <c:pt idx="38">
                  <c:v>36586</c:v>
                </c:pt>
                <c:pt idx="39">
                  <c:v>36617</c:v>
                </c:pt>
                <c:pt idx="40">
                  <c:v>36647</c:v>
                </c:pt>
                <c:pt idx="41">
                  <c:v>36678</c:v>
                </c:pt>
                <c:pt idx="42">
                  <c:v>36708</c:v>
                </c:pt>
                <c:pt idx="43">
                  <c:v>36739</c:v>
                </c:pt>
                <c:pt idx="44">
                  <c:v>36770</c:v>
                </c:pt>
                <c:pt idx="45">
                  <c:v>36800</c:v>
                </c:pt>
                <c:pt idx="46">
                  <c:v>36831</c:v>
                </c:pt>
                <c:pt idx="47">
                  <c:v>36861</c:v>
                </c:pt>
                <c:pt idx="48">
                  <c:v>36892</c:v>
                </c:pt>
                <c:pt idx="49">
                  <c:v>36923</c:v>
                </c:pt>
                <c:pt idx="50">
                  <c:v>36951</c:v>
                </c:pt>
                <c:pt idx="51">
                  <c:v>36982</c:v>
                </c:pt>
                <c:pt idx="52">
                  <c:v>37012</c:v>
                </c:pt>
                <c:pt idx="53">
                  <c:v>37043</c:v>
                </c:pt>
                <c:pt idx="54">
                  <c:v>37073</c:v>
                </c:pt>
                <c:pt idx="55">
                  <c:v>37104</c:v>
                </c:pt>
                <c:pt idx="56">
                  <c:v>37135</c:v>
                </c:pt>
                <c:pt idx="57">
                  <c:v>37165</c:v>
                </c:pt>
                <c:pt idx="58">
                  <c:v>37196</c:v>
                </c:pt>
                <c:pt idx="59">
                  <c:v>37226</c:v>
                </c:pt>
                <c:pt idx="60">
                  <c:v>37257</c:v>
                </c:pt>
                <c:pt idx="61">
                  <c:v>37288</c:v>
                </c:pt>
                <c:pt idx="62">
                  <c:v>37316</c:v>
                </c:pt>
                <c:pt idx="63">
                  <c:v>37347</c:v>
                </c:pt>
                <c:pt idx="64">
                  <c:v>37377</c:v>
                </c:pt>
                <c:pt idx="65">
                  <c:v>37408</c:v>
                </c:pt>
                <c:pt idx="66">
                  <c:v>37438</c:v>
                </c:pt>
                <c:pt idx="67">
                  <c:v>37469</c:v>
                </c:pt>
                <c:pt idx="68">
                  <c:v>37500</c:v>
                </c:pt>
                <c:pt idx="69">
                  <c:v>37530</c:v>
                </c:pt>
                <c:pt idx="70">
                  <c:v>37561</c:v>
                </c:pt>
                <c:pt idx="71">
                  <c:v>37591</c:v>
                </c:pt>
                <c:pt idx="72">
                  <c:v>37622</c:v>
                </c:pt>
                <c:pt idx="73">
                  <c:v>37653</c:v>
                </c:pt>
                <c:pt idx="74">
                  <c:v>37681</c:v>
                </c:pt>
                <c:pt idx="75">
                  <c:v>37712</c:v>
                </c:pt>
                <c:pt idx="76">
                  <c:v>37742</c:v>
                </c:pt>
                <c:pt idx="77">
                  <c:v>37773</c:v>
                </c:pt>
                <c:pt idx="78">
                  <c:v>37803</c:v>
                </c:pt>
                <c:pt idx="79">
                  <c:v>37834</c:v>
                </c:pt>
                <c:pt idx="80">
                  <c:v>37865</c:v>
                </c:pt>
                <c:pt idx="81">
                  <c:v>37895</c:v>
                </c:pt>
                <c:pt idx="82">
                  <c:v>37926</c:v>
                </c:pt>
                <c:pt idx="83">
                  <c:v>37956</c:v>
                </c:pt>
                <c:pt idx="84">
                  <c:v>37987</c:v>
                </c:pt>
                <c:pt idx="85">
                  <c:v>38018</c:v>
                </c:pt>
                <c:pt idx="86">
                  <c:v>38047</c:v>
                </c:pt>
                <c:pt idx="87">
                  <c:v>38078</c:v>
                </c:pt>
                <c:pt idx="88">
                  <c:v>38108</c:v>
                </c:pt>
                <c:pt idx="89">
                  <c:v>38139</c:v>
                </c:pt>
                <c:pt idx="90">
                  <c:v>38169</c:v>
                </c:pt>
                <c:pt idx="91">
                  <c:v>38200</c:v>
                </c:pt>
                <c:pt idx="92">
                  <c:v>38231</c:v>
                </c:pt>
                <c:pt idx="93">
                  <c:v>38261</c:v>
                </c:pt>
                <c:pt idx="94">
                  <c:v>38292</c:v>
                </c:pt>
                <c:pt idx="95">
                  <c:v>38322</c:v>
                </c:pt>
                <c:pt idx="96">
                  <c:v>38353</c:v>
                </c:pt>
                <c:pt idx="97">
                  <c:v>38384</c:v>
                </c:pt>
                <c:pt idx="98">
                  <c:v>38412</c:v>
                </c:pt>
                <c:pt idx="99">
                  <c:v>38443</c:v>
                </c:pt>
                <c:pt idx="100">
                  <c:v>38473</c:v>
                </c:pt>
                <c:pt idx="101">
                  <c:v>38504</c:v>
                </c:pt>
                <c:pt idx="102">
                  <c:v>38534</c:v>
                </c:pt>
                <c:pt idx="103">
                  <c:v>38565</c:v>
                </c:pt>
                <c:pt idx="104">
                  <c:v>38596</c:v>
                </c:pt>
                <c:pt idx="105">
                  <c:v>38626</c:v>
                </c:pt>
                <c:pt idx="106">
                  <c:v>38657</c:v>
                </c:pt>
                <c:pt idx="107">
                  <c:v>38687</c:v>
                </c:pt>
                <c:pt idx="108">
                  <c:v>38718</c:v>
                </c:pt>
                <c:pt idx="109">
                  <c:v>38749</c:v>
                </c:pt>
                <c:pt idx="110">
                  <c:v>38777</c:v>
                </c:pt>
                <c:pt idx="111">
                  <c:v>38808</c:v>
                </c:pt>
                <c:pt idx="112">
                  <c:v>38838</c:v>
                </c:pt>
                <c:pt idx="113">
                  <c:v>38869</c:v>
                </c:pt>
                <c:pt idx="114">
                  <c:v>38899</c:v>
                </c:pt>
                <c:pt idx="115">
                  <c:v>38930</c:v>
                </c:pt>
                <c:pt idx="116">
                  <c:v>38961</c:v>
                </c:pt>
                <c:pt idx="117">
                  <c:v>38991</c:v>
                </c:pt>
                <c:pt idx="118">
                  <c:v>39022</c:v>
                </c:pt>
                <c:pt idx="119">
                  <c:v>39052</c:v>
                </c:pt>
                <c:pt idx="120">
                  <c:v>39083</c:v>
                </c:pt>
                <c:pt idx="121">
                  <c:v>39114</c:v>
                </c:pt>
                <c:pt idx="122">
                  <c:v>39142</c:v>
                </c:pt>
                <c:pt idx="123">
                  <c:v>39173</c:v>
                </c:pt>
                <c:pt idx="124">
                  <c:v>39203</c:v>
                </c:pt>
                <c:pt idx="125">
                  <c:v>39234</c:v>
                </c:pt>
                <c:pt idx="126">
                  <c:v>39264</c:v>
                </c:pt>
                <c:pt idx="127">
                  <c:v>39295</c:v>
                </c:pt>
                <c:pt idx="128">
                  <c:v>39326</c:v>
                </c:pt>
                <c:pt idx="129">
                  <c:v>39356</c:v>
                </c:pt>
                <c:pt idx="130">
                  <c:v>39387</c:v>
                </c:pt>
                <c:pt idx="131">
                  <c:v>39417</c:v>
                </c:pt>
                <c:pt idx="132">
                  <c:v>39448</c:v>
                </c:pt>
                <c:pt idx="133">
                  <c:v>39479</c:v>
                </c:pt>
                <c:pt idx="134">
                  <c:v>39508</c:v>
                </c:pt>
                <c:pt idx="135">
                  <c:v>39539</c:v>
                </c:pt>
                <c:pt idx="136">
                  <c:v>39569</c:v>
                </c:pt>
                <c:pt idx="137">
                  <c:v>39600</c:v>
                </c:pt>
                <c:pt idx="138">
                  <c:v>39630</c:v>
                </c:pt>
                <c:pt idx="139">
                  <c:v>39661</c:v>
                </c:pt>
                <c:pt idx="140">
                  <c:v>39692</c:v>
                </c:pt>
                <c:pt idx="141">
                  <c:v>39722</c:v>
                </c:pt>
                <c:pt idx="142">
                  <c:v>39753</c:v>
                </c:pt>
                <c:pt idx="143">
                  <c:v>39783</c:v>
                </c:pt>
                <c:pt idx="144">
                  <c:v>39814</c:v>
                </c:pt>
                <c:pt idx="145">
                  <c:v>39845</c:v>
                </c:pt>
                <c:pt idx="146">
                  <c:v>39873</c:v>
                </c:pt>
                <c:pt idx="147">
                  <c:v>39904</c:v>
                </c:pt>
                <c:pt idx="148">
                  <c:v>39934</c:v>
                </c:pt>
                <c:pt idx="149">
                  <c:v>39965</c:v>
                </c:pt>
                <c:pt idx="150">
                  <c:v>39995</c:v>
                </c:pt>
                <c:pt idx="151">
                  <c:v>40026</c:v>
                </c:pt>
                <c:pt idx="152">
                  <c:v>40057</c:v>
                </c:pt>
                <c:pt idx="153">
                  <c:v>40087</c:v>
                </c:pt>
                <c:pt idx="154">
                  <c:v>40118</c:v>
                </c:pt>
                <c:pt idx="155">
                  <c:v>40148</c:v>
                </c:pt>
                <c:pt idx="156">
                  <c:v>40179</c:v>
                </c:pt>
                <c:pt idx="157">
                  <c:v>40210</c:v>
                </c:pt>
                <c:pt idx="158">
                  <c:v>40238</c:v>
                </c:pt>
                <c:pt idx="159">
                  <c:v>40269</c:v>
                </c:pt>
                <c:pt idx="160">
                  <c:v>40299</c:v>
                </c:pt>
                <c:pt idx="161">
                  <c:v>40330</c:v>
                </c:pt>
                <c:pt idx="162">
                  <c:v>40360</c:v>
                </c:pt>
                <c:pt idx="163">
                  <c:v>40391</c:v>
                </c:pt>
                <c:pt idx="164">
                  <c:v>40422</c:v>
                </c:pt>
                <c:pt idx="165">
                  <c:v>40452</c:v>
                </c:pt>
                <c:pt idx="166">
                  <c:v>40483</c:v>
                </c:pt>
                <c:pt idx="167">
                  <c:v>40513</c:v>
                </c:pt>
                <c:pt idx="168">
                  <c:v>40544</c:v>
                </c:pt>
                <c:pt idx="169">
                  <c:v>40575</c:v>
                </c:pt>
                <c:pt idx="170">
                  <c:v>40603</c:v>
                </c:pt>
                <c:pt idx="171">
                  <c:v>40634</c:v>
                </c:pt>
                <c:pt idx="172">
                  <c:v>40664</c:v>
                </c:pt>
                <c:pt idx="173">
                  <c:v>40695</c:v>
                </c:pt>
                <c:pt idx="174">
                  <c:v>40725</c:v>
                </c:pt>
                <c:pt idx="175">
                  <c:v>40756</c:v>
                </c:pt>
                <c:pt idx="176">
                  <c:v>40787</c:v>
                </c:pt>
                <c:pt idx="177">
                  <c:v>40817</c:v>
                </c:pt>
                <c:pt idx="178">
                  <c:v>40848</c:v>
                </c:pt>
                <c:pt idx="179">
                  <c:v>40878</c:v>
                </c:pt>
                <c:pt idx="180">
                  <c:v>40909</c:v>
                </c:pt>
                <c:pt idx="181">
                  <c:v>40940</c:v>
                </c:pt>
                <c:pt idx="182">
                  <c:v>40969</c:v>
                </c:pt>
                <c:pt idx="183">
                  <c:v>41000</c:v>
                </c:pt>
                <c:pt idx="184">
                  <c:v>41030</c:v>
                </c:pt>
                <c:pt idx="185">
                  <c:v>41061</c:v>
                </c:pt>
                <c:pt idx="186">
                  <c:v>41091</c:v>
                </c:pt>
                <c:pt idx="187">
                  <c:v>41122</c:v>
                </c:pt>
                <c:pt idx="188">
                  <c:v>41153</c:v>
                </c:pt>
                <c:pt idx="189">
                  <c:v>41183</c:v>
                </c:pt>
                <c:pt idx="190">
                  <c:v>41214</c:v>
                </c:pt>
                <c:pt idx="191">
                  <c:v>41244</c:v>
                </c:pt>
                <c:pt idx="192">
                  <c:v>41275</c:v>
                </c:pt>
                <c:pt idx="193">
                  <c:v>41306</c:v>
                </c:pt>
                <c:pt idx="194">
                  <c:v>41334</c:v>
                </c:pt>
                <c:pt idx="195">
                  <c:v>41365</c:v>
                </c:pt>
                <c:pt idx="196">
                  <c:v>41395</c:v>
                </c:pt>
                <c:pt idx="197">
                  <c:v>41426</c:v>
                </c:pt>
                <c:pt idx="198">
                  <c:v>41456</c:v>
                </c:pt>
                <c:pt idx="199">
                  <c:v>41487</c:v>
                </c:pt>
                <c:pt idx="200">
                  <c:v>41518</c:v>
                </c:pt>
                <c:pt idx="201">
                  <c:v>41548</c:v>
                </c:pt>
                <c:pt idx="202">
                  <c:v>41579</c:v>
                </c:pt>
                <c:pt idx="203">
                  <c:v>41609</c:v>
                </c:pt>
                <c:pt idx="204">
                  <c:v>41640</c:v>
                </c:pt>
                <c:pt idx="205">
                  <c:v>41671</c:v>
                </c:pt>
                <c:pt idx="206">
                  <c:v>41699</c:v>
                </c:pt>
                <c:pt idx="207">
                  <c:v>41730</c:v>
                </c:pt>
                <c:pt idx="208">
                  <c:v>41760</c:v>
                </c:pt>
                <c:pt idx="209">
                  <c:v>41791</c:v>
                </c:pt>
                <c:pt idx="210">
                  <c:v>41821</c:v>
                </c:pt>
                <c:pt idx="211">
                  <c:v>41852</c:v>
                </c:pt>
                <c:pt idx="212">
                  <c:v>41883</c:v>
                </c:pt>
                <c:pt idx="213">
                  <c:v>41913</c:v>
                </c:pt>
                <c:pt idx="214">
                  <c:v>41944</c:v>
                </c:pt>
                <c:pt idx="215">
                  <c:v>41974</c:v>
                </c:pt>
                <c:pt idx="216">
                  <c:v>42005</c:v>
                </c:pt>
                <c:pt idx="217">
                  <c:v>42036</c:v>
                </c:pt>
                <c:pt idx="218">
                  <c:v>42064</c:v>
                </c:pt>
                <c:pt idx="219">
                  <c:v>42095</c:v>
                </c:pt>
                <c:pt idx="220">
                  <c:v>42125</c:v>
                </c:pt>
                <c:pt idx="221">
                  <c:v>42156</c:v>
                </c:pt>
                <c:pt idx="222">
                  <c:v>42186</c:v>
                </c:pt>
                <c:pt idx="223">
                  <c:v>42217</c:v>
                </c:pt>
                <c:pt idx="224">
                  <c:v>42248</c:v>
                </c:pt>
                <c:pt idx="225">
                  <c:v>42278</c:v>
                </c:pt>
                <c:pt idx="226">
                  <c:v>42309</c:v>
                </c:pt>
                <c:pt idx="227">
                  <c:v>42339</c:v>
                </c:pt>
                <c:pt idx="228">
                  <c:v>42370</c:v>
                </c:pt>
                <c:pt idx="229">
                  <c:v>42401</c:v>
                </c:pt>
                <c:pt idx="230">
                  <c:v>42430</c:v>
                </c:pt>
                <c:pt idx="231">
                  <c:v>42461</c:v>
                </c:pt>
                <c:pt idx="232">
                  <c:v>42491</c:v>
                </c:pt>
                <c:pt idx="233">
                  <c:v>42522</c:v>
                </c:pt>
                <c:pt idx="234">
                  <c:v>42552</c:v>
                </c:pt>
                <c:pt idx="235">
                  <c:v>42583</c:v>
                </c:pt>
                <c:pt idx="236">
                  <c:v>42614</c:v>
                </c:pt>
                <c:pt idx="237">
                  <c:v>42644</c:v>
                </c:pt>
                <c:pt idx="238">
                  <c:v>42675</c:v>
                </c:pt>
                <c:pt idx="239">
                  <c:v>42705</c:v>
                </c:pt>
                <c:pt idx="240">
                  <c:v>42736</c:v>
                </c:pt>
                <c:pt idx="241">
                  <c:v>42767</c:v>
                </c:pt>
                <c:pt idx="242">
                  <c:v>42795</c:v>
                </c:pt>
                <c:pt idx="243">
                  <c:v>42826</c:v>
                </c:pt>
                <c:pt idx="244">
                  <c:v>42856</c:v>
                </c:pt>
                <c:pt idx="245">
                  <c:v>42887</c:v>
                </c:pt>
                <c:pt idx="246">
                  <c:v>42917</c:v>
                </c:pt>
                <c:pt idx="247">
                  <c:v>42948</c:v>
                </c:pt>
                <c:pt idx="248">
                  <c:v>42979</c:v>
                </c:pt>
                <c:pt idx="249">
                  <c:v>43009</c:v>
                </c:pt>
                <c:pt idx="250">
                  <c:v>43040</c:v>
                </c:pt>
                <c:pt idx="251">
                  <c:v>43070</c:v>
                </c:pt>
                <c:pt idx="252">
                  <c:v>43101</c:v>
                </c:pt>
                <c:pt idx="253">
                  <c:v>43132</c:v>
                </c:pt>
                <c:pt idx="254">
                  <c:v>43160</c:v>
                </c:pt>
                <c:pt idx="255">
                  <c:v>43191</c:v>
                </c:pt>
                <c:pt idx="256">
                  <c:v>43221</c:v>
                </c:pt>
                <c:pt idx="257">
                  <c:v>43252</c:v>
                </c:pt>
                <c:pt idx="258">
                  <c:v>43282</c:v>
                </c:pt>
                <c:pt idx="259">
                  <c:v>43313</c:v>
                </c:pt>
                <c:pt idx="260">
                  <c:v>43344</c:v>
                </c:pt>
                <c:pt idx="261">
                  <c:v>43374</c:v>
                </c:pt>
                <c:pt idx="262">
                  <c:v>43405</c:v>
                </c:pt>
                <c:pt idx="263">
                  <c:v>43435</c:v>
                </c:pt>
                <c:pt idx="264">
                  <c:v>43466</c:v>
                </c:pt>
                <c:pt idx="265">
                  <c:v>43497</c:v>
                </c:pt>
                <c:pt idx="266">
                  <c:v>43525</c:v>
                </c:pt>
                <c:pt idx="267">
                  <c:v>43556</c:v>
                </c:pt>
                <c:pt idx="268">
                  <c:v>43586</c:v>
                </c:pt>
                <c:pt idx="269">
                  <c:v>43617</c:v>
                </c:pt>
                <c:pt idx="270">
                  <c:v>43647</c:v>
                </c:pt>
                <c:pt idx="271">
                  <c:v>43678</c:v>
                </c:pt>
                <c:pt idx="272">
                  <c:v>43709</c:v>
                </c:pt>
                <c:pt idx="273">
                  <c:v>43739</c:v>
                </c:pt>
                <c:pt idx="274">
                  <c:v>43770</c:v>
                </c:pt>
                <c:pt idx="275">
                  <c:v>43800</c:v>
                </c:pt>
                <c:pt idx="276">
                  <c:v>43831</c:v>
                </c:pt>
                <c:pt idx="277">
                  <c:v>43862</c:v>
                </c:pt>
                <c:pt idx="278">
                  <c:v>43891</c:v>
                </c:pt>
                <c:pt idx="279">
                  <c:v>43922</c:v>
                </c:pt>
                <c:pt idx="280">
                  <c:v>43952</c:v>
                </c:pt>
                <c:pt idx="281">
                  <c:v>43983</c:v>
                </c:pt>
                <c:pt idx="282">
                  <c:v>44013</c:v>
                </c:pt>
                <c:pt idx="283">
                  <c:v>44044</c:v>
                </c:pt>
                <c:pt idx="284">
                  <c:v>44075</c:v>
                </c:pt>
                <c:pt idx="285">
                  <c:v>44105</c:v>
                </c:pt>
                <c:pt idx="286">
                  <c:v>44136</c:v>
                </c:pt>
                <c:pt idx="287">
                  <c:v>44166</c:v>
                </c:pt>
                <c:pt idx="288">
                  <c:v>44197</c:v>
                </c:pt>
                <c:pt idx="289">
                  <c:v>44228</c:v>
                </c:pt>
                <c:pt idx="290">
                  <c:v>44256</c:v>
                </c:pt>
                <c:pt idx="291">
                  <c:v>44287</c:v>
                </c:pt>
                <c:pt idx="292">
                  <c:v>44317</c:v>
                </c:pt>
                <c:pt idx="293">
                  <c:v>44348</c:v>
                </c:pt>
                <c:pt idx="294">
                  <c:v>44378</c:v>
                </c:pt>
                <c:pt idx="295">
                  <c:v>44409</c:v>
                </c:pt>
                <c:pt idx="296">
                  <c:v>44440</c:v>
                </c:pt>
                <c:pt idx="297">
                  <c:v>44470</c:v>
                </c:pt>
                <c:pt idx="298">
                  <c:v>44501</c:v>
                </c:pt>
                <c:pt idx="299">
                  <c:v>44531</c:v>
                </c:pt>
                <c:pt idx="300">
                  <c:v>44562</c:v>
                </c:pt>
                <c:pt idx="301">
                  <c:v>44593</c:v>
                </c:pt>
                <c:pt idx="302">
                  <c:v>44621</c:v>
                </c:pt>
                <c:pt idx="303">
                  <c:v>44652</c:v>
                </c:pt>
                <c:pt idx="304">
                  <c:v>44682</c:v>
                </c:pt>
                <c:pt idx="305">
                  <c:v>44713</c:v>
                </c:pt>
                <c:pt idx="306">
                  <c:v>44743</c:v>
                </c:pt>
                <c:pt idx="307">
                  <c:v>44774</c:v>
                </c:pt>
                <c:pt idx="308">
                  <c:v>44805</c:v>
                </c:pt>
              </c:numCache>
            </c:numRef>
          </c:cat>
          <c:val>
            <c:numRef>
              <c:f>'D32'!$F$7:$LB$7</c:f>
              <c:numCache>
                <c:formatCode>0</c:formatCode>
                <c:ptCount val="309"/>
                <c:pt idx="0">
                  <c:v>94.233257347726322</c:v>
                </c:pt>
                <c:pt idx="1">
                  <c:v>93.422223231376847</c:v>
                </c:pt>
                <c:pt idx="2">
                  <c:v>96.330844438277623</c:v>
                </c:pt>
                <c:pt idx="3">
                  <c:v>95.703705188494368</c:v>
                </c:pt>
                <c:pt idx="4">
                  <c:v>94.147464336810955</c:v>
                </c:pt>
                <c:pt idx="5">
                  <c:v>95.440732231519902</c:v>
                </c:pt>
                <c:pt idx="6">
                  <c:v>98.799293385744022</c:v>
                </c:pt>
                <c:pt idx="7">
                  <c:v>98.445944687616532</c:v>
                </c:pt>
                <c:pt idx="8">
                  <c:v>100.9925279248084</c:v>
                </c:pt>
                <c:pt idx="9">
                  <c:v>101.8162420300596</c:v>
                </c:pt>
                <c:pt idx="10">
                  <c:v>102.14452327645812</c:v>
                </c:pt>
                <c:pt idx="11">
                  <c:v>102.87712855590343</c:v>
                </c:pt>
                <c:pt idx="12">
                  <c:v>104.84159531123804</c:v>
                </c:pt>
                <c:pt idx="13">
                  <c:v>102.39933050923693</c:v>
                </c:pt>
                <c:pt idx="14">
                  <c:v>102.90233319913776</c:v>
                </c:pt>
                <c:pt idx="15">
                  <c:v>99.643393339326764</c:v>
                </c:pt>
                <c:pt idx="16">
                  <c:v>102.25096052969234</c:v>
                </c:pt>
                <c:pt idx="17">
                  <c:v>104.50780248146464</c:v>
                </c:pt>
                <c:pt idx="18">
                  <c:v>103.11159148154894</c:v>
                </c:pt>
                <c:pt idx="19">
                  <c:v>98.54620233034349</c:v>
                </c:pt>
                <c:pt idx="20">
                  <c:v>98.61388775844388</c:v>
                </c:pt>
                <c:pt idx="21">
                  <c:v>97.756313640123565</c:v>
                </c:pt>
                <c:pt idx="22">
                  <c:v>95.943619077463211</c:v>
                </c:pt>
                <c:pt idx="23">
                  <c:v>94.306647570656736</c:v>
                </c:pt>
                <c:pt idx="24">
                  <c:v>91.655281561604596</c:v>
                </c:pt>
                <c:pt idx="25">
                  <c:v>91.982325302770533</c:v>
                </c:pt>
                <c:pt idx="26">
                  <c:v>90.586966338154269</c:v>
                </c:pt>
                <c:pt idx="27">
                  <c:v>91.523078752666621</c:v>
                </c:pt>
                <c:pt idx="28">
                  <c:v>98.310809792388554</c:v>
                </c:pt>
                <c:pt idx="29">
                  <c:v>99.227924995225663</c:v>
                </c:pt>
                <c:pt idx="30">
                  <c:v>98.830891683007621</c:v>
                </c:pt>
                <c:pt idx="31">
                  <c:v>102.70767153506762</c:v>
                </c:pt>
                <c:pt idx="32">
                  <c:v>104.37588446586247</c:v>
                </c:pt>
                <c:pt idx="33">
                  <c:v>102.79153251882958</c:v>
                </c:pt>
                <c:pt idx="34">
                  <c:v>105.40995032290931</c:v>
                </c:pt>
                <c:pt idx="35">
                  <c:v>106.64441142868247</c:v>
                </c:pt>
                <c:pt idx="36">
                  <c:v>106.84096320708264</c:v>
                </c:pt>
                <c:pt idx="37">
                  <c:v>109.06940249830487</c:v>
                </c:pt>
                <c:pt idx="38">
                  <c:v>111.39083675072712</c:v>
                </c:pt>
                <c:pt idx="39">
                  <c:v>110.65584400601448</c:v>
                </c:pt>
                <c:pt idx="40">
                  <c:v>109.69928084734872</c:v>
                </c:pt>
                <c:pt idx="41">
                  <c:v>109.85180386840945</c:v>
                </c:pt>
                <c:pt idx="42">
                  <c:v>110.82565696931894</c:v>
                </c:pt>
                <c:pt idx="43">
                  <c:v>109.38667764090737</c:v>
                </c:pt>
                <c:pt idx="44">
                  <c:v>107.32140920849022</c:v>
                </c:pt>
                <c:pt idx="45">
                  <c:v>108.59308151640347</c:v>
                </c:pt>
                <c:pt idx="46">
                  <c:v>107.15740462593001</c:v>
                </c:pt>
                <c:pt idx="47">
                  <c:v>102.26872344881842</c:v>
                </c:pt>
                <c:pt idx="48">
                  <c:v>99.611860046919077</c:v>
                </c:pt>
                <c:pt idx="49">
                  <c:v>95.689949055514305</c:v>
                </c:pt>
                <c:pt idx="50">
                  <c:v>93.115560840303701</c:v>
                </c:pt>
                <c:pt idx="51">
                  <c:v>90.851243682887485</c:v>
                </c:pt>
                <c:pt idx="52">
                  <c:v>88.631718128659728</c:v>
                </c:pt>
                <c:pt idx="53">
                  <c:v>86.904711950329784</c:v>
                </c:pt>
                <c:pt idx="54">
                  <c:v>84.805733949160711</c:v>
                </c:pt>
                <c:pt idx="55">
                  <c:v>84.936354443587248</c:v>
                </c:pt>
                <c:pt idx="56">
                  <c:v>85.982369050741795</c:v>
                </c:pt>
                <c:pt idx="57">
                  <c:v>84.902193173596814</c:v>
                </c:pt>
                <c:pt idx="58">
                  <c:v>86.137704281065481</c:v>
                </c:pt>
                <c:pt idx="59">
                  <c:v>88.408348468088761</c:v>
                </c:pt>
                <c:pt idx="60">
                  <c:v>89.204531062539431</c:v>
                </c:pt>
                <c:pt idx="61">
                  <c:v>89.250020989433168</c:v>
                </c:pt>
                <c:pt idx="62">
                  <c:v>92.299776332124139</c:v>
                </c:pt>
                <c:pt idx="63">
                  <c:v>92.542553178536323</c:v>
                </c:pt>
                <c:pt idx="64">
                  <c:v>91.824714218228138</c:v>
                </c:pt>
                <c:pt idx="65">
                  <c:v>97.318254611713314</c:v>
                </c:pt>
                <c:pt idx="66">
                  <c:v>93.225414403670086</c:v>
                </c:pt>
                <c:pt idx="67">
                  <c:v>92.199884041873005</c:v>
                </c:pt>
                <c:pt idx="68">
                  <c:v>93.752705469539762</c:v>
                </c:pt>
                <c:pt idx="69">
                  <c:v>90.258582560338937</c:v>
                </c:pt>
                <c:pt idx="70">
                  <c:v>90.440309059609589</c:v>
                </c:pt>
                <c:pt idx="71">
                  <c:v>92.394583099599885</c:v>
                </c:pt>
                <c:pt idx="72">
                  <c:v>91.171935252239535</c:v>
                </c:pt>
                <c:pt idx="73">
                  <c:v>96.838246669216019</c:v>
                </c:pt>
                <c:pt idx="74">
                  <c:v>95.173577596923494</c:v>
                </c:pt>
                <c:pt idx="75">
                  <c:v>88.257039935346398</c:v>
                </c:pt>
                <c:pt idx="76">
                  <c:v>89.886717009616149</c:v>
                </c:pt>
                <c:pt idx="77">
                  <c:v>86.093360374062399</c:v>
                </c:pt>
                <c:pt idx="78">
                  <c:v>83.85864143409367</c:v>
                </c:pt>
                <c:pt idx="79">
                  <c:v>87.448974686580868</c:v>
                </c:pt>
                <c:pt idx="80">
                  <c:v>87.664440893303038</c:v>
                </c:pt>
                <c:pt idx="81">
                  <c:v>89.372081384556182</c:v>
                </c:pt>
                <c:pt idx="82">
                  <c:v>90.05843275120931</c:v>
                </c:pt>
                <c:pt idx="83">
                  <c:v>93.402030310849042</c:v>
                </c:pt>
                <c:pt idx="84">
                  <c:v>92.263854796954902</c:v>
                </c:pt>
                <c:pt idx="85">
                  <c:v>93.793269344160336</c:v>
                </c:pt>
                <c:pt idx="86">
                  <c:v>94.842970833724905</c:v>
                </c:pt>
                <c:pt idx="87">
                  <c:v>97.458551943804622</c:v>
                </c:pt>
                <c:pt idx="88">
                  <c:v>99.692721127790804</c:v>
                </c:pt>
                <c:pt idx="89">
                  <c:v>100.47979053166689</c:v>
                </c:pt>
                <c:pt idx="90">
                  <c:v>100.86271777154994</c:v>
                </c:pt>
                <c:pt idx="91">
                  <c:v>103.4462278468237</c:v>
                </c:pt>
                <c:pt idx="92">
                  <c:v>106.11316213358798</c:v>
                </c:pt>
                <c:pt idx="93">
                  <c:v>102.17949171961853</c:v>
                </c:pt>
                <c:pt idx="94">
                  <c:v>102.2627709190444</c:v>
                </c:pt>
                <c:pt idx="95">
                  <c:v>100.36460453840702</c:v>
                </c:pt>
                <c:pt idx="96">
                  <c:v>102.88344552997518</c:v>
                </c:pt>
                <c:pt idx="97">
                  <c:v>101.59095660353221</c:v>
                </c:pt>
                <c:pt idx="98">
                  <c:v>100.32346469517437</c:v>
                </c:pt>
                <c:pt idx="99">
                  <c:v>97.290715017188447</c:v>
                </c:pt>
                <c:pt idx="100">
                  <c:v>97.04243974804551</c:v>
                </c:pt>
                <c:pt idx="101">
                  <c:v>99.667691733299677</c:v>
                </c:pt>
                <c:pt idx="102">
                  <c:v>98.144347860649944</c:v>
                </c:pt>
                <c:pt idx="103">
                  <c:v>98.68947631391562</c:v>
                </c:pt>
                <c:pt idx="104">
                  <c:v>101.20222448994164</c:v>
                </c:pt>
                <c:pt idx="105">
                  <c:v>102.95774493087295</c:v>
                </c:pt>
                <c:pt idx="106">
                  <c:v>103.88128172082912</c:v>
                </c:pt>
                <c:pt idx="107">
                  <c:v>105.20807284413874</c:v>
                </c:pt>
                <c:pt idx="108">
                  <c:v>107.66982550197883</c:v>
                </c:pt>
                <c:pt idx="109">
                  <c:v>109.53245335366198</c:v>
                </c:pt>
                <c:pt idx="110">
                  <c:v>107.32152346599094</c:v>
                </c:pt>
                <c:pt idx="111">
                  <c:v>108.12054677886753</c:v>
                </c:pt>
                <c:pt idx="112">
                  <c:v>107.11134974909797</c:v>
                </c:pt>
                <c:pt idx="113">
                  <c:v>108.24775554136077</c:v>
                </c:pt>
                <c:pt idx="114">
                  <c:v>106.27964393823375</c:v>
                </c:pt>
                <c:pt idx="115">
                  <c:v>107.20866536917985</c:v>
                </c:pt>
                <c:pt idx="116">
                  <c:v>108.14663440978394</c:v>
                </c:pt>
                <c:pt idx="117">
                  <c:v>110.15948137968627</c:v>
                </c:pt>
                <c:pt idx="118">
                  <c:v>112.34258401699643</c:v>
                </c:pt>
                <c:pt idx="119">
                  <c:v>110.72560788973695</c:v>
                </c:pt>
                <c:pt idx="120">
                  <c:v>110.86397584678851</c:v>
                </c:pt>
                <c:pt idx="121">
                  <c:v>110.98069264040066</c:v>
                </c:pt>
                <c:pt idx="122">
                  <c:v>110.84202366543848</c:v>
                </c:pt>
                <c:pt idx="123">
                  <c:v>113.69429992068126</c:v>
                </c:pt>
                <c:pt idx="124">
                  <c:v>112.29624325504277</c:v>
                </c:pt>
                <c:pt idx="125">
                  <c:v>112.38974098605043</c:v>
                </c:pt>
                <c:pt idx="126">
                  <c:v>112.59563667152362</c:v>
                </c:pt>
                <c:pt idx="127">
                  <c:v>110.64444222416324</c:v>
                </c:pt>
                <c:pt idx="128">
                  <c:v>107.77162835118692</c:v>
                </c:pt>
                <c:pt idx="129">
                  <c:v>108.25071028388959</c:v>
                </c:pt>
                <c:pt idx="130">
                  <c:v>107.43707140267537</c:v>
                </c:pt>
                <c:pt idx="131">
                  <c:v>107.41797585536702</c:v>
                </c:pt>
                <c:pt idx="132">
                  <c:v>103.76417356327669</c:v>
                </c:pt>
                <c:pt idx="133">
                  <c:v>102.17259895195718</c:v>
                </c:pt>
                <c:pt idx="134">
                  <c:v>104.31328909057935</c:v>
                </c:pt>
                <c:pt idx="135">
                  <c:v>103.80275897042463</c:v>
                </c:pt>
                <c:pt idx="136">
                  <c:v>97.755433698377701</c:v>
                </c:pt>
                <c:pt idx="137">
                  <c:v>97.169249842407538</c:v>
                </c:pt>
                <c:pt idx="138">
                  <c:v>93.367526268853538</c:v>
                </c:pt>
                <c:pt idx="139">
                  <c:v>89.846990190585899</c:v>
                </c:pt>
                <c:pt idx="140">
                  <c:v>90.427482786221873</c:v>
                </c:pt>
                <c:pt idx="141">
                  <c:v>85.543930444781751</c:v>
                </c:pt>
                <c:pt idx="142">
                  <c:v>75.382503089746479</c:v>
                </c:pt>
                <c:pt idx="143">
                  <c:v>72.074619215786697</c:v>
                </c:pt>
                <c:pt idx="144">
                  <c:v>72.696142330919287</c:v>
                </c:pt>
                <c:pt idx="145">
                  <c:v>72.26973008566614</c:v>
                </c:pt>
                <c:pt idx="146">
                  <c:v>69.140721610536048</c:v>
                </c:pt>
                <c:pt idx="147">
                  <c:v>69.864218627122199</c:v>
                </c:pt>
                <c:pt idx="148">
                  <c:v>74.145554506989853</c:v>
                </c:pt>
                <c:pt idx="149">
                  <c:v>76.197890450900758</c:v>
                </c:pt>
                <c:pt idx="150">
                  <c:v>81.875619722269278</c:v>
                </c:pt>
                <c:pt idx="151">
                  <c:v>85.953972182983676</c:v>
                </c:pt>
                <c:pt idx="152">
                  <c:v>87.934226403158974</c:v>
                </c:pt>
                <c:pt idx="153">
                  <c:v>93.07855802083327</c:v>
                </c:pt>
                <c:pt idx="154">
                  <c:v>95.954231500492881</c:v>
                </c:pt>
                <c:pt idx="155">
                  <c:v>102.33708191894679</c:v>
                </c:pt>
                <c:pt idx="156">
                  <c:v>103.29087372082977</c:v>
                </c:pt>
                <c:pt idx="157">
                  <c:v>105.61692723417539</c:v>
                </c:pt>
                <c:pt idx="158">
                  <c:v>104.54399701766663</c:v>
                </c:pt>
                <c:pt idx="159">
                  <c:v>103.55774323168963</c:v>
                </c:pt>
                <c:pt idx="160">
                  <c:v>109.69533857539284</c:v>
                </c:pt>
                <c:pt idx="161">
                  <c:v>109.89347198822601</c:v>
                </c:pt>
                <c:pt idx="162">
                  <c:v>111.4527903869175</c:v>
                </c:pt>
                <c:pt idx="163">
                  <c:v>109.86460056557139</c:v>
                </c:pt>
                <c:pt idx="164">
                  <c:v>113.81444253590141</c:v>
                </c:pt>
                <c:pt idx="165">
                  <c:v>113.64858906176801</c:v>
                </c:pt>
                <c:pt idx="166">
                  <c:v>117.1768802456439</c:v>
                </c:pt>
                <c:pt idx="167">
                  <c:v>115.25809524357446</c:v>
                </c:pt>
                <c:pt idx="168">
                  <c:v>115.09939555014905</c:v>
                </c:pt>
                <c:pt idx="169">
                  <c:v>115.55841095318621</c:v>
                </c:pt>
                <c:pt idx="170">
                  <c:v>111.7931666081621</c:v>
                </c:pt>
                <c:pt idx="171">
                  <c:v>109.5120571545426</c:v>
                </c:pt>
                <c:pt idx="172">
                  <c:v>109.04581994773471</c:v>
                </c:pt>
                <c:pt idx="173">
                  <c:v>106.67150782843852</c:v>
                </c:pt>
                <c:pt idx="174">
                  <c:v>102.48575163159404</c:v>
                </c:pt>
                <c:pt idx="175">
                  <c:v>98.617301206414595</c:v>
                </c:pt>
                <c:pt idx="176">
                  <c:v>96.350427396177395</c:v>
                </c:pt>
                <c:pt idx="177">
                  <c:v>95.182214248322282</c:v>
                </c:pt>
                <c:pt idx="178">
                  <c:v>95.186075376128983</c:v>
                </c:pt>
                <c:pt idx="179">
                  <c:v>92.86782467825185</c:v>
                </c:pt>
                <c:pt idx="180">
                  <c:v>89.947034685710449</c:v>
                </c:pt>
                <c:pt idx="181">
                  <c:v>91.30580353419117</c:v>
                </c:pt>
                <c:pt idx="182">
                  <c:v>99.005262934694045</c:v>
                </c:pt>
                <c:pt idx="183">
                  <c:v>100.40484123563422</c:v>
                </c:pt>
                <c:pt idx="184">
                  <c:v>96.986803293274249</c:v>
                </c:pt>
                <c:pt idx="185">
                  <c:v>94.679195755121853</c:v>
                </c:pt>
                <c:pt idx="186">
                  <c:v>92.174010784108987</c:v>
                </c:pt>
                <c:pt idx="187">
                  <c:v>93.942680706287504</c:v>
                </c:pt>
                <c:pt idx="188">
                  <c:v>94.426942847684074</c:v>
                </c:pt>
                <c:pt idx="189">
                  <c:v>90.217149982901432</c:v>
                </c:pt>
                <c:pt idx="190">
                  <c:v>85.202152788855841</c:v>
                </c:pt>
                <c:pt idx="191">
                  <c:v>87.33200614568598</c:v>
                </c:pt>
                <c:pt idx="192">
                  <c:v>86.985262248295413</c:v>
                </c:pt>
                <c:pt idx="193">
                  <c:v>91.466521090603749</c:v>
                </c:pt>
                <c:pt idx="194">
                  <c:v>94.034804058997622</c:v>
                </c:pt>
                <c:pt idx="195">
                  <c:v>91.336111664129689</c:v>
                </c:pt>
                <c:pt idx="196">
                  <c:v>92.377423853748709</c:v>
                </c:pt>
                <c:pt idx="197">
                  <c:v>95.79353709951711</c:v>
                </c:pt>
                <c:pt idx="198">
                  <c:v>97.472619752877776</c:v>
                </c:pt>
                <c:pt idx="199">
                  <c:v>98.214456129726017</c:v>
                </c:pt>
                <c:pt idx="200">
                  <c:v>101.01064868626476</c:v>
                </c:pt>
                <c:pt idx="201">
                  <c:v>100.79706417571977</c:v>
                </c:pt>
                <c:pt idx="202">
                  <c:v>103.2385616757571</c:v>
                </c:pt>
                <c:pt idx="203">
                  <c:v>103.24631324896875</c:v>
                </c:pt>
                <c:pt idx="204">
                  <c:v>105.2764435949582</c:v>
                </c:pt>
                <c:pt idx="205">
                  <c:v>103.80439226524312</c:v>
                </c:pt>
                <c:pt idx="206">
                  <c:v>103.61887245516996</c:v>
                </c:pt>
                <c:pt idx="207">
                  <c:v>104.35695056740549</c:v>
                </c:pt>
                <c:pt idx="208">
                  <c:v>103.17458553473112</c:v>
                </c:pt>
                <c:pt idx="209">
                  <c:v>103.92863471326893</c:v>
                </c:pt>
                <c:pt idx="210">
                  <c:v>103.36042863512245</c:v>
                </c:pt>
                <c:pt idx="211">
                  <c:v>103.86168670774234</c:v>
                </c:pt>
                <c:pt idx="212">
                  <c:v>102.25227185725382</c:v>
                </c:pt>
                <c:pt idx="213">
                  <c:v>103.93749112996751</c:v>
                </c:pt>
                <c:pt idx="214">
                  <c:v>102.5685038889555</c:v>
                </c:pt>
                <c:pt idx="215">
                  <c:v>104.1719571139936</c:v>
                </c:pt>
                <c:pt idx="216">
                  <c:v>104.37294452736768</c:v>
                </c:pt>
                <c:pt idx="217">
                  <c:v>104.71930349835398</c:v>
                </c:pt>
                <c:pt idx="218">
                  <c:v>103.96270848158663</c:v>
                </c:pt>
                <c:pt idx="219">
                  <c:v>104.82932438137935</c:v>
                </c:pt>
                <c:pt idx="220">
                  <c:v>106.2097775178005</c:v>
                </c:pt>
                <c:pt idx="221">
                  <c:v>105.08153380077951</c:v>
                </c:pt>
                <c:pt idx="222">
                  <c:v>105.82167879764377</c:v>
                </c:pt>
                <c:pt idx="223">
                  <c:v>107.24247510527209</c:v>
                </c:pt>
                <c:pt idx="224">
                  <c:v>108.20416327936265</c:v>
                </c:pt>
                <c:pt idx="225">
                  <c:v>107.86323856075344</c:v>
                </c:pt>
                <c:pt idx="226">
                  <c:v>108.228103005375</c:v>
                </c:pt>
                <c:pt idx="227">
                  <c:v>108.21772231545633</c:v>
                </c:pt>
                <c:pt idx="228">
                  <c:v>109.28291996107059</c:v>
                </c:pt>
                <c:pt idx="229">
                  <c:v>106.15068767302941</c:v>
                </c:pt>
                <c:pt idx="230">
                  <c:v>105.92239035825033</c:v>
                </c:pt>
                <c:pt idx="231">
                  <c:v>105.64682134027565</c:v>
                </c:pt>
                <c:pt idx="232">
                  <c:v>104.60785958058376</c:v>
                </c:pt>
                <c:pt idx="233">
                  <c:v>104.24703022143527</c:v>
                </c:pt>
                <c:pt idx="234">
                  <c:v>105.38305935490496</c:v>
                </c:pt>
                <c:pt idx="235">
                  <c:v>104.62090523026329</c:v>
                </c:pt>
                <c:pt idx="236">
                  <c:v>105.15423132336208</c:v>
                </c:pt>
                <c:pt idx="237">
                  <c:v>105.16054358275144</c:v>
                </c:pt>
                <c:pt idx="238">
                  <c:v>106.27128242751184</c:v>
                </c:pt>
                <c:pt idx="239">
                  <c:v>108.62194711874209</c:v>
                </c:pt>
                <c:pt idx="240">
                  <c:v>107.24292657050678</c:v>
                </c:pt>
                <c:pt idx="241">
                  <c:v>107.61714671324772</c:v>
                </c:pt>
                <c:pt idx="242">
                  <c:v>107.89769969309322</c:v>
                </c:pt>
                <c:pt idx="243">
                  <c:v>108.25095175308751</c:v>
                </c:pt>
                <c:pt idx="244">
                  <c:v>108.91124324211339</c:v>
                </c:pt>
                <c:pt idx="245">
                  <c:v>109.63898603486976</c:v>
                </c:pt>
                <c:pt idx="246">
                  <c:v>109.81619953171815</c:v>
                </c:pt>
                <c:pt idx="247">
                  <c:v>108.40410311566571</c:v>
                </c:pt>
                <c:pt idx="248">
                  <c:v>108.27223625095675</c:v>
                </c:pt>
                <c:pt idx="249">
                  <c:v>108.0180979669651</c:v>
                </c:pt>
                <c:pt idx="250">
                  <c:v>107.92284221854017</c:v>
                </c:pt>
                <c:pt idx="251">
                  <c:v>107.65588018683275</c:v>
                </c:pt>
                <c:pt idx="252">
                  <c:v>106.87730745252802</c:v>
                </c:pt>
                <c:pt idx="253">
                  <c:v>108.20932388350904</c:v>
                </c:pt>
                <c:pt idx="254">
                  <c:v>107.70054032005827</c:v>
                </c:pt>
                <c:pt idx="255">
                  <c:v>107.16969616740116</c:v>
                </c:pt>
                <c:pt idx="256">
                  <c:v>107.40480991804846</c:v>
                </c:pt>
                <c:pt idx="257">
                  <c:v>108.73818128020758</c:v>
                </c:pt>
                <c:pt idx="258">
                  <c:v>107.54034888608686</c:v>
                </c:pt>
                <c:pt idx="259">
                  <c:v>106.73885197743496</c:v>
                </c:pt>
                <c:pt idx="260">
                  <c:v>107.50927149556549</c:v>
                </c:pt>
                <c:pt idx="261">
                  <c:v>104.17912308604693</c:v>
                </c:pt>
                <c:pt idx="262">
                  <c:v>102.08846945507028</c:v>
                </c:pt>
                <c:pt idx="263">
                  <c:v>102.56294678917942</c:v>
                </c:pt>
                <c:pt idx="264">
                  <c:v>99.38479117700706</c:v>
                </c:pt>
                <c:pt idx="265">
                  <c:v>99.358827294861356</c:v>
                </c:pt>
                <c:pt idx="266">
                  <c:v>102.22401734809546</c:v>
                </c:pt>
                <c:pt idx="267">
                  <c:v>103.91114221562621</c:v>
                </c:pt>
                <c:pt idx="268">
                  <c:v>103.70359793563838</c:v>
                </c:pt>
                <c:pt idx="269">
                  <c:v>102.07345371833458</c:v>
                </c:pt>
                <c:pt idx="270">
                  <c:v>99.227645789897366</c:v>
                </c:pt>
                <c:pt idx="271">
                  <c:v>97.476127472135232</c:v>
                </c:pt>
                <c:pt idx="272">
                  <c:v>94.538509550485671</c:v>
                </c:pt>
                <c:pt idx="273">
                  <c:v>92.062267048739855</c:v>
                </c:pt>
                <c:pt idx="274">
                  <c:v>94.658762842428928</c:v>
                </c:pt>
                <c:pt idx="275">
                  <c:v>94.037290936682993</c:v>
                </c:pt>
                <c:pt idx="276">
                  <c:v>96.188920705237706</c:v>
                </c:pt>
                <c:pt idx="277">
                  <c:v>97.94272780817299</c:v>
                </c:pt>
                <c:pt idx="278">
                  <c:v>93.002920526525273</c:v>
                </c:pt>
                <c:pt idx="279">
                  <c:v>55.91313644873955</c:v>
                </c:pt>
                <c:pt idx="280">
                  <c:v>59.388845737481972</c:v>
                </c:pt>
                <c:pt idx="281">
                  <c:v>69.481451808661234</c:v>
                </c:pt>
                <c:pt idx="282">
                  <c:v>80.773766041452745</c:v>
                </c:pt>
                <c:pt idx="283">
                  <c:v>85.774743966803612</c:v>
                </c:pt>
                <c:pt idx="284">
                  <c:v>91.95909747253603</c:v>
                </c:pt>
                <c:pt idx="285">
                  <c:v>91.7796580970831</c:v>
                </c:pt>
                <c:pt idx="286">
                  <c:v>91.531537821805443</c:v>
                </c:pt>
                <c:pt idx="287">
                  <c:v>91.184135282412342</c:v>
                </c:pt>
                <c:pt idx="288">
                  <c:v>95.537455950943539</c:v>
                </c:pt>
                <c:pt idx="289">
                  <c:v>99.999737465392954</c:v>
                </c:pt>
                <c:pt idx="290">
                  <c:v>100.69171231551084</c:v>
                </c:pt>
                <c:pt idx="291">
                  <c:v>110.67746997047841</c:v>
                </c:pt>
                <c:pt idx="292">
                  <c:v>114.22035871497675</c:v>
                </c:pt>
                <c:pt idx="293">
                  <c:v>116.68703818662276</c:v>
                </c:pt>
                <c:pt idx="294">
                  <c:v>120.0543201356481</c:v>
                </c:pt>
                <c:pt idx="295">
                  <c:v>117.42844384566986</c:v>
                </c:pt>
                <c:pt idx="296">
                  <c:v>117.63634418147583</c:v>
                </c:pt>
                <c:pt idx="297">
                  <c:v>118.1001134056271</c:v>
                </c:pt>
                <c:pt idx="298">
                  <c:v>116.90376917213078</c:v>
                </c:pt>
                <c:pt idx="299">
                  <c:v>115.32992393446094</c:v>
                </c:pt>
                <c:pt idx="300">
                  <c:v>109.38112853011987</c:v>
                </c:pt>
                <c:pt idx="301">
                  <c:v>114.26201984954304</c:v>
                </c:pt>
                <c:pt idx="302">
                  <c:v>114.96749490920065</c:v>
                </c:pt>
                <c:pt idx="303">
                  <c:v>114.08201234432008</c:v>
                </c:pt>
                <c:pt idx="304">
                  <c:v>114.20792959365193</c:v>
                </c:pt>
                <c:pt idx="305">
                  <c:v>110.29541009051474</c:v>
                </c:pt>
                <c:pt idx="306">
                  <c:v>107.208997906452</c:v>
                </c:pt>
                <c:pt idx="307">
                  <c:v>101.89132676268348</c:v>
                </c:pt>
                <c:pt idx="308">
                  <c:v>96.357012761224141</c:v>
                </c:pt>
              </c:numCache>
            </c:numRef>
          </c:val>
          <c:smooth val="0"/>
          <c:extLst>
            <c:ext xmlns:c16="http://schemas.microsoft.com/office/drawing/2014/chart" uri="{C3380CC4-5D6E-409C-BE32-E72D297353CC}">
              <c16:uniqueId val="{00000000-FEE4-46AC-A8EE-9535FF69BE71}"/>
            </c:ext>
          </c:extLst>
        </c:ser>
        <c:ser>
          <c:idx val="1"/>
          <c:order val="1"/>
          <c:tx>
            <c:strRef>
              <c:f>'D32'!$E$8</c:f>
              <c:strCache>
                <c:ptCount val="1"/>
                <c:pt idx="0">
                  <c:v>Hushållen</c:v>
                </c:pt>
              </c:strCache>
            </c:strRef>
          </c:tx>
          <c:spPr>
            <a:ln w="28575" cap="rnd">
              <a:solidFill>
                <a:schemeClr val="accent2"/>
              </a:solidFill>
              <a:round/>
            </a:ln>
            <a:effectLst/>
          </c:spPr>
          <c:marker>
            <c:symbol val="none"/>
          </c:marker>
          <c:cat>
            <c:numRef>
              <c:f>'D32'!$F$6:$LB$6</c:f>
              <c:numCache>
                <c:formatCode>m/d/yyyy</c:formatCode>
                <c:ptCount val="309"/>
                <c:pt idx="0">
                  <c:v>35431</c:v>
                </c:pt>
                <c:pt idx="1">
                  <c:v>35462</c:v>
                </c:pt>
                <c:pt idx="2">
                  <c:v>35490</c:v>
                </c:pt>
                <c:pt idx="3">
                  <c:v>35521</c:v>
                </c:pt>
                <c:pt idx="4">
                  <c:v>35551</c:v>
                </c:pt>
                <c:pt idx="5">
                  <c:v>35582</c:v>
                </c:pt>
                <c:pt idx="6">
                  <c:v>35612</c:v>
                </c:pt>
                <c:pt idx="7">
                  <c:v>35643</c:v>
                </c:pt>
                <c:pt idx="8">
                  <c:v>35674</c:v>
                </c:pt>
                <c:pt idx="9">
                  <c:v>35704</c:v>
                </c:pt>
                <c:pt idx="10">
                  <c:v>35735</c:v>
                </c:pt>
                <c:pt idx="11">
                  <c:v>35765</c:v>
                </c:pt>
                <c:pt idx="12">
                  <c:v>35796</c:v>
                </c:pt>
                <c:pt idx="13">
                  <c:v>35827</c:v>
                </c:pt>
                <c:pt idx="14">
                  <c:v>35855</c:v>
                </c:pt>
                <c:pt idx="15">
                  <c:v>35886</c:v>
                </c:pt>
                <c:pt idx="16">
                  <c:v>35916</c:v>
                </c:pt>
                <c:pt idx="17">
                  <c:v>35947</c:v>
                </c:pt>
                <c:pt idx="18">
                  <c:v>35977</c:v>
                </c:pt>
                <c:pt idx="19">
                  <c:v>36008</c:v>
                </c:pt>
                <c:pt idx="20">
                  <c:v>36039</c:v>
                </c:pt>
                <c:pt idx="21">
                  <c:v>36069</c:v>
                </c:pt>
                <c:pt idx="22">
                  <c:v>36100</c:v>
                </c:pt>
                <c:pt idx="23">
                  <c:v>36130</c:v>
                </c:pt>
                <c:pt idx="24">
                  <c:v>36161</c:v>
                </c:pt>
                <c:pt idx="25">
                  <c:v>36192</c:v>
                </c:pt>
                <c:pt idx="26">
                  <c:v>36220</c:v>
                </c:pt>
                <c:pt idx="27">
                  <c:v>36251</c:v>
                </c:pt>
                <c:pt idx="28">
                  <c:v>36281</c:v>
                </c:pt>
                <c:pt idx="29">
                  <c:v>36312</c:v>
                </c:pt>
                <c:pt idx="30">
                  <c:v>36342</c:v>
                </c:pt>
                <c:pt idx="31">
                  <c:v>36373</c:v>
                </c:pt>
                <c:pt idx="32">
                  <c:v>36404</c:v>
                </c:pt>
                <c:pt idx="33">
                  <c:v>36434</c:v>
                </c:pt>
                <c:pt idx="34">
                  <c:v>36465</c:v>
                </c:pt>
                <c:pt idx="35">
                  <c:v>36495</c:v>
                </c:pt>
                <c:pt idx="36">
                  <c:v>36526</c:v>
                </c:pt>
                <c:pt idx="37">
                  <c:v>36557</c:v>
                </c:pt>
                <c:pt idx="38">
                  <c:v>36586</c:v>
                </c:pt>
                <c:pt idx="39">
                  <c:v>36617</c:v>
                </c:pt>
                <c:pt idx="40">
                  <c:v>36647</c:v>
                </c:pt>
                <c:pt idx="41">
                  <c:v>36678</c:v>
                </c:pt>
                <c:pt idx="42">
                  <c:v>36708</c:v>
                </c:pt>
                <c:pt idx="43">
                  <c:v>36739</c:v>
                </c:pt>
                <c:pt idx="44">
                  <c:v>36770</c:v>
                </c:pt>
                <c:pt idx="45">
                  <c:v>36800</c:v>
                </c:pt>
                <c:pt idx="46">
                  <c:v>36831</c:v>
                </c:pt>
                <c:pt idx="47">
                  <c:v>36861</c:v>
                </c:pt>
                <c:pt idx="48">
                  <c:v>36892</c:v>
                </c:pt>
                <c:pt idx="49">
                  <c:v>36923</c:v>
                </c:pt>
                <c:pt idx="50">
                  <c:v>36951</c:v>
                </c:pt>
                <c:pt idx="51">
                  <c:v>36982</c:v>
                </c:pt>
                <c:pt idx="52">
                  <c:v>37012</c:v>
                </c:pt>
                <c:pt idx="53">
                  <c:v>37043</c:v>
                </c:pt>
                <c:pt idx="54">
                  <c:v>37073</c:v>
                </c:pt>
                <c:pt idx="55">
                  <c:v>37104</c:v>
                </c:pt>
                <c:pt idx="56">
                  <c:v>37135</c:v>
                </c:pt>
                <c:pt idx="57">
                  <c:v>37165</c:v>
                </c:pt>
                <c:pt idx="58">
                  <c:v>37196</c:v>
                </c:pt>
                <c:pt idx="59">
                  <c:v>37226</c:v>
                </c:pt>
                <c:pt idx="60">
                  <c:v>37257</c:v>
                </c:pt>
                <c:pt idx="61">
                  <c:v>37288</c:v>
                </c:pt>
                <c:pt idx="62">
                  <c:v>37316</c:v>
                </c:pt>
                <c:pt idx="63">
                  <c:v>37347</c:v>
                </c:pt>
                <c:pt idx="64">
                  <c:v>37377</c:v>
                </c:pt>
                <c:pt idx="65">
                  <c:v>37408</c:v>
                </c:pt>
                <c:pt idx="66">
                  <c:v>37438</c:v>
                </c:pt>
                <c:pt idx="67">
                  <c:v>37469</c:v>
                </c:pt>
                <c:pt idx="68">
                  <c:v>37500</c:v>
                </c:pt>
                <c:pt idx="69">
                  <c:v>37530</c:v>
                </c:pt>
                <c:pt idx="70">
                  <c:v>37561</c:v>
                </c:pt>
                <c:pt idx="71">
                  <c:v>37591</c:v>
                </c:pt>
                <c:pt idx="72">
                  <c:v>37622</c:v>
                </c:pt>
                <c:pt idx="73">
                  <c:v>37653</c:v>
                </c:pt>
                <c:pt idx="74">
                  <c:v>37681</c:v>
                </c:pt>
                <c:pt idx="75">
                  <c:v>37712</c:v>
                </c:pt>
                <c:pt idx="76">
                  <c:v>37742</c:v>
                </c:pt>
                <c:pt idx="77">
                  <c:v>37773</c:v>
                </c:pt>
                <c:pt idx="78">
                  <c:v>37803</c:v>
                </c:pt>
                <c:pt idx="79">
                  <c:v>37834</c:v>
                </c:pt>
                <c:pt idx="80">
                  <c:v>37865</c:v>
                </c:pt>
                <c:pt idx="81">
                  <c:v>37895</c:v>
                </c:pt>
                <c:pt idx="82">
                  <c:v>37926</c:v>
                </c:pt>
                <c:pt idx="83">
                  <c:v>37956</c:v>
                </c:pt>
                <c:pt idx="84">
                  <c:v>37987</c:v>
                </c:pt>
                <c:pt idx="85">
                  <c:v>38018</c:v>
                </c:pt>
                <c:pt idx="86">
                  <c:v>38047</c:v>
                </c:pt>
                <c:pt idx="87">
                  <c:v>38078</c:v>
                </c:pt>
                <c:pt idx="88">
                  <c:v>38108</c:v>
                </c:pt>
                <c:pt idx="89">
                  <c:v>38139</c:v>
                </c:pt>
                <c:pt idx="90">
                  <c:v>38169</c:v>
                </c:pt>
                <c:pt idx="91">
                  <c:v>38200</c:v>
                </c:pt>
                <c:pt idx="92">
                  <c:v>38231</c:v>
                </c:pt>
                <c:pt idx="93">
                  <c:v>38261</c:v>
                </c:pt>
                <c:pt idx="94">
                  <c:v>38292</c:v>
                </c:pt>
                <c:pt idx="95">
                  <c:v>38322</c:v>
                </c:pt>
                <c:pt idx="96">
                  <c:v>38353</c:v>
                </c:pt>
                <c:pt idx="97">
                  <c:v>38384</c:v>
                </c:pt>
                <c:pt idx="98">
                  <c:v>38412</c:v>
                </c:pt>
                <c:pt idx="99">
                  <c:v>38443</c:v>
                </c:pt>
                <c:pt idx="100">
                  <c:v>38473</c:v>
                </c:pt>
                <c:pt idx="101">
                  <c:v>38504</c:v>
                </c:pt>
                <c:pt idx="102">
                  <c:v>38534</c:v>
                </c:pt>
                <c:pt idx="103">
                  <c:v>38565</c:v>
                </c:pt>
                <c:pt idx="104">
                  <c:v>38596</c:v>
                </c:pt>
                <c:pt idx="105">
                  <c:v>38626</c:v>
                </c:pt>
                <c:pt idx="106">
                  <c:v>38657</c:v>
                </c:pt>
                <c:pt idx="107">
                  <c:v>38687</c:v>
                </c:pt>
                <c:pt idx="108">
                  <c:v>38718</c:v>
                </c:pt>
                <c:pt idx="109">
                  <c:v>38749</c:v>
                </c:pt>
                <c:pt idx="110">
                  <c:v>38777</c:v>
                </c:pt>
                <c:pt idx="111">
                  <c:v>38808</c:v>
                </c:pt>
                <c:pt idx="112">
                  <c:v>38838</c:v>
                </c:pt>
                <c:pt idx="113">
                  <c:v>38869</c:v>
                </c:pt>
                <c:pt idx="114">
                  <c:v>38899</c:v>
                </c:pt>
                <c:pt idx="115">
                  <c:v>38930</c:v>
                </c:pt>
                <c:pt idx="116">
                  <c:v>38961</c:v>
                </c:pt>
                <c:pt idx="117">
                  <c:v>38991</c:v>
                </c:pt>
                <c:pt idx="118">
                  <c:v>39022</c:v>
                </c:pt>
                <c:pt idx="119">
                  <c:v>39052</c:v>
                </c:pt>
                <c:pt idx="120">
                  <c:v>39083</c:v>
                </c:pt>
                <c:pt idx="121">
                  <c:v>39114</c:v>
                </c:pt>
                <c:pt idx="122">
                  <c:v>39142</c:v>
                </c:pt>
                <c:pt idx="123">
                  <c:v>39173</c:v>
                </c:pt>
                <c:pt idx="124">
                  <c:v>39203</c:v>
                </c:pt>
                <c:pt idx="125">
                  <c:v>39234</c:v>
                </c:pt>
                <c:pt idx="126">
                  <c:v>39264</c:v>
                </c:pt>
                <c:pt idx="127">
                  <c:v>39295</c:v>
                </c:pt>
                <c:pt idx="128">
                  <c:v>39326</c:v>
                </c:pt>
                <c:pt idx="129">
                  <c:v>39356</c:v>
                </c:pt>
                <c:pt idx="130">
                  <c:v>39387</c:v>
                </c:pt>
                <c:pt idx="131">
                  <c:v>39417</c:v>
                </c:pt>
                <c:pt idx="132">
                  <c:v>39448</c:v>
                </c:pt>
                <c:pt idx="133">
                  <c:v>39479</c:v>
                </c:pt>
                <c:pt idx="134">
                  <c:v>39508</c:v>
                </c:pt>
                <c:pt idx="135">
                  <c:v>39539</c:v>
                </c:pt>
                <c:pt idx="136">
                  <c:v>39569</c:v>
                </c:pt>
                <c:pt idx="137">
                  <c:v>39600</c:v>
                </c:pt>
                <c:pt idx="138">
                  <c:v>39630</c:v>
                </c:pt>
                <c:pt idx="139">
                  <c:v>39661</c:v>
                </c:pt>
                <c:pt idx="140">
                  <c:v>39692</c:v>
                </c:pt>
                <c:pt idx="141">
                  <c:v>39722</c:v>
                </c:pt>
                <c:pt idx="142">
                  <c:v>39753</c:v>
                </c:pt>
                <c:pt idx="143">
                  <c:v>39783</c:v>
                </c:pt>
                <c:pt idx="144">
                  <c:v>39814</c:v>
                </c:pt>
                <c:pt idx="145">
                  <c:v>39845</c:v>
                </c:pt>
                <c:pt idx="146">
                  <c:v>39873</c:v>
                </c:pt>
                <c:pt idx="147">
                  <c:v>39904</c:v>
                </c:pt>
                <c:pt idx="148">
                  <c:v>39934</c:v>
                </c:pt>
                <c:pt idx="149">
                  <c:v>39965</c:v>
                </c:pt>
                <c:pt idx="150">
                  <c:v>39995</c:v>
                </c:pt>
                <c:pt idx="151">
                  <c:v>40026</c:v>
                </c:pt>
                <c:pt idx="152">
                  <c:v>40057</c:v>
                </c:pt>
                <c:pt idx="153">
                  <c:v>40087</c:v>
                </c:pt>
                <c:pt idx="154">
                  <c:v>40118</c:v>
                </c:pt>
                <c:pt idx="155">
                  <c:v>40148</c:v>
                </c:pt>
                <c:pt idx="156">
                  <c:v>40179</c:v>
                </c:pt>
                <c:pt idx="157">
                  <c:v>40210</c:v>
                </c:pt>
                <c:pt idx="158">
                  <c:v>40238</c:v>
                </c:pt>
                <c:pt idx="159">
                  <c:v>40269</c:v>
                </c:pt>
                <c:pt idx="160">
                  <c:v>40299</c:v>
                </c:pt>
                <c:pt idx="161">
                  <c:v>40330</c:v>
                </c:pt>
                <c:pt idx="162">
                  <c:v>40360</c:v>
                </c:pt>
                <c:pt idx="163">
                  <c:v>40391</c:v>
                </c:pt>
                <c:pt idx="164">
                  <c:v>40422</c:v>
                </c:pt>
                <c:pt idx="165">
                  <c:v>40452</c:v>
                </c:pt>
                <c:pt idx="166">
                  <c:v>40483</c:v>
                </c:pt>
                <c:pt idx="167">
                  <c:v>40513</c:v>
                </c:pt>
                <c:pt idx="168">
                  <c:v>40544</c:v>
                </c:pt>
                <c:pt idx="169">
                  <c:v>40575</c:v>
                </c:pt>
                <c:pt idx="170">
                  <c:v>40603</c:v>
                </c:pt>
                <c:pt idx="171">
                  <c:v>40634</c:v>
                </c:pt>
                <c:pt idx="172">
                  <c:v>40664</c:v>
                </c:pt>
                <c:pt idx="173">
                  <c:v>40695</c:v>
                </c:pt>
                <c:pt idx="174">
                  <c:v>40725</c:v>
                </c:pt>
                <c:pt idx="175">
                  <c:v>40756</c:v>
                </c:pt>
                <c:pt idx="176">
                  <c:v>40787</c:v>
                </c:pt>
                <c:pt idx="177">
                  <c:v>40817</c:v>
                </c:pt>
                <c:pt idx="178">
                  <c:v>40848</c:v>
                </c:pt>
                <c:pt idx="179">
                  <c:v>40878</c:v>
                </c:pt>
                <c:pt idx="180">
                  <c:v>40909</c:v>
                </c:pt>
                <c:pt idx="181">
                  <c:v>40940</c:v>
                </c:pt>
                <c:pt idx="182">
                  <c:v>40969</c:v>
                </c:pt>
                <c:pt idx="183">
                  <c:v>41000</c:v>
                </c:pt>
                <c:pt idx="184">
                  <c:v>41030</c:v>
                </c:pt>
                <c:pt idx="185">
                  <c:v>41061</c:v>
                </c:pt>
                <c:pt idx="186">
                  <c:v>41091</c:v>
                </c:pt>
                <c:pt idx="187">
                  <c:v>41122</c:v>
                </c:pt>
                <c:pt idx="188">
                  <c:v>41153</c:v>
                </c:pt>
                <c:pt idx="189">
                  <c:v>41183</c:v>
                </c:pt>
                <c:pt idx="190">
                  <c:v>41214</c:v>
                </c:pt>
                <c:pt idx="191">
                  <c:v>41244</c:v>
                </c:pt>
                <c:pt idx="192">
                  <c:v>41275</c:v>
                </c:pt>
                <c:pt idx="193">
                  <c:v>41306</c:v>
                </c:pt>
                <c:pt idx="194">
                  <c:v>41334</c:v>
                </c:pt>
                <c:pt idx="195">
                  <c:v>41365</c:v>
                </c:pt>
                <c:pt idx="196">
                  <c:v>41395</c:v>
                </c:pt>
                <c:pt idx="197">
                  <c:v>41426</c:v>
                </c:pt>
                <c:pt idx="198">
                  <c:v>41456</c:v>
                </c:pt>
                <c:pt idx="199">
                  <c:v>41487</c:v>
                </c:pt>
                <c:pt idx="200">
                  <c:v>41518</c:v>
                </c:pt>
                <c:pt idx="201">
                  <c:v>41548</c:v>
                </c:pt>
                <c:pt idx="202">
                  <c:v>41579</c:v>
                </c:pt>
                <c:pt idx="203">
                  <c:v>41609</c:v>
                </c:pt>
                <c:pt idx="204">
                  <c:v>41640</c:v>
                </c:pt>
                <c:pt idx="205">
                  <c:v>41671</c:v>
                </c:pt>
                <c:pt idx="206">
                  <c:v>41699</c:v>
                </c:pt>
                <c:pt idx="207">
                  <c:v>41730</c:v>
                </c:pt>
                <c:pt idx="208">
                  <c:v>41760</c:v>
                </c:pt>
                <c:pt idx="209">
                  <c:v>41791</c:v>
                </c:pt>
                <c:pt idx="210">
                  <c:v>41821</c:v>
                </c:pt>
                <c:pt idx="211">
                  <c:v>41852</c:v>
                </c:pt>
                <c:pt idx="212">
                  <c:v>41883</c:v>
                </c:pt>
                <c:pt idx="213">
                  <c:v>41913</c:v>
                </c:pt>
                <c:pt idx="214">
                  <c:v>41944</c:v>
                </c:pt>
                <c:pt idx="215">
                  <c:v>41974</c:v>
                </c:pt>
                <c:pt idx="216">
                  <c:v>42005</c:v>
                </c:pt>
                <c:pt idx="217">
                  <c:v>42036</c:v>
                </c:pt>
                <c:pt idx="218">
                  <c:v>42064</c:v>
                </c:pt>
                <c:pt idx="219">
                  <c:v>42095</c:v>
                </c:pt>
                <c:pt idx="220">
                  <c:v>42125</c:v>
                </c:pt>
                <c:pt idx="221">
                  <c:v>42156</c:v>
                </c:pt>
                <c:pt idx="222">
                  <c:v>42186</c:v>
                </c:pt>
                <c:pt idx="223">
                  <c:v>42217</c:v>
                </c:pt>
                <c:pt idx="224">
                  <c:v>42248</c:v>
                </c:pt>
                <c:pt idx="225">
                  <c:v>42278</c:v>
                </c:pt>
                <c:pt idx="226">
                  <c:v>42309</c:v>
                </c:pt>
                <c:pt idx="227">
                  <c:v>42339</c:v>
                </c:pt>
                <c:pt idx="228">
                  <c:v>42370</c:v>
                </c:pt>
                <c:pt idx="229">
                  <c:v>42401</c:v>
                </c:pt>
                <c:pt idx="230">
                  <c:v>42430</c:v>
                </c:pt>
                <c:pt idx="231">
                  <c:v>42461</c:v>
                </c:pt>
                <c:pt idx="232">
                  <c:v>42491</c:v>
                </c:pt>
                <c:pt idx="233">
                  <c:v>42522</c:v>
                </c:pt>
                <c:pt idx="234">
                  <c:v>42552</c:v>
                </c:pt>
                <c:pt idx="235">
                  <c:v>42583</c:v>
                </c:pt>
                <c:pt idx="236">
                  <c:v>42614</c:v>
                </c:pt>
                <c:pt idx="237">
                  <c:v>42644</c:v>
                </c:pt>
                <c:pt idx="238">
                  <c:v>42675</c:v>
                </c:pt>
                <c:pt idx="239">
                  <c:v>42705</c:v>
                </c:pt>
                <c:pt idx="240">
                  <c:v>42736</c:v>
                </c:pt>
                <c:pt idx="241">
                  <c:v>42767</c:v>
                </c:pt>
                <c:pt idx="242">
                  <c:v>42795</c:v>
                </c:pt>
                <c:pt idx="243">
                  <c:v>42826</c:v>
                </c:pt>
                <c:pt idx="244">
                  <c:v>42856</c:v>
                </c:pt>
                <c:pt idx="245">
                  <c:v>42887</c:v>
                </c:pt>
                <c:pt idx="246">
                  <c:v>42917</c:v>
                </c:pt>
                <c:pt idx="247">
                  <c:v>42948</c:v>
                </c:pt>
                <c:pt idx="248">
                  <c:v>42979</c:v>
                </c:pt>
                <c:pt idx="249">
                  <c:v>43009</c:v>
                </c:pt>
                <c:pt idx="250">
                  <c:v>43040</c:v>
                </c:pt>
                <c:pt idx="251">
                  <c:v>43070</c:v>
                </c:pt>
                <c:pt idx="252">
                  <c:v>43101</c:v>
                </c:pt>
                <c:pt idx="253">
                  <c:v>43132</c:v>
                </c:pt>
                <c:pt idx="254">
                  <c:v>43160</c:v>
                </c:pt>
                <c:pt idx="255">
                  <c:v>43191</c:v>
                </c:pt>
                <c:pt idx="256">
                  <c:v>43221</c:v>
                </c:pt>
                <c:pt idx="257">
                  <c:v>43252</c:v>
                </c:pt>
                <c:pt idx="258">
                  <c:v>43282</c:v>
                </c:pt>
                <c:pt idx="259">
                  <c:v>43313</c:v>
                </c:pt>
                <c:pt idx="260">
                  <c:v>43344</c:v>
                </c:pt>
                <c:pt idx="261">
                  <c:v>43374</c:v>
                </c:pt>
                <c:pt idx="262">
                  <c:v>43405</c:v>
                </c:pt>
                <c:pt idx="263">
                  <c:v>43435</c:v>
                </c:pt>
                <c:pt idx="264">
                  <c:v>43466</c:v>
                </c:pt>
                <c:pt idx="265">
                  <c:v>43497</c:v>
                </c:pt>
                <c:pt idx="266">
                  <c:v>43525</c:v>
                </c:pt>
                <c:pt idx="267">
                  <c:v>43556</c:v>
                </c:pt>
                <c:pt idx="268">
                  <c:v>43586</c:v>
                </c:pt>
                <c:pt idx="269">
                  <c:v>43617</c:v>
                </c:pt>
                <c:pt idx="270">
                  <c:v>43647</c:v>
                </c:pt>
                <c:pt idx="271">
                  <c:v>43678</c:v>
                </c:pt>
                <c:pt idx="272">
                  <c:v>43709</c:v>
                </c:pt>
                <c:pt idx="273">
                  <c:v>43739</c:v>
                </c:pt>
                <c:pt idx="274">
                  <c:v>43770</c:v>
                </c:pt>
                <c:pt idx="275">
                  <c:v>43800</c:v>
                </c:pt>
                <c:pt idx="276">
                  <c:v>43831</c:v>
                </c:pt>
                <c:pt idx="277">
                  <c:v>43862</c:v>
                </c:pt>
                <c:pt idx="278">
                  <c:v>43891</c:v>
                </c:pt>
                <c:pt idx="279">
                  <c:v>43922</c:v>
                </c:pt>
                <c:pt idx="280">
                  <c:v>43952</c:v>
                </c:pt>
                <c:pt idx="281">
                  <c:v>43983</c:v>
                </c:pt>
                <c:pt idx="282">
                  <c:v>44013</c:v>
                </c:pt>
                <c:pt idx="283">
                  <c:v>44044</c:v>
                </c:pt>
                <c:pt idx="284">
                  <c:v>44075</c:v>
                </c:pt>
                <c:pt idx="285">
                  <c:v>44105</c:v>
                </c:pt>
                <c:pt idx="286">
                  <c:v>44136</c:v>
                </c:pt>
                <c:pt idx="287">
                  <c:v>44166</c:v>
                </c:pt>
                <c:pt idx="288">
                  <c:v>44197</c:v>
                </c:pt>
                <c:pt idx="289">
                  <c:v>44228</c:v>
                </c:pt>
                <c:pt idx="290">
                  <c:v>44256</c:v>
                </c:pt>
                <c:pt idx="291">
                  <c:v>44287</c:v>
                </c:pt>
                <c:pt idx="292">
                  <c:v>44317</c:v>
                </c:pt>
                <c:pt idx="293">
                  <c:v>44348</c:v>
                </c:pt>
                <c:pt idx="294">
                  <c:v>44378</c:v>
                </c:pt>
                <c:pt idx="295">
                  <c:v>44409</c:v>
                </c:pt>
                <c:pt idx="296">
                  <c:v>44440</c:v>
                </c:pt>
                <c:pt idx="297">
                  <c:v>44470</c:v>
                </c:pt>
                <c:pt idx="298">
                  <c:v>44501</c:v>
                </c:pt>
                <c:pt idx="299">
                  <c:v>44531</c:v>
                </c:pt>
                <c:pt idx="300">
                  <c:v>44562</c:v>
                </c:pt>
                <c:pt idx="301">
                  <c:v>44593</c:v>
                </c:pt>
                <c:pt idx="302">
                  <c:v>44621</c:v>
                </c:pt>
                <c:pt idx="303">
                  <c:v>44652</c:v>
                </c:pt>
                <c:pt idx="304">
                  <c:v>44682</c:v>
                </c:pt>
                <c:pt idx="305">
                  <c:v>44713</c:v>
                </c:pt>
                <c:pt idx="306">
                  <c:v>44743</c:v>
                </c:pt>
                <c:pt idx="307">
                  <c:v>44774</c:v>
                </c:pt>
                <c:pt idx="308">
                  <c:v>44805</c:v>
                </c:pt>
              </c:numCache>
            </c:numRef>
          </c:cat>
          <c:val>
            <c:numRef>
              <c:f>'D32'!$F$8:$LB$8</c:f>
              <c:numCache>
                <c:formatCode>0</c:formatCode>
                <c:ptCount val="309"/>
                <c:pt idx="0">
                  <c:v>85.72859021021452</c:v>
                </c:pt>
                <c:pt idx="1">
                  <c:v>87.637987969458152</c:v>
                </c:pt>
                <c:pt idx="2">
                  <c:v>91.177159198136962</c:v>
                </c:pt>
                <c:pt idx="3">
                  <c:v>92.96002071629826</c:v>
                </c:pt>
                <c:pt idx="4">
                  <c:v>94.549931104368511</c:v>
                </c:pt>
                <c:pt idx="5">
                  <c:v>94.514997490432705</c:v>
                </c:pt>
                <c:pt idx="6">
                  <c:v>96.317419799623906</c:v>
                </c:pt>
                <c:pt idx="7">
                  <c:v>95.452915116269622</c:v>
                </c:pt>
                <c:pt idx="8">
                  <c:v>98.334301963302764</c:v>
                </c:pt>
                <c:pt idx="9">
                  <c:v>103.1024045580953</c:v>
                </c:pt>
                <c:pt idx="10">
                  <c:v>101.23540004486202</c:v>
                </c:pt>
                <c:pt idx="11">
                  <c:v>105.16289244135031</c:v>
                </c:pt>
                <c:pt idx="12">
                  <c:v>104.59391187582325</c:v>
                </c:pt>
                <c:pt idx="13">
                  <c:v>102.03114510415423</c:v>
                </c:pt>
                <c:pt idx="14">
                  <c:v>102.30979435237943</c:v>
                </c:pt>
                <c:pt idx="15">
                  <c:v>105.08837566675406</c:v>
                </c:pt>
                <c:pt idx="16">
                  <c:v>106.17396700973944</c:v>
                </c:pt>
                <c:pt idx="17">
                  <c:v>106.61781601375014</c:v>
                </c:pt>
                <c:pt idx="18">
                  <c:v>107.29190341236298</c:v>
                </c:pt>
                <c:pt idx="19">
                  <c:v>104.37463398038469</c:v>
                </c:pt>
                <c:pt idx="20">
                  <c:v>104.78449834146892</c:v>
                </c:pt>
                <c:pt idx="21">
                  <c:v>105.7329094835908</c:v>
                </c:pt>
                <c:pt idx="22">
                  <c:v>107.05654917483551</c:v>
                </c:pt>
                <c:pt idx="23">
                  <c:v>105.30436453418994</c:v>
                </c:pt>
                <c:pt idx="24">
                  <c:v>109.47715392806387</c:v>
                </c:pt>
                <c:pt idx="25">
                  <c:v>107.83401631754177</c:v>
                </c:pt>
                <c:pt idx="26">
                  <c:v>108.42917157233812</c:v>
                </c:pt>
                <c:pt idx="27">
                  <c:v>108.20444487644377</c:v>
                </c:pt>
                <c:pt idx="28">
                  <c:v>109.08487618460873</c:v>
                </c:pt>
                <c:pt idx="29">
                  <c:v>110.73511204030099</c:v>
                </c:pt>
                <c:pt idx="30">
                  <c:v>110.64568638019951</c:v>
                </c:pt>
                <c:pt idx="31">
                  <c:v>114.74814228954119</c:v>
                </c:pt>
                <c:pt idx="32">
                  <c:v>115.65127601872051</c:v>
                </c:pt>
                <c:pt idx="33">
                  <c:v>115.81117505874641</c:v>
                </c:pt>
                <c:pt idx="34">
                  <c:v>113.24880345618197</c:v>
                </c:pt>
                <c:pt idx="35">
                  <c:v>116.78347249661435</c:v>
                </c:pt>
                <c:pt idx="36">
                  <c:v>120.85478759103965</c:v>
                </c:pt>
                <c:pt idx="37">
                  <c:v>120.91147538119844</c:v>
                </c:pt>
                <c:pt idx="38">
                  <c:v>122.34685621329845</c:v>
                </c:pt>
                <c:pt idx="39">
                  <c:v>121.33394732736062</c:v>
                </c:pt>
                <c:pt idx="40">
                  <c:v>119.40655959207933</c:v>
                </c:pt>
                <c:pt idx="41">
                  <c:v>118.22223526669914</c:v>
                </c:pt>
                <c:pt idx="42">
                  <c:v>117.52166246993856</c:v>
                </c:pt>
                <c:pt idx="43">
                  <c:v>120.22391074289837</c:v>
                </c:pt>
                <c:pt idx="44">
                  <c:v>116.87825194884144</c:v>
                </c:pt>
                <c:pt idx="45">
                  <c:v>118.22279421242996</c:v>
                </c:pt>
                <c:pt idx="46">
                  <c:v>116.94567283706755</c:v>
                </c:pt>
                <c:pt idx="47">
                  <c:v>114.21511775531536</c:v>
                </c:pt>
                <c:pt idx="48">
                  <c:v>109.48243076258939</c:v>
                </c:pt>
                <c:pt idx="49">
                  <c:v>106.92542628528061</c:v>
                </c:pt>
                <c:pt idx="50">
                  <c:v>105.25555032215834</c:v>
                </c:pt>
                <c:pt idx="51">
                  <c:v>102.95632111956505</c:v>
                </c:pt>
                <c:pt idx="52">
                  <c:v>103.06386842225234</c:v>
                </c:pt>
                <c:pt idx="53">
                  <c:v>102.48850650340822</c:v>
                </c:pt>
                <c:pt idx="54">
                  <c:v>101.468280200048</c:v>
                </c:pt>
                <c:pt idx="55">
                  <c:v>100.08582059912143</c:v>
                </c:pt>
                <c:pt idx="56">
                  <c:v>96.083416258932317</c:v>
                </c:pt>
                <c:pt idx="57">
                  <c:v>97.828204165755409</c:v>
                </c:pt>
                <c:pt idx="58">
                  <c:v>100.53495977078769</c:v>
                </c:pt>
                <c:pt idx="59">
                  <c:v>100.3274092577138</c:v>
                </c:pt>
                <c:pt idx="60">
                  <c:v>98.093117815562977</c:v>
                </c:pt>
                <c:pt idx="61">
                  <c:v>104.41559103243715</c:v>
                </c:pt>
                <c:pt idx="62">
                  <c:v>106.55105962768906</c:v>
                </c:pt>
                <c:pt idx="63">
                  <c:v>105.31666376918949</c:v>
                </c:pt>
                <c:pt idx="64">
                  <c:v>104.4957699492374</c:v>
                </c:pt>
                <c:pt idx="65">
                  <c:v>102.86729341359417</c:v>
                </c:pt>
                <c:pt idx="66">
                  <c:v>103.8910041658954</c:v>
                </c:pt>
                <c:pt idx="67">
                  <c:v>99.90209511612359</c:v>
                </c:pt>
                <c:pt idx="68">
                  <c:v>100.53682838775431</c:v>
                </c:pt>
                <c:pt idx="69">
                  <c:v>97.194635991908299</c:v>
                </c:pt>
                <c:pt idx="70">
                  <c:v>97.900894125429033</c:v>
                </c:pt>
                <c:pt idx="71">
                  <c:v>96.141128564804632</c:v>
                </c:pt>
                <c:pt idx="72">
                  <c:v>92.899709308024271</c:v>
                </c:pt>
                <c:pt idx="73">
                  <c:v>93.976947443551751</c:v>
                </c:pt>
                <c:pt idx="74">
                  <c:v>90.140451522157178</c:v>
                </c:pt>
                <c:pt idx="75">
                  <c:v>91.129938049749612</c:v>
                </c:pt>
                <c:pt idx="76">
                  <c:v>93.197848220183275</c:v>
                </c:pt>
                <c:pt idx="77">
                  <c:v>95.395305321353561</c:v>
                </c:pt>
                <c:pt idx="78">
                  <c:v>100.09086767375068</c:v>
                </c:pt>
                <c:pt idx="79">
                  <c:v>100.4539607645002</c:v>
                </c:pt>
                <c:pt idx="80">
                  <c:v>104.81101584969477</c:v>
                </c:pt>
                <c:pt idx="81">
                  <c:v>99.63739244926424</c:v>
                </c:pt>
                <c:pt idx="82">
                  <c:v>94.21074141419102</c:v>
                </c:pt>
                <c:pt idx="83">
                  <c:v>95.124534795081601</c:v>
                </c:pt>
                <c:pt idx="84">
                  <c:v>98.795121571463653</c:v>
                </c:pt>
                <c:pt idx="85">
                  <c:v>103.90109972804976</c:v>
                </c:pt>
                <c:pt idx="86">
                  <c:v>99.14687190084905</c:v>
                </c:pt>
                <c:pt idx="87">
                  <c:v>104.05407887855787</c:v>
                </c:pt>
                <c:pt idx="88">
                  <c:v>99.270740997451597</c:v>
                </c:pt>
                <c:pt idx="89">
                  <c:v>102.44340813279595</c:v>
                </c:pt>
                <c:pt idx="90">
                  <c:v>99.748082108153952</c:v>
                </c:pt>
                <c:pt idx="91">
                  <c:v>101.60459310510225</c:v>
                </c:pt>
                <c:pt idx="92">
                  <c:v>101.67611046436619</c:v>
                </c:pt>
                <c:pt idx="93">
                  <c:v>102.98658876862817</c:v>
                </c:pt>
                <c:pt idx="94">
                  <c:v>103.08159725453358</c:v>
                </c:pt>
                <c:pt idx="95">
                  <c:v>105.39678682459771</c:v>
                </c:pt>
                <c:pt idx="96">
                  <c:v>105.21660191238483</c:v>
                </c:pt>
                <c:pt idx="97">
                  <c:v>103.82799235061952</c:v>
                </c:pt>
                <c:pt idx="98">
                  <c:v>106.27698322904035</c:v>
                </c:pt>
                <c:pt idx="99">
                  <c:v>100.83589779396655</c:v>
                </c:pt>
                <c:pt idx="100">
                  <c:v>102.17215561839325</c:v>
                </c:pt>
                <c:pt idx="101">
                  <c:v>102.37969322456311</c:v>
                </c:pt>
                <c:pt idx="102">
                  <c:v>102.48180814494268</c:v>
                </c:pt>
                <c:pt idx="103">
                  <c:v>106.70050387214211</c:v>
                </c:pt>
                <c:pt idx="104">
                  <c:v>105.43653097685836</c:v>
                </c:pt>
                <c:pt idx="105">
                  <c:v>106.44155059273895</c:v>
                </c:pt>
                <c:pt idx="106">
                  <c:v>105.79095196196755</c:v>
                </c:pt>
                <c:pt idx="107">
                  <c:v>108.65783049687801</c:v>
                </c:pt>
                <c:pt idx="108">
                  <c:v>113.45218709733992</c:v>
                </c:pt>
                <c:pt idx="109">
                  <c:v>110.08295035761536</c:v>
                </c:pt>
                <c:pt idx="110">
                  <c:v>108.31150272791427</c:v>
                </c:pt>
                <c:pt idx="111">
                  <c:v>109.35853847143071</c:v>
                </c:pt>
                <c:pt idx="112">
                  <c:v>111.41998046952112</c:v>
                </c:pt>
                <c:pt idx="113">
                  <c:v>108.31402015511583</c:v>
                </c:pt>
                <c:pt idx="114">
                  <c:v>108.65891464567947</c:v>
                </c:pt>
                <c:pt idx="115">
                  <c:v>106.92856864148303</c:v>
                </c:pt>
                <c:pt idx="116">
                  <c:v>108.91698536356934</c:v>
                </c:pt>
                <c:pt idx="117">
                  <c:v>108.47573782076034</c:v>
                </c:pt>
                <c:pt idx="118">
                  <c:v>107.44335800829673</c:v>
                </c:pt>
                <c:pt idx="119">
                  <c:v>107.550191243697</c:v>
                </c:pt>
                <c:pt idx="120">
                  <c:v>105.39847198162595</c:v>
                </c:pt>
                <c:pt idx="121">
                  <c:v>108.76258233032118</c:v>
                </c:pt>
                <c:pt idx="122">
                  <c:v>107.77112981863193</c:v>
                </c:pt>
                <c:pt idx="123">
                  <c:v>114.42713199637549</c:v>
                </c:pt>
                <c:pt idx="124">
                  <c:v>108.87825380678805</c:v>
                </c:pt>
                <c:pt idx="125">
                  <c:v>112.29243568860265</c:v>
                </c:pt>
                <c:pt idx="126">
                  <c:v>111.86428590830639</c:v>
                </c:pt>
                <c:pt idx="127">
                  <c:v>109.09879721261841</c:v>
                </c:pt>
                <c:pt idx="128">
                  <c:v>105.80620422318711</c:v>
                </c:pt>
                <c:pt idx="129">
                  <c:v>108.81581191157305</c:v>
                </c:pt>
                <c:pt idx="130">
                  <c:v>106.44535800786414</c:v>
                </c:pt>
                <c:pt idx="131">
                  <c:v>104.62118152244997</c:v>
                </c:pt>
                <c:pt idx="132">
                  <c:v>100.94096852559217</c:v>
                </c:pt>
                <c:pt idx="133">
                  <c:v>97.090835099128142</c:v>
                </c:pt>
                <c:pt idx="134">
                  <c:v>98.448854602403884</c:v>
                </c:pt>
                <c:pt idx="135">
                  <c:v>96.217578993733412</c:v>
                </c:pt>
                <c:pt idx="136">
                  <c:v>92.724309380780056</c:v>
                </c:pt>
                <c:pt idx="137">
                  <c:v>85.565891243796386</c:v>
                </c:pt>
                <c:pt idx="138">
                  <c:v>77.481224643148437</c:v>
                </c:pt>
                <c:pt idx="139">
                  <c:v>80.66533190698712</c:v>
                </c:pt>
                <c:pt idx="140">
                  <c:v>83.141744247660981</c:v>
                </c:pt>
                <c:pt idx="141">
                  <c:v>73.080077598412984</c:v>
                </c:pt>
                <c:pt idx="142">
                  <c:v>74.119803427133093</c:v>
                </c:pt>
                <c:pt idx="143">
                  <c:v>77.729871803675024</c:v>
                </c:pt>
                <c:pt idx="144">
                  <c:v>83.613403921993552</c:v>
                </c:pt>
                <c:pt idx="145">
                  <c:v>83.239429648480552</c:v>
                </c:pt>
                <c:pt idx="146">
                  <c:v>82.629134115700623</c:v>
                </c:pt>
                <c:pt idx="147">
                  <c:v>77.556258300979579</c:v>
                </c:pt>
                <c:pt idx="148">
                  <c:v>85.035391287954582</c:v>
                </c:pt>
                <c:pt idx="149">
                  <c:v>86.81518157700954</c:v>
                </c:pt>
                <c:pt idx="150">
                  <c:v>91.92116723622172</c:v>
                </c:pt>
                <c:pt idx="151">
                  <c:v>96.240849870461062</c:v>
                </c:pt>
                <c:pt idx="152">
                  <c:v>98.482374269808119</c:v>
                </c:pt>
                <c:pt idx="153">
                  <c:v>101.8113872279413</c:v>
                </c:pt>
                <c:pt idx="154">
                  <c:v>103.51506600663367</c:v>
                </c:pt>
                <c:pt idx="155">
                  <c:v>101.25239430933441</c:v>
                </c:pt>
                <c:pt idx="156">
                  <c:v>98.925693483679865</c:v>
                </c:pt>
                <c:pt idx="157">
                  <c:v>102.98201287357374</c:v>
                </c:pt>
                <c:pt idx="158">
                  <c:v>103.62588218824547</c:v>
                </c:pt>
                <c:pt idx="159">
                  <c:v>105.57415444514048</c:v>
                </c:pt>
                <c:pt idx="160">
                  <c:v>106.45577194729711</c:v>
                </c:pt>
                <c:pt idx="161">
                  <c:v>108.02872814936521</c:v>
                </c:pt>
                <c:pt idx="162">
                  <c:v>106.6775539368072</c:v>
                </c:pt>
                <c:pt idx="163">
                  <c:v>108.87587833378672</c:v>
                </c:pt>
                <c:pt idx="164">
                  <c:v>113.61678099737846</c:v>
                </c:pt>
                <c:pt idx="165">
                  <c:v>111.01214031272573</c:v>
                </c:pt>
                <c:pt idx="166">
                  <c:v>111.63528888240998</c:v>
                </c:pt>
                <c:pt idx="167">
                  <c:v>111.78297314766249</c:v>
                </c:pt>
                <c:pt idx="168">
                  <c:v>111.30080344790517</c:v>
                </c:pt>
                <c:pt idx="169">
                  <c:v>109.58811514889388</c:v>
                </c:pt>
                <c:pt idx="170">
                  <c:v>105.2206353157104</c:v>
                </c:pt>
                <c:pt idx="171">
                  <c:v>104.10343454234797</c:v>
                </c:pt>
                <c:pt idx="172">
                  <c:v>103.65737410241411</c:v>
                </c:pt>
                <c:pt idx="173">
                  <c:v>104.53459428608058</c:v>
                </c:pt>
                <c:pt idx="174">
                  <c:v>100.61996547460063</c:v>
                </c:pt>
                <c:pt idx="175">
                  <c:v>94.341269256554909</c:v>
                </c:pt>
                <c:pt idx="176">
                  <c:v>89.4026370346254</c:v>
                </c:pt>
                <c:pt idx="177">
                  <c:v>90.45598068510283</c:v>
                </c:pt>
                <c:pt idx="178">
                  <c:v>91.901604437835431</c:v>
                </c:pt>
                <c:pt idx="179">
                  <c:v>93.227930050507979</c:v>
                </c:pt>
                <c:pt idx="180">
                  <c:v>94.799331129513931</c:v>
                </c:pt>
                <c:pt idx="181">
                  <c:v>94.49031922389544</c:v>
                </c:pt>
                <c:pt idx="182">
                  <c:v>96.925268512620264</c:v>
                </c:pt>
                <c:pt idx="183">
                  <c:v>98.518732117927598</c:v>
                </c:pt>
                <c:pt idx="184">
                  <c:v>98.131491587675583</c:v>
                </c:pt>
                <c:pt idx="185">
                  <c:v>98.613037084650003</c:v>
                </c:pt>
                <c:pt idx="186">
                  <c:v>98.795575647438213</c:v>
                </c:pt>
                <c:pt idx="187">
                  <c:v>99.685941526157336</c:v>
                </c:pt>
                <c:pt idx="188">
                  <c:v>97.598717649102184</c:v>
                </c:pt>
                <c:pt idx="189">
                  <c:v>97.239565442068269</c:v>
                </c:pt>
                <c:pt idx="190">
                  <c:v>94.36913368992073</c:v>
                </c:pt>
                <c:pt idx="191">
                  <c:v>90.410901517664655</c:v>
                </c:pt>
                <c:pt idx="192">
                  <c:v>96.647652695630569</c:v>
                </c:pt>
                <c:pt idx="193">
                  <c:v>97.638071776084317</c:v>
                </c:pt>
                <c:pt idx="194">
                  <c:v>98.60697158403741</c:v>
                </c:pt>
                <c:pt idx="195">
                  <c:v>98.696381552208834</c:v>
                </c:pt>
                <c:pt idx="196">
                  <c:v>97.42895516561822</c:v>
                </c:pt>
                <c:pt idx="197">
                  <c:v>97.741828638552207</c:v>
                </c:pt>
                <c:pt idx="198">
                  <c:v>101.44428598906774</c:v>
                </c:pt>
                <c:pt idx="199">
                  <c:v>100.86671499310046</c:v>
                </c:pt>
                <c:pt idx="200">
                  <c:v>98.548928679434667</c:v>
                </c:pt>
                <c:pt idx="201">
                  <c:v>102.17742233104076</c:v>
                </c:pt>
                <c:pt idx="202">
                  <c:v>105.52465781013393</c:v>
                </c:pt>
                <c:pt idx="203">
                  <c:v>104.94842859548058</c:v>
                </c:pt>
                <c:pt idx="204">
                  <c:v>103.53653889002202</c:v>
                </c:pt>
                <c:pt idx="205">
                  <c:v>102.04541923877257</c:v>
                </c:pt>
                <c:pt idx="206">
                  <c:v>101.29808807858132</c:v>
                </c:pt>
                <c:pt idx="207">
                  <c:v>102.22985338477946</c:v>
                </c:pt>
                <c:pt idx="208">
                  <c:v>103.7653667350142</c:v>
                </c:pt>
                <c:pt idx="209">
                  <c:v>104.02455255933967</c:v>
                </c:pt>
                <c:pt idx="210">
                  <c:v>104.16362834342186</c:v>
                </c:pt>
                <c:pt idx="211">
                  <c:v>100.18203435227241</c:v>
                </c:pt>
                <c:pt idx="212">
                  <c:v>104.83502982060686</c:v>
                </c:pt>
                <c:pt idx="213">
                  <c:v>100.15159778275699</c:v>
                </c:pt>
                <c:pt idx="214">
                  <c:v>99.107400723424576</c:v>
                </c:pt>
                <c:pt idx="215">
                  <c:v>100.57637853197255</c:v>
                </c:pt>
                <c:pt idx="216">
                  <c:v>100.43618249762871</c:v>
                </c:pt>
                <c:pt idx="217">
                  <c:v>99.892200975483306</c:v>
                </c:pt>
                <c:pt idx="218">
                  <c:v>101.37821464523354</c:v>
                </c:pt>
                <c:pt idx="219">
                  <c:v>99.836559523464061</c:v>
                </c:pt>
                <c:pt idx="220">
                  <c:v>101.00108301026596</c:v>
                </c:pt>
                <c:pt idx="221">
                  <c:v>100.48406651559901</c:v>
                </c:pt>
                <c:pt idx="222">
                  <c:v>100.276380824733</c:v>
                </c:pt>
                <c:pt idx="223">
                  <c:v>102.94993462242192</c:v>
                </c:pt>
                <c:pt idx="224">
                  <c:v>99.612078279396073</c:v>
                </c:pt>
                <c:pt idx="225">
                  <c:v>98.747019794137017</c:v>
                </c:pt>
                <c:pt idx="226">
                  <c:v>95.805391939708002</c:v>
                </c:pt>
                <c:pt idx="227">
                  <c:v>99.32151205837188</c:v>
                </c:pt>
                <c:pt idx="228">
                  <c:v>98.126934264255098</c:v>
                </c:pt>
                <c:pt idx="229">
                  <c:v>98.879566140205952</c:v>
                </c:pt>
                <c:pt idx="230">
                  <c:v>100.92262535195412</c:v>
                </c:pt>
                <c:pt idx="231">
                  <c:v>98.993255214427975</c:v>
                </c:pt>
                <c:pt idx="232">
                  <c:v>99.042852262042672</c:v>
                </c:pt>
                <c:pt idx="233">
                  <c:v>101.65970021884272</c:v>
                </c:pt>
                <c:pt idx="234">
                  <c:v>98.927020520193551</c:v>
                </c:pt>
                <c:pt idx="235">
                  <c:v>97.847879298821312</c:v>
                </c:pt>
                <c:pt idx="236">
                  <c:v>102.69909964675433</c:v>
                </c:pt>
                <c:pt idx="237">
                  <c:v>104.29020960148635</c:v>
                </c:pt>
                <c:pt idx="238">
                  <c:v>103.88294434280378</c:v>
                </c:pt>
                <c:pt idx="239">
                  <c:v>102.56749172359072</c:v>
                </c:pt>
                <c:pt idx="240">
                  <c:v>103.38271825751275</c:v>
                </c:pt>
                <c:pt idx="241">
                  <c:v>103.77640890937791</c:v>
                </c:pt>
                <c:pt idx="242">
                  <c:v>103.82032812285851</c:v>
                </c:pt>
                <c:pt idx="243">
                  <c:v>104.46301943284257</c:v>
                </c:pt>
                <c:pt idx="244">
                  <c:v>108.70835142791192</c:v>
                </c:pt>
                <c:pt idx="245">
                  <c:v>105.16099312720146</c:v>
                </c:pt>
                <c:pt idx="246">
                  <c:v>104.08019941563688</c:v>
                </c:pt>
                <c:pt idx="247">
                  <c:v>103.52171472519484</c:v>
                </c:pt>
                <c:pt idx="248">
                  <c:v>103.05641989503958</c:v>
                </c:pt>
                <c:pt idx="249">
                  <c:v>105.69929681521279</c:v>
                </c:pt>
                <c:pt idx="250">
                  <c:v>106.88400880707148</c:v>
                </c:pt>
                <c:pt idx="251">
                  <c:v>106.64257337700134</c:v>
                </c:pt>
                <c:pt idx="252">
                  <c:v>106.35871842134672</c:v>
                </c:pt>
                <c:pt idx="253">
                  <c:v>104.95575141718093</c:v>
                </c:pt>
                <c:pt idx="254">
                  <c:v>102.96708924326826</c:v>
                </c:pt>
                <c:pt idx="255">
                  <c:v>102.82973235887448</c:v>
                </c:pt>
                <c:pt idx="256">
                  <c:v>103.48339167064819</c:v>
                </c:pt>
                <c:pt idx="257">
                  <c:v>100.85856762476473</c:v>
                </c:pt>
                <c:pt idx="258">
                  <c:v>101.43362119353044</c:v>
                </c:pt>
                <c:pt idx="259">
                  <c:v>104.15969050518422</c:v>
                </c:pt>
                <c:pt idx="260">
                  <c:v>105.02466967404318</c:v>
                </c:pt>
                <c:pt idx="261">
                  <c:v>100.43405037810562</c:v>
                </c:pt>
                <c:pt idx="262">
                  <c:v>99.537611496147846</c:v>
                </c:pt>
                <c:pt idx="263">
                  <c:v>96.857995243324268</c:v>
                </c:pt>
                <c:pt idx="264">
                  <c:v>95.279904460922836</c:v>
                </c:pt>
                <c:pt idx="265">
                  <c:v>95.280133494601159</c:v>
                </c:pt>
                <c:pt idx="266">
                  <c:v>98.083782620653508</c:v>
                </c:pt>
                <c:pt idx="267">
                  <c:v>100.00298328390316</c:v>
                </c:pt>
                <c:pt idx="268">
                  <c:v>97.104001629936917</c:v>
                </c:pt>
                <c:pt idx="269">
                  <c:v>97.245779027377026</c:v>
                </c:pt>
                <c:pt idx="270">
                  <c:v>100.40314210811155</c:v>
                </c:pt>
                <c:pt idx="271">
                  <c:v>96.37512202438397</c:v>
                </c:pt>
                <c:pt idx="272">
                  <c:v>92.966074722902704</c:v>
                </c:pt>
                <c:pt idx="273">
                  <c:v>95.334396507088528</c:v>
                </c:pt>
                <c:pt idx="274">
                  <c:v>95.309089113628474</c:v>
                </c:pt>
                <c:pt idx="275">
                  <c:v>95.472541370891449</c:v>
                </c:pt>
                <c:pt idx="276">
                  <c:v>95.023489018251354</c:v>
                </c:pt>
                <c:pt idx="277">
                  <c:v>99.34553936241403</c:v>
                </c:pt>
                <c:pt idx="278">
                  <c:v>92.317685169254446</c:v>
                </c:pt>
                <c:pt idx="279">
                  <c:v>78.03878470958125</c:v>
                </c:pt>
                <c:pt idx="280">
                  <c:v>81.325723319886549</c:v>
                </c:pt>
                <c:pt idx="281">
                  <c:v>86.841088306574264</c:v>
                </c:pt>
                <c:pt idx="282">
                  <c:v>88.341359692794782</c:v>
                </c:pt>
                <c:pt idx="283">
                  <c:v>87.708671721660949</c:v>
                </c:pt>
                <c:pt idx="284">
                  <c:v>90.258425191043415</c:v>
                </c:pt>
                <c:pt idx="285">
                  <c:v>91.74772857547427</c:v>
                </c:pt>
                <c:pt idx="286">
                  <c:v>91.179388630878165</c:v>
                </c:pt>
                <c:pt idx="287">
                  <c:v>93.707783093142226</c:v>
                </c:pt>
                <c:pt idx="288">
                  <c:v>96.113478960865336</c:v>
                </c:pt>
                <c:pt idx="289">
                  <c:v>98.41958556425449</c:v>
                </c:pt>
                <c:pt idx="290">
                  <c:v>99.077335477022004</c:v>
                </c:pt>
                <c:pt idx="291">
                  <c:v>104.36766027391091</c:v>
                </c:pt>
                <c:pt idx="292">
                  <c:v>111.37122481291586</c:v>
                </c:pt>
                <c:pt idx="293">
                  <c:v>107.93249445245017</c:v>
                </c:pt>
                <c:pt idx="294">
                  <c:v>107.45214101951144</c:v>
                </c:pt>
                <c:pt idx="295">
                  <c:v>107.97742390261013</c:v>
                </c:pt>
                <c:pt idx="296">
                  <c:v>107.20572377186414</c:v>
                </c:pt>
                <c:pt idx="297">
                  <c:v>103.36937593516573</c:v>
                </c:pt>
                <c:pt idx="298">
                  <c:v>100.44855328595035</c:v>
                </c:pt>
                <c:pt idx="299">
                  <c:v>99.412707075275819</c:v>
                </c:pt>
                <c:pt idx="300">
                  <c:v>91.796717242767897</c:v>
                </c:pt>
                <c:pt idx="301">
                  <c:v>90.719410338944343</c:v>
                </c:pt>
                <c:pt idx="302">
                  <c:v>78.036457429571783</c:v>
                </c:pt>
                <c:pt idx="303">
                  <c:v>78.464625260598154</c:v>
                </c:pt>
                <c:pt idx="304">
                  <c:v>73.606314170121053</c:v>
                </c:pt>
                <c:pt idx="305">
                  <c:v>68.885513192559941</c:v>
                </c:pt>
                <c:pt idx="306">
                  <c:v>58.219222548396083</c:v>
                </c:pt>
                <c:pt idx="307">
                  <c:v>57.752672755953078</c:v>
                </c:pt>
                <c:pt idx="308">
                  <c:v>49.68391708818573</c:v>
                </c:pt>
              </c:numCache>
            </c:numRef>
          </c:val>
          <c:smooth val="0"/>
          <c:extLst>
            <c:ext xmlns:c16="http://schemas.microsoft.com/office/drawing/2014/chart" uri="{C3380CC4-5D6E-409C-BE32-E72D297353CC}">
              <c16:uniqueId val="{00000001-FEE4-46AC-A8EE-9535FF69BE71}"/>
            </c:ext>
          </c:extLst>
        </c:ser>
        <c:dLbls>
          <c:showLegendKey val="0"/>
          <c:showVal val="0"/>
          <c:showCatName val="0"/>
          <c:showSerName val="0"/>
          <c:showPercent val="0"/>
          <c:showBubbleSize val="0"/>
        </c:dLbls>
        <c:smooth val="0"/>
        <c:axId val="350581648"/>
        <c:axId val="350584600"/>
      </c:lineChart>
      <c:dateAx>
        <c:axId val="350581648"/>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50584600"/>
        <c:crosses val="autoZero"/>
        <c:auto val="1"/>
        <c:lblOffset val="100"/>
        <c:baseTimeUnit val="months"/>
        <c:majorUnit val="2"/>
        <c:majorTimeUnit val="years"/>
      </c:dateAx>
      <c:valAx>
        <c:axId val="350584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5058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'Tab19'!$AA$12</c:f>
              <c:strCache>
                <c:ptCount val="1"/>
                <c:pt idx="0">
                  <c:v>Syss % av bef</c:v>
                </c:pt>
              </c:strCache>
            </c:strRef>
          </c:tx>
          <c:spPr>
            <a:solidFill>
              <a:schemeClr val="accent1"/>
            </a:solidFill>
            <a:ln>
              <a:noFill/>
            </a:ln>
            <a:effectLst/>
          </c:spPr>
          <c:invertIfNegative val="0"/>
          <c:dPt>
            <c:idx val="6"/>
            <c:invertIfNegative val="0"/>
            <c:bubble3D val="0"/>
            <c:spPr>
              <a:solidFill>
                <a:srgbClr val="C00000"/>
              </a:solidFill>
              <a:ln>
                <a:noFill/>
              </a:ln>
              <a:effectLst/>
            </c:spPr>
            <c:extLst>
              <c:ext xmlns:c16="http://schemas.microsoft.com/office/drawing/2014/chart" uri="{C3380CC4-5D6E-409C-BE32-E72D297353CC}">
                <c16:uniqueId val="{00000001-FBB8-4087-B343-A82D596A3046}"/>
              </c:ext>
            </c:extLst>
          </c:dPt>
          <c:cat>
            <c:strRef>
              <c:f>'Tab19'!$Z$13:$Z$34</c:f>
              <c:strCache>
                <c:ptCount val="22"/>
                <c:pt idx="0">
                  <c:v>Stockholms</c:v>
                </c:pt>
                <c:pt idx="1">
                  <c:v>Hallands</c:v>
                </c:pt>
                <c:pt idx="2">
                  <c:v>Kronobergs</c:v>
                </c:pt>
                <c:pt idx="3">
                  <c:v>Jönköpings</c:v>
                </c:pt>
                <c:pt idx="4">
                  <c:v>Jämtlands</c:v>
                </c:pt>
                <c:pt idx="5">
                  <c:v>Västra Götalands</c:v>
                </c:pt>
                <c:pt idx="6">
                  <c:v>Hela riket</c:v>
                </c:pt>
                <c:pt idx="7">
                  <c:v>Västernorrlands</c:v>
                </c:pt>
                <c:pt idx="8">
                  <c:v>Östergötlands</c:v>
                </c:pt>
                <c:pt idx="9">
                  <c:v>Örebro</c:v>
                </c:pt>
                <c:pt idx="10">
                  <c:v>Västerbottens</c:v>
                </c:pt>
                <c:pt idx="11">
                  <c:v>Uppsala</c:v>
                </c:pt>
                <c:pt idx="12">
                  <c:v>Skåne</c:v>
                </c:pt>
                <c:pt idx="13">
                  <c:v>Norrbottens</c:v>
                </c:pt>
                <c:pt idx="14">
                  <c:v>Gotlands</c:v>
                </c:pt>
                <c:pt idx="15">
                  <c:v>Dalarnas</c:v>
                </c:pt>
                <c:pt idx="16">
                  <c:v>Värmlands</c:v>
                </c:pt>
                <c:pt idx="17">
                  <c:v>Södermanlands</c:v>
                </c:pt>
                <c:pt idx="18">
                  <c:v>Västmanlands</c:v>
                </c:pt>
                <c:pt idx="19">
                  <c:v>Kalmar</c:v>
                </c:pt>
                <c:pt idx="20">
                  <c:v>Gävleborgs</c:v>
                </c:pt>
                <c:pt idx="21">
                  <c:v>Blekinge</c:v>
                </c:pt>
              </c:strCache>
            </c:strRef>
          </c:cat>
          <c:val>
            <c:numRef>
              <c:f>'Tab19'!$AA$13:$AA$34</c:f>
              <c:numCache>
                <c:formatCode>#\ ##0.0</c:formatCode>
                <c:ptCount val="22"/>
                <c:pt idx="0">
                  <c:v>72.400000000000006</c:v>
                </c:pt>
                <c:pt idx="1">
                  <c:v>70.7</c:v>
                </c:pt>
                <c:pt idx="2">
                  <c:v>69.099999999999994</c:v>
                </c:pt>
                <c:pt idx="3">
                  <c:v>68.900000000000006</c:v>
                </c:pt>
                <c:pt idx="4">
                  <c:v>67.900000000000006</c:v>
                </c:pt>
                <c:pt idx="5">
                  <c:v>67.7</c:v>
                </c:pt>
                <c:pt idx="6">
                  <c:v>67.3</c:v>
                </c:pt>
                <c:pt idx="7">
                  <c:v>66.599999999999994</c:v>
                </c:pt>
                <c:pt idx="8">
                  <c:v>66.5</c:v>
                </c:pt>
                <c:pt idx="9">
                  <c:v>65.900000000000006</c:v>
                </c:pt>
                <c:pt idx="10">
                  <c:v>65.900000000000006</c:v>
                </c:pt>
                <c:pt idx="11">
                  <c:v>65.099999999999994</c:v>
                </c:pt>
                <c:pt idx="12">
                  <c:v>65.099999999999994</c:v>
                </c:pt>
                <c:pt idx="13">
                  <c:v>65</c:v>
                </c:pt>
                <c:pt idx="14">
                  <c:v>64.8</c:v>
                </c:pt>
                <c:pt idx="15">
                  <c:v>64.8</c:v>
                </c:pt>
                <c:pt idx="16">
                  <c:v>63.3</c:v>
                </c:pt>
                <c:pt idx="17">
                  <c:v>63.1</c:v>
                </c:pt>
                <c:pt idx="18">
                  <c:v>62.5</c:v>
                </c:pt>
                <c:pt idx="19">
                  <c:v>61.8</c:v>
                </c:pt>
                <c:pt idx="20">
                  <c:v>59.8</c:v>
                </c:pt>
                <c:pt idx="21">
                  <c:v>59.6</c:v>
                </c:pt>
              </c:numCache>
            </c:numRef>
          </c:val>
          <c:extLst>
            <c:ext xmlns:c16="http://schemas.microsoft.com/office/drawing/2014/chart" uri="{C3380CC4-5D6E-409C-BE32-E72D297353CC}">
              <c16:uniqueId val="{00000002-FBB8-4087-B343-A82D596A3046}"/>
            </c:ext>
          </c:extLst>
        </c:ser>
        <c:dLbls>
          <c:showLegendKey val="0"/>
          <c:showVal val="0"/>
          <c:showCatName val="0"/>
          <c:showSerName val="0"/>
          <c:showPercent val="0"/>
          <c:showBubbleSize val="0"/>
        </c:dLbls>
        <c:gapWidth val="219"/>
        <c:overlap val="-27"/>
        <c:axId val="550618480"/>
        <c:axId val="550612248"/>
      </c:barChart>
      <c:catAx>
        <c:axId val="55061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0612248"/>
        <c:crosses val="autoZero"/>
        <c:auto val="1"/>
        <c:lblAlgn val="ctr"/>
        <c:lblOffset val="100"/>
        <c:noMultiLvlLbl val="0"/>
      </c:catAx>
      <c:valAx>
        <c:axId val="550612248"/>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0618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456036745406818E-2"/>
          <c:y val="0.16287037037037036"/>
          <c:w val="0.88498840769903764"/>
          <c:h val="0.64697506561679785"/>
        </c:manualLayout>
      </c:layout>
      <c:barChart>
        <c:barDir val="col"/>
        <c:grouping val="clustered"/>
        <c:varyColors val="0"/>
        <c:ser>
          <c:idx val="1"/>
          <c:order val="0"/>
          <c:tx>
            <c:v>JSA</c:v>
          </c:tx>
          <c:spPr>
            <a:solidFill>
              <a:schemeClr val="accent2"/>
            </a:solidFill>
            <a:ln>
              <a:noFill/>
            </a:ln>
            <a:effectLst/>
          </c:spPr>
          <c:invertIfNegative val="0"/>
          <c:cat>
            <c:numRef>
              <c:f>'Tabell 5'!$B$5:$B$14</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'Tabell 5'!$F$5:$F$14</c:f>
              <c:numCache>
                <c:formatCode>0%</c:formatCode>
                <c:ptCount val="10"/>
                <c:pt idx="0">
                  <c:v>2.1999999999999999E-2</c:v>
                </c:pt>
                <c:pt idx="1">
                  <c:v>6.2E-2</c:v>
                </c:pt>
                <c:pt idx="2">
                  <c:v>4.7E-2</c:v>
                </c:pt>
                <c:pt idx="3">
                  <c:v>0.06</c:v>
                </c:pt>
                <c:pt idx="4">
                  <c:v>6.7000000000000004E-2</c:v>
                </c:pt>
                <c:pt idx="5">
                  <c:v>8.4000000000000005E-2</c:v>
                </c:pt>
                <c:pt idx="6">
                  <c:v>0.115</c:v>
                </c:pt>
                <c:pt idx="7">
                  <c:v>0.15</c:v>
                </c:pt>
                <c:pt idx="8">
                  <c:v>0.17899999999999999</c:v>
                </c:pt>
                <c:pt idx="9">
                  <c:v>0.215</c:v>
                </c:pt>
              </c:numCache>
            </c:numRef>
          </c:val>
          <c:extLst>
            <c:ext xmlns:c16="http://schemas.microsoft.com/office/drawing/2014/chart" uri="{C3380CC4-5D6E-409C-BE32-E72D297353CC}">
              <c16:uniqueId val="{00000000-9561-45B0-B506-4B31FD60C9C1}"/>
            </c:ext>
          </c:extLst>
        </c:ser>
        <c:ser>
          <c:idx val="2"/>
          <c:order val="1"/>
          <c:tx>
            <c:v>ROT</c:v>
          </c:tx>
          <c:spPr>
            <a:solidFill>
              <a:schemeClr val="accent3"/>
            </a:solidFill>
            <a:ln>
              <a:noFill/>
            </a:ln>
            <a:effectLst/>
          </c:spPr>
          <c:invertIfNegative val="0"/>
          <c:cat>
            <c:numRef>
              <c:f>'Tabell 5'!$B$5:$B$14</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'Tabell 5'!$J$5:$J$14</c:f>
              <c:numCache>
                <c:formatCode>0%</c:formatCode>
                <c:ptCount val="10"/>
                <c:pt idx="0">
                  <c:v>0.02</c:v>
                </c:pt>
                <c:pt idx="1">
                  <c:v>5.0999999999999997E-2</c:v>
                </c:pt>
                <c:pt idx="2">
                  <c:v>4.4999999999999998E-2</c:v>
                </c:pt>
                <c:pt idx="3">
                  <c:v>5.1999999999999998E-2</c:v>
                </c:pt>
                <c:pt idx="4">
                  <c:v>6.2E-2</c:v>
                </c:pt>
                <c:pt idx="5">
                  <c:v>7.9000000000000001E-2</c:v>
                </c:pt>
                <c:pt idx="6">
                  <c:v>0.111</c:v>
                </c:pt>
                <c:pt idx="7">
                  <c:v>0.14399999999999999</c:v>
                </c:pt>
                <c:pt idx="8">
                  <c:v>0.16700000000000001</c:v>
                </c:pt>
                <c:pt idx="9">
                  <c:v>0.26900000000000002</c:v>
                </c:pt>
              </c:numCache>
            </c:numRef>
          </c:val>
          <c:extLst>
            <c:ext xmlns:c16="http://schemas.microsoft.com/office/drawing/2014/chart" uri="{C3380CC4-5D6E-409C-BE32-E72D297353CC}">
              <c16:uniqueId val="{00000001-9561-45B0-B506-4B31FD60C9C1}"/>
            </c:ext>
          </c:extLst>
        </c:ser>
        <c:ser>
          <c:idx val="3"/>
          <c:order val="2"/>
          <c:tx>
            <c:v>RUT</c:v>
          </c:tx>
          <c:spPr>
            <a:solidFill>
              <a:schemeClr val="accent4"/>
            </a:solidFill>
            <a:ln>
              <a:noFill/>
            </a:ln>
            <a:effectLst/>
          </c:spPr>
          <c:invertIfNegative val="0"/>
          <c:cat>
            <c:numRef>
              <c:f>'Tabell 5'!$B$5:$B$14</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'Tabell 5'!$N$5:$N$14</c:f>
              <c:numCache>
                <c:formatCode>0%</c:formatCode>
                <c:ptCount val="10"/>
                <c:pt idx="0">
                  <c:v>0.01</c:v>
                </c:pt>
                <c:pt idx="1">
                  <c:v>0.05</c:v>
                </c:pt>
                <c:pt idx="2">
                  <c:v>2.5999999999999999E-2</c:v>
                </c:pt>
                <c:pt idx="3">
                  <c:v>3.5000000000000003E-2</c:v>
                </c:pt>
                <c:pt idx="4">
                  <c:v>5.1999999999999998E-2</c:v>
                </c:pt>
                <c:pt idx="5">
                  <c:v>6.5000000000000002E-2</c:v>
                </c:pt>
                <c:pt idx="6">
                  <c:v>8.5999999999999993E-2</c:v>
                </c:pt>
                <c:pt idx="7">
                  <c:v>0.122</c:v>
                </c:pt>
                <c:pt idx="8">
                  <c:v>0.157</c:v>
                </c:pt>
                <c:pt idx="9">
                  <c:v>0.39600000000000002</c:v>
                </c:pt>
              </c:numCache>
            </c:numRef>
          </c:val>
          <c:extLst>
            <c:ext xmlns:c16="http://schemas.microsoft.com/office/drawing/2014/chart" uri="{C3380CC4-5D6E-409C-BE32-E72D297353CC}">
              <c16:uniqueId val="{00000002-9561-45B0-B506-4B31FD60C9C1}"/>
            </c:ext>
          </c:extLst>
        </c:ser>
        <c:dLbls>
          <c:showLegendKey val="0"/>
          <c:showVal val="0"/>
          <c:showCatName val="0"/>
          <c:showSerName val="0"/>
          <c:showPercent val="0"/>
          <c:showBubbleSize val="0"/>
        </c:dLbls>
        <c:gapWidth val="219"/>
        <c:overlap val="-27"/>
        <c:axId val="308126816"/>
        <c:axId val="308127472"/>
      </c:barChart>
      <c:catAx>
        <c:axId val="30812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08127472"/>
        <c:crosses val="autoZero"/>
        <c:auto val="1"/>
        <c:lblAlgn val="ctr"/>
        <c:lblOffset val="100"/>
        <c:noMultiLvlLbl val="0"/>
      </c:catAx>
      <c:valAx>
        <c:axId val="308127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0812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Blad1!$B$299</c:f>
              <c:strCache>
                <c:ptCount val="1"/>
                <c:pt idx="0">
                  <c:v>Bistånd vs arbetslöshet</c:v>
                </c:pt>
              </c:strCache>
            </c:strRef>
          </c:tx>
          <c:spPr>
            <a:ln w="28575" cap="rnd">
              <a:solidFill>
                <a:schemeClr val="accent2"/>
              </a:solidFill>
              <a:round/>
            </a:ln>
            <a:effectLst/>
          </c:spPr>
          <c:marker>
            <c:symbol val="none"/>
          </c:marker>
          <c:cat>
            <c:strRef>
              <c:f>Blad1!$C$297:$V$297</c:f>
              <c:strCach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strCache>
            </c:strRef>
          </c:cat>
          <c:val>
            <c:numRef>
              <c:f>Blad1!$C$299:$V$299</c:f>
              <c:numCache>
                <c:formatCode>General</c:formatCode>
                <c:ptCount val="20"/>
                <c:pt idx="8" formatCode="0%">
                  <c:v>0.38609967914135301</c:v>
                </c:pt>
                <c:pt idx="9" formatCode="0%">
                  <c:v>0.41601649749106484</c:v>
                </c:pt>
                <c:pt idx="10" formatCode="0%">
                  <c:v>0.47168649710299454</c:v>
                </c:pt>
                <c:pt idx="11" formatCode="0%">
                  <c:v>0.48834679670280751</c:v>
                </c:pt>
                <c:pt idx="12" formatCode="0%">
                  <c:v>0.5223725718619151</c:v>
                </c:pt>
                <c:pt idx="13" formatCode="0%">
                  <c:v>0.54563634174869091</c:v>
                </c:pt>
                <c:pt idx="14" formatCode="0%">
                  <c:v>0.52300457821363477</c:v>
                </c:pt>
                <c:pt idx="15" formatCode="0%">
                  <c:v>0.54262146953696933</c:v>
                </c:pt>
                <c:pt idx="16" formatCode="0%">
                  <c:v>0.54984835911437513</c:v>
                </c:pt>
                <c:pt idx="17" formatCode="0%">
                  <c:v>0.51330224016559489</c:v>
                </c:pt>
                <c:pt idx="18" formatCode="0%">
                  <c:v>0.50423400610194202</c:v>
                </c:pt>
                <c:pt idx="19" formatCode="0%">
                  <c:v>0.54175793318847354</c:v>
                </c:pt>
              </c:numCache>
            </c:numRef>
          </c:val>
          <c:smooth val="0"/>
          <c:extLst>
            <c:ext xmlns:c16="http://schemas.microsoft.com/office/drawing/2014/chart" uri="{C3380CC4-5D6E-409C-BE32-E72D297353CC}">
              <c16:uniqueId val="{00000000-F89B-4BBB-B9E3-5B2E917B4A1B}"/>
            </c:ext>
          </c:extLst>
        </c:ser>
        <c:ser>
          <c:idx val="2"/>
          <c:order val="1"/>
          <c:tx>
            <c:strRef>
              <c:f>Blad1!$B$300</c:f>
              <c:strCache>
                <c:ptCount val="1"/>
                <c:pt idx="0">
                  <c:v>Bistånd vs utlandsfödda</c:v>
                </c:pt>
              </c:strCache>
            </c:strRef>
          </c:tx>
          <c:spPr>
            <a:ln w="28575" cap="rnd">
              <a:solidFill>
                <a:schemeClr val="accent3"/>
              </a:solidFill>
              <a:round/>
            </a:ln>
            <a:effectLst/>
          </c:spPr>
          <c:marker>
            <c:symbol val="none"/>
          </c:marker>
          <c:cat>
            <c:strRef>
              <c:f>Blad1!$C$297:$V$297</c:f>
              <c:strCach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strCache>
            </c:strRef>
          </c:cat>
          <c:val>
            <c:numRef>
              <c:f>Blad1!$C$300:$V$300</c:f>
              <c:numCache>
                <c:formatCode>0%</c:formatCode>
                <c:ptCount val="20"/>
                <c:pt idx="0">
                  <c:v>0.47616369285327925</c:v>
                </c:pt>
                <c:pt idx="1">
                  <c:v>0.43939424003014299</c:v>
                </c:pt>
                <c:pt idx="2">
                  <c:v>0.44082303770672976</c:v>
                </c:pt>
                <c:pt idx="3">
                  <c:v>0.41533672890690215</c:v>
                </c:pt>
                <c:pt idx="4">
                  <c:v>0.41023795450345818</c:v>
                </c:pt>
                <c:pt idx="5">
                  <c:v>0.39782754596999931</c:v>
                </c:pt>
                <c:pt idx="6">
                  <c:v>0.41355712435715519</c:v>
                </c:pt>
                <c:pt idx="7">
                  <c:v>0.38937883727301748</c:v>
                </c:pt>
                <c:pt idx="8">
                  <c:v>0.38796109094254611</c:v>
                </c:pt>
                <c:pt idx="9">
                  <c:v>0.3904454054036266</c:v>
                </c:pt>
                <c:pt idx="10">
                  <c:v>0.38795495945317282</c:v>
                </c:pt>
                <c:pt idx="11">
                  <c:v>0.41996877893540907</c:v>
                </c:pt>
                <c:pt idx="12">
                  <c:v>0.41164312297449362</c:v>
                </c:pt>
                <c:pt idx="13">
                  <c:v>0.41722011064814146</c:v>
                </c:pt>
                <c:pt idx="14">
                  <c:v>0.42532931525056433</c:v>
                </c:pt>
                <c:pt idx="15">
                  <c:v>0.39468808919222703</c:v>
                </c:pt>
                <c:pt idx="16">
                  <c:v>0.38982936396300549</c:v>
                </c:pt>
                <c:pt idx="17">
                  <c:v>0.34061007540096377</c:v>
                </c:pt>
                <c:pt idx="18">
                  <c:v>0.30076290250938253</c:v>
                </c:pt>
                <c:pt idx="19">
                  <c:v>0.27863733576953209</c:v>
                </c:pt>
              </c:numCache>
            </c:numRef>
          </c:val>
          <c:smooth val="0"/>
          <c:extLst>
            <c:ext xmlns:c16="http://schemas.microsoft.com/office/drawing/2014/chart" uri="{C3380CC4-5D6E-409C-BE32-E72D297353CC}">
              <c16:uniqueId val="{00000001-F89B-4BBB-B9E3-5B2E917B4A1B}"/>
            </c:ext>
          </c:extLst>
        </c:ser>
        <c:dLbls>
          <c:showLegendKey val="0"/>
          <c:showVal val="0"/>
          <c:showCatName val="0"/>
          <c:showSerName val="0"/>
          <c:showPercent val="0"/>
          <c:showBubbleSize val="0"/>
        </c:dLbls>
        <c:smooth val="0"/>
        <c:axId val="1301828976"/>
        <c:axId val="1302324096"/>
      </c:lineChart>
      <c:catAx>
        <c:axId val="130182897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02324096"/>
        <c:crosses val="autoZero"/>
        <c:auto val="1"/>
        <c:lblAlgn val="ctr"/>
        <c:lblOffset val="100"/>
        <c:noMultiLvlLbl val="0"/>
      </c:catAx>
      <c:valAx>
        <c:axId val="130232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0182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Blad1!$B$298</c:f>
              <c:strCache>
                <c:ptCount val="1"/>
                <c:pt idx="0">
                  <c:v>Bistånd vs skatt</c:v>
                </c:pt>
              </c:strCache>
            </c:strRef>
          </c:tx>
          <c:spPr>
            <a:ln w="28575" cap="rnd">
              <a:solidFill>
                <a:schemeClr val="accent1"/>
              </a:solidFill>
              <a:round/>
            </a:ln>
            <a:effectLst/>
          </c:spPr>
          <c:marker>
            <c:symbol val="none"/>
          </c:marker>
          <c:cat>
            <c:strRef>
              <c:f>Blad1!$C$297:$V$297</c:f>
              <c:strCach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strCache>
            </c:strRef>
          </c:cat>
          <c:val>
            <c:numRef>
              <c:f>Blad1!$C$298:$V$298</c:f>
              <c:numCache>
                <c:formatCode>0%</c:formatCode>
                <c:ptCount val="20"/>
                <c:pt idx="0">
                  <c:v>-8.7399588815339393E-2</c:v>
                </c:pt>
                <c:pt idx="1">
                  <c:v>-5.9366576394184412E-2</c:v>
                </c:pt>
                <c:pt idx="2">
                  <c:v>-5.2732149756248854E-2</c:v>
                </c:pt>
                <c:pt idx="3">
                  <c:v>-2.9616230704555185E-2</c:v>
                </c:pt>
                <c:pt idx="4">
                  <c:v>-4.2876929791173191E-2</c:v>
                </c:pt>
                <c:pt idx="5">
                  <c:v>-2.6008772447146798E-2</c:v>
                </c:pt>
                <c:pt idx="6">
                  <c:v>-1.4141373920632768E-2</c:v>
                </c:pt>
                <c:pt idx="7">
                  <c:v>3.396960448142048E-2</c:v>
                </c:pt>
                <c:pt idx="8">
                  <c:v>4.6352420029464832E-2</c:v>
                </c:pt>
                <c:pt idx="9">
                  <c:v>8.0496757241135544E-2</c:v>
                </c:pt>
                <c:pt idx="10">
                  <c:v>0.10296568045568298</c:v>
                </c:pt>
                <c:pt idx="11">
                  <c:v>7.2190525828860055E-2</c:v>
                </c:pt>
                <c:pt idx="12">
                  <c:v>8.3237506837354314E-2</c:v>
                </c:pt>
                <c:pt idx="13">
                  <c:v>9.3384737223220562E-2</c:v>
                </c:pt>
                <c:pt idx="14">
                  <c:v>8.6648943923762267E-2</c:v>
                </c:pt>
                <c:pt idx="15">
                  <c:v>0.12668870358499487</c:v>
                </c:pt>
                <c:pt idx="16">
                  <c:v>0.13986223601701539</c:v>
                </c:pt>
                <c:pt idx="17">
                  <c:v>0.18749314584440219</c:v>
                </c:pt>
                <c:pt idx="18">
                  <c:v>0.20197754075676314</c:v>
                </c:pt>
                <c:pt idx="19">
                  <c:v>0.2229321106880805</c:v>
                </c:pt>
              </c:numCache>
            </c:numRef>
          </c:val>
          <c:smooth val="0"/>
          <c:extLst>
            <c:ext xmlns:c16="http://schemas.microsoft.com/office/drawing/2014/chart" uri="{C3380CC4-5D6E-409C-BE32-E72D297353CC}">
              <c16:uniqueId val="{00000000-134F-4D21-A32D-2ED151CE2697}"/>
            </c:ext>
          </c:extLst>
        </c:ser>
        <c:dLbls>
          <c:showLegendKey val="0"/>
          <c:showVal val="0"/>
          <c:showCatName val="0"/>
          <c:showSerName val="0"/>
          <c:showPercent val="0"/>
          <c:showBubbleSize val="0"/>
        </c:dLbls>
        <c:smooth val="0"/>
        <c:axId val="1301828976"/>
        <c:axId val="1302324096"/>
      </c:lineChart>
      <c:catAx>
        <c:axId val="130182897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02324096"/>
        <c:crosses val="autoZero"/>
        <c:auto val="1"/>
        <c:lblAlgn val="ctr"/>
        <c:lblOffset val="100"/>
        <c:noMultiLvlLbl val="0"/>
      </c:catAx>
      <c:valAx>
        <c:axId val="1302324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0182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42360751618851E-2"/>
          <c:y val="4.1844977090099697E-2"/>
          <c:w val="0.90153312727489221"/>
          <c:h val="0.83308257298983113"/>
        </c:manualLayout>
      </c:layout>
      <c:lineChart>
        <c:grouping val="standard"/>
        <c:varyColors val="0"/>
        <c:ser>
          <c:idx val="1"/>
          <c:order val="0"/>
          <c:spPr>
            <a:ln w="28575" cap="rnd">
              <a:solidFill>
                <a:schemeClr val="tx1"/>
              </a:solidFill>
              <a:round/>
            </a:ln>
            <a:effectLst/>
          </c:spPr>
          <c:marker>
            <c:symbol val="none"/>
          </c:marker>
          <c:cat>
            <c:strRef>
              <c:f>'Historisk skattekvot'!$A$83:$A$126</c:f>
              <c:strCache>
                <c:ptCount val="4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strCache>
            </c:strRef>
          </c:cat>
          <c:val>
            <c:numRef>
              <c:f>'Historisk skattekvot'!$B$83:$B$126</c:f>
              <c:numCache>
                <c:formatCode>0.0</c:formatCode>
                <c:ptCount val="44"/>
                <c:pt idx="0">
                  <c:v>43.2</c:v>
                </c:pt>
                <c:pt idx="1">
                  <c:v>45.8</c:v>
                </c:pt>
                <c:pt idx="2">
                  <c:v>44.5</c:v>
                </c:pt>
                <c:pt idx="3">
                  <c:v>45.1</c:v>
                </c:pt>
                <c:pt idx="4">
                  <c:v>44.7</c:v>
                </c:pt>
                <c:pt idx="5">
                  <c:v>44.9</c:v>
                </c:pt>
                <c:pt idx="6">
                  <c:v>47.2</c:v>
                </c:pt>
                <c:pt idx="7">
                  <c:v>48.2</c:v>
                </c:pt>
                <c:pt idx="8">
                  <c:v>48.8</c:v>
                </c:pt>
                <c:pt idx="9">
                  <c:v>48.4</c:v>
                </c:pt>
                <c:pt idx="10">
                  <c:v>49.8</c:v>
                </c:pt>
                <c:pt idx="11">
                  <c:v>48.8</c:v>
                </c:pt>
                <c:pt idx="12">
                  <c:v>45.8</c:v>
                </c:pt>
                <c:pt idx="13">
                  <c:v>46.1</c:v>
                </c:pt>
                <c:pt idx="14">
                  <c:v>46.3</c:v>
                </c:pt>
                <c:pt idx="15">
                  <c:v>45.8</c:v>
                </c:pt>
                <c:pt idx="16">
                  <c:v>47.9</c:v>
                </c:pt>
                <c:pt idx="17">
                  <c:v>48.2</c:v>
                </c:pt>
                <c:pt idx="18">
                  <c:v>48.4</c:v>
                </c:pt>
                <c:pt idx="19">
                  <c:v>48.8</c:v>
                </c:pt>
                <c:pt idx="20">
                  <c:v>48.6</c:v>
                </c:pt>
                <c:pt idx="21">
                  <c:v>46.6</c:v>
                </c:pt>
                <c:pt idx="22">
                  <c:v>44.9</c:v>
                </c:pt>
                <c:pt idx="23">
                  <c:v>45.3</c:v>
                </c:pt>
                <c:pt idx="24">
                  <c:v>45.5</c:v>
                </c:pt>
                <c:pt idx="25">
                  <c:v>46.5</c:v>
                </c:pt>
                <c:pt idx="26">
                  <c:v>45.9</c:v>
                </c:pt>
                <c:pt idx="27">
                  <c:v>44.9</c:v>
                </c:pt>
                <c:pt idx="28">
                  <c:v>44</c:v>
                </c:pt>
                <c:pt idx="29">
                  <c:v>43.7</c:v>
                </c:pt>
                <c:pt idx="30">
                  <c:v>42.9</c:v>
                </c:pt>
                <c:pt idx="31">
                  <c:v>42</c:v>
                </c:pt>
                <c:pt idx="32">
                  <c:v>42.1</c:v>
                </c:pt>
                <c:pt idx="33">
                  <c:v>42.5</c:v>
                </c:pt>
                <c:pt idx="34">
                  <c:v>42.2</c:v>
                </c:pt>
                <c:pt idx="35">
                  <c:v>42.6</c:v>
                </c:pt>
                <c:pt idx="36">
                  <c:v>44.1</c:v>
                </c:pt>
                <c:pt idx="37">
                  <c:v>44.1</c:v>
                </c:pt>
                <c:pt idx="38">
                  <c:v>43.8</c:v>
                </c:pt>
                <c:pt idx="39">
                  <c:v>42.8</c:v>
                </c:pt>
                <c:pt idx="40">
                  <c:v>42.4</c:v>
                </c:pt>
                <c:pt idx="41">
                  <c:v>42.7</c:v>
                </c:pt>
                <c:pt idx="42">
                  <c:v>41.4</c:v>
                </c:pt>
                <c:pt idx="43">
                  <c:v>41.4</c:v>
                </c:pt>
              </c:numCache>
            </c:numRef>
          </c:val>
          <c:smooth val="0"/>
          <c:extLst>
            <c:ext xmlns:c16="http://schemas.microsoft.com/office/drawing/2014/chart" uri="{C3380CC4-5D6E-409C-BE32-E72D297353CC}">
              <c16:uniqueId val="{00000000-0EAB-4730-8493-0A08063DC98A}"/>
            </c:ext>
          </c:extLst>
        </c:ser>
        <c:dLbls>
          <c:showLegendKey val="0"/>
          <c:showVal val="0"/>
          <c:showCatName val="0"/>
          <c:showSerName val="0"/>
          <c:showPercent val="0"/>
          <c:showBubbleSize val="0"/>
        </c:dLbls>
        <c:smooth val="0"/>
        <c:axId val="2000180016"/>
        <c:axId val="199193712"/>
      </c:lineChart>
      <c:catAx>
        <c:axId val="200018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9193712"/>
        <c:crosses val="autoZero"/>
        <c:auto val="1"/>
        <c:lblAlgn val="ctr"/>
        <c:lblOffset val="100"/>
        <c:noMultiLvlLbl val="0"/>
      </c:catAx>
      <c:valAx>
        <c:axId val="199193712"/>
        <c:scaling>
          <c:orientation val="minMax"/>
          <c:min val="38"/>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001800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LUR!$I$6</c:f>
              <c:strCache>
                <c:ptCount val="1"/>
                <c:pt idx="0">
                  <c:v>arbetslöshet</c:v>
                </c:pt>
              </c:strCache>
            </c:strRef>
          </c:tx>
          <c:spPr>
            <a:solidFill>
              <a:schemeClr val="accent1"/>
            </a:solidFill>
            <a:ln>
              <a:noFill/>
            </a:ln>
            <a:effectLst/>
          </c:spPr>
          <c:invertIfNegative val="0"/>
          <c:cat>
            <c:strRef>
              <c:f>LUR!$J$5:$T$5</c:f>
              <c:strCache>
                <c:ptCount val="11"/>
                <c:pt idx="0">
                  <c:v>JPN</c:v>
                </c:pt>
                <c:pt idx="1">
                  <c:v>DEU</c:v>
                </c:pt>
                <c:pt idx="2">
                  <c:v>USA</c:v>
                </c:pt>
                <c:pt idx="3">
                  <c:v>NOR</c:v>
                </c:pt>
                <c:pt idx="4">
                  <c:v>NLD</c:v>
                </c:pt>
                <c:pt idx="5">
                  <c:v>UK</c:v>
                </c:pt>
                <c:pt idx="6">
                  <c:v>DNK</c:v>
                </c:pt>
                <c:pt idx="7">
                  <c:v>BEL</c:v>
                </c:pt>
                <c:pt idx="8">
                  <c:v>FRA</c:v>
                </c:pt>
                <c:pt idx="9">
                  <c:v>SWE</c:v>
                </c:pt>
                <c:pt idx="10">
                  <c:v>ITA</c:v>
                </c:pt>
              </c:strCache>
            </c:strRef>
          </c:cat>
          <c:val>
            <c:numRef>
              <c:f>LUR!$J$6:$T$6</c:f>
              <c:numCache>
                <c:formatCode>General</c:formatCode>
                <c:ptCount val="11"/>
                <c:pt idx="0">
                  <c:v>2.6</c:v>
                </c:pt>
                <c:pt idx="1">
                  <c:v>3.2</c:v>
                </c:pt>
                <c:pt idx="2">
                  <c:v>3.5</c:v>
                </c:pt>
                <c:pt idx="3">
                  <c:v>3.9</c:v>
                </c:pt>
                <c:pt idx="4">
                  <c:v>4</c:v>
                </c:pt>
                <c:pt idx="5">
                  <c:v>4.2</c:v>
                </c:pt>
                <c:pt idx="6">
                  <c:v>5.0999999999999996</c:v>
                </c:pt>
                <c:pt idx="7">
                  <c:v>6</c:v>
                </c:pt>
                <c:pt idx="8">
                  <c:v>7.8</c:v>
                </c:pt>
                <c:pt idx="9">
                  <c:v>7.8</c:v>
                </c:pt>
                <c:pt idx="10">
                  <c:v>9.3000000000000007</c:v>
                </c:pt>
              </c:numCache>
            </c:numRef>
          </c:val>
          <c:extLst>
            <c:ext xmlns:c16="http://schemas.microsoft.com/office/drawing/2014/chart" uri="{C3380CC4-5D6E-409C-BE32-E72D297353CC}">
              <c16:uniqueId val="{00000000-F1A8-4BE5-878A-304975527BAA}"/>
            </c:ext>
          </c:extLst>
        </c:ser>
        <c:dLbls>
          <c:showLegendKey val="0"/>
          <c:showVal val="0"/>
          <c:showCatName val="0"/>
          <c:showSerName val="0"/>
          <c:showPercent val="0"/>
          <c:showBubbleSize val="0"/>
        </c:dLbls>
        <c:gapWidth val="219"/>
        <c:overlap val="-27"/>
        <c:axId val="405701512"/>
        <c:axId val="1"/>
      </c:barChart>
      <c:catAx>
        <c:axId val="405701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0570151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Blad1!$K$13</c:f>
              <c:strCache>
                <c:ptCount val="1"/>
                <c:pt idx="0">
                  <c:v>Sysselsättningsgrad</c:v>
                </c:pt>
              </c:strCache>
            </c:strRef>
          </c:tx>
          <c:spPr>
            <a:ln w="28575" cap="rnd">
              <a:solidFill>
                <a:schemeClr val="accent1"/>
              </a:solidFill>
              <a:round/>
            </a:ln>
            <a:effectLst/>
          </c:spPr>
          <c:marker>
            <c:symbol val="none"/>
          </c:marker>
          <c:cat>
            <c:numRef>
              <c:f>Blad1!$L$12:$AT$12</c:f>
              <c:numCache>
                <c:formatCode>m/d/yyyy</c:formatCode>
                <c:ptCount val="35"/>
                <c:pt idx="0">
                  <c:v>31778</c:v>
                </c:pt>
                <c:pt idx="1">
                  <c:v>32143</c:v>
                </c:pt>
                <c:pt idx="2">
                  <c:v>32509</c:v>
                </c:pt>
                <c:pt idx="3">
                  <c:v>32874</c:v>
                </c:pt>
                <c:pt idx="4">
                  <c:v>33239</c:v>
                </c:pt>
                <c:pt idx="5">
                  <c:v>33604</c:v>
                </c:pt>
                <c:pt idx="6">
                  <c:v>33970</c:v>
                </c:pt>
                <c:pt idx="7">
                  <c:v>34335</c:v>
                </c:pt>
                <c:pt idx="8">
                  <c:v>34700</c:v>
                </c:pt>
                <c:pt idx="9">
                  <c:v>35065</c:v>
                </c:pt>
                <c:pt idx="10">
                  <c:v>35431</c:v>
                </c:pt>
                <c:pt idx="11">
                  <c:v>35796</c:v>
                </c:pt>
                <c:pt idx="12">
                  <c:v>36161</c:v>
                </c:pt>
                <c:pt idx="13">
                  <c:v>36526</c:v>
                </c:pt>
                <c:pt idx="14">
                  <c:v>36892</c:v>
                </c:pt>
                <c:pt idx="15">
                  <c:v>37257</c:v>
                </c:pt>
                <c:pt idx="16">
                  <c:v>37622</c:v>
                </c:pt>
                <c:pt idx="17">
                  <c:v>37987</c:v>
                </c:pt>
                <c:pt idx="18">
                  <c:v>38353</c:v>
                </c:pt>
                <c:pt idx="19">
                  <c:v>38718</c:v>
                </c:pt>
                <c:pt idx="20">
                  <c:v>39083</c:v>
                </c:pt>
                <c:pt idx="21">
                  <c:v>39448</c:v>
                </c:pt>
                <c:pt idx="22">
                  <c:v>39814</c:v>
                </c:pt>
                <c:pt idx="23">
                  <c:v>40179</c:v>
                </c:pt>
                <c:pt idx="24">
                  <c:v>40544</c:v>
                </c:pt>
                <c:pt idx="25">
                  <c:v>40909</c:v>
                </c:pt>
                <c:pt idx="26">
                  <c:v>41275</c:v>
                </c:pt>
                <c:pt idx="27">
                  <c:v>41640</c:v>
                </c:pt>
                <c:pt idx="28">
                  <c:v>42005</c:v>
                </c:pt>
                <c:pt idx="29">
                  <c:v>42370</c:v>
                </c:pt>
                <c:pt idx="30">
                  <c:v>42736</c:v>
                </c:pt>
                <c:pt idx="31">
                  <c:v>43101</c:v>
                </c:pt>
                <c:pt idx="32">
                  <c:v>43466</c:v>
                </c:pt>
                <c:pt idx="33">
                  <c:v>43831</c:v>
                </c:pt>
                <c:pt idx="34">
                  <c:v>44197</c:v>
                </c:pt>
              </c:numCache>
            </c:numRef>
          </c:cat>
          <c:val>
            <c:numRef>
              <c:f>Blad1!$L$13:$AT$13</c:f>
              <c:numCache>
                <c:formatCode>0.0</c:formatCode>
                <c:ptCount val="35"/>
                <c:pt idx="0">
                  <c:v>84.415700452708407</c:v>
                </c:pt>
                <c:pt idx="1">
                  <c:v>85.260814614635905</c:v>
                </c:pt>
                <c:pt idx="2">
                  <c:v>85.787551508506695</c:v>
                </c:pt>
                <c:pt idx="3">
                  <c:v>86.064511494537797</c:v>
                </c:pt>
                <c:pt idx="4">
                  <c:v>84.282167612608703</c:v>
                </c:pt>
                <c:pt idx="5">
                  <c:v>80.813507775644197</c:v>
                </c:pt>
                <c:pt idx="6">
                  <c:v>76.437682289952605</c:v>
                </c:pt>
                <c:pt idx="7">
                  <c:v>75.338962847569803</c:v>
                </c:pt>
                <c:pt idx="8">
                  <c:v>75.833890223443902</c:v>
                </c:pt>
                <c:pt idx="9">
                  <c:v>75.2994448770406</c:v>
                </c:pt>
                <c:pt idx="10">
                  <c:v>74.472549956610806</c:v>
                </c:pt>
                <c:pt idx="11">
                  <c:v>75.3339441164607</c:v>
                </c:pt>
                <c:pt idx="12">
                  <c:v>76.562839332997996</c:v>
                </c:pt>
                <c:pt idx="13">
                  <c:v>77.760838367255602</c:v>
                </c:pt>
                <c:pt idx="14">
                  <c:v>78.658754368258897</c:v>
                </c:pt>
                <c:pt idx="15">
                  <c:v>78.496041282065605</c:v>
                </c:pt>
                <c:pt idx="16">
                  <c:v>78.017169822686995</c:v>
                </c:pt>
                <c:pt idx="17">
                  <c:v>77.457289999218403</c:v>
                </c:pt>
                <c:pt idx="18">
                  <c:v>77.605231797629301</c:v>
                </c:pt>
                <c:pt idx="19">
                  <c:v>78.233361494414694</c:v>
                </c:pt>
                <c:pt idx="20">
                  <c:v>79.5555970497619</c:v>
                </c:pt>
                <c:pt idx="21">
                  <c:v>79.817382105673403</c:v>
                </c:pt>
                <c:pt idx="22">
                  <c:v>77.781466725689796</c:v>
                </c:pt>
                <c:pt idx="23">
                  <c:v>77.577168414106595</c:v>
                </c:pt>
                <c:pt idx="24">
                  <c:v>78.870929533319895</c:v>
                </c:pt>
                <c:pt idx="25">
                  <c:v>78.921506409675203</c:v>
                </c:pt>
                <c:pt idx="26">
                  <c:v>79.2695463973306</c:v>
                </c:pt>
                <c:pt idx="27">
                  <c:v>79.463390170511502</c:v>
                </c:pt>
                <c:pt idx="28">
                  <c:v>79.980790096227395</c:v>
                </c:pt>
                <c:pt idx="29">
                  <c:v>80.6577972262413</c:v>
                </c:pt>
                <c:pt idx="30">
                  <c:v>81.299422207481598</c:v>
                </c:pt>
                <c:pt idx="31">
                  <c:v>81.849053988495299</c:v>
                </c:pt>
                <c:pt idx="32">
                  <c:v>81.591620515290103</c:v>
                </c:pt>
                <c:pt idx="33">
                  <c:v>80.1905185387877</c:v>
                </c:pt>
                <c:pt idx="34">
                  <c:v>80.729559722649796</c:v>
                </c:pt>
              </c:numCache>
            </c:numRef>
          </c:val>
          <c:smooth val="0"/>
          <c:extLst>
            <c:ext xmlns:c16="http://schemas.microsoft.com/office/drawing/2014/chart" uri="{C3380CC4-5D6E-409C-BE32-E72D297353CC}">
              <c16:uniqueId val="{00000000-1A08-4FD3-BC82-0A0D3C971387}"/>
            </c:ext>
          </c:extLst>
        </c:ser>
        <c:dLbls>
          <c:showLegendKey val="0"/>
          <c:showVal val="0"/>
          <c:showCatName val="0"/>
          <c:showSerName val="0"/>
          <c:showPercent val="0"/>
          <c:showBubbleSize val="0"/>
        </c:dLbls>
        <c:smooth val="0"/>
        <c:axId val="644303448"/>
        <c:axId val="644303120"/>
      </c:lineChart>
      <c:dateAx>
        <c:axId val="644303448"/>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44303120"/>
        <c:crosses val="autoZero"/>
        <c:auto val="1"/>
        <c:lblOffset val="100"/>
        <c:baseTimeUnit val="years"/>
      </c:dateAx>
      <c:valAx>
        <c:axId val="6443031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44303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B50B427EA84C318C93BDA58D38B9FF"/>
        <w:category>
          <w:name w:val="Allmänt"/>
          <w:gallery w:val="placeholder"/>
        </w:category>
        <w:types>
          <w:type w:val="bbPlcHdr"/>
        </w:types>
        <w:behaviors>
          <w:behavior w:val="content"/>
        </w:behaviors>
        <w:guid w:val="{18654356-EEE9-4B75-B0DD-0A7E7CBB9556}"/>
      </w:docPartPr>
      <w:docPartBody>
        <w:p w:rsidR="00BC4FB7" w:rsidRDefault="00BC4FB7">
          <w:pPr>
            <w:pStyle w:val="9FB50B427EA84C318C93BDA58D38B9FF"/>
          </w:pPr>
          <w:r w:rsidRPr="005A0A93">
            <w:rPr>
              <w:rStyle w:val="Platshllartext"/>
            </w:rPr>
            <w:t>Förslag till riksdagsbeslut</w:t>
          </w:r>
        </w:p>
      </w:docPartBody>
    </w:docPart>
    <w:docPart>
      <w:docPartPr>
        <w:name w:val="82FD5E48BD93426981DE808EA33C4FFE"/>
        <w:category>
          <w:name w:val="Allmänt"/>
          <w:gallery w:val="placeholder"/>
        </w:category>
        <w:types>
          <w:type w:val="bbPlcHdr"/>
        </w:types>
        <w:behaviors>
          <w:behavior w:val="content"/>
        </w:behaviors>
        <w:guid w:val="{C6294540-E120-43DA-804B-5A05411E818F}"/>
      </w:docPartPr>
      <w:docPartBody>
        <w:p w:rsidR="00903CDD" w:rsidRDefault="00BC4FB7">
          <w:pPr>
            <w:pStyle w:val="82FD5E48BD93426981DE808EA33C4FFE"/>
          </w:pPr>
          <w:r w:rsidRPr="005A0A93">
            <w:rPr>
              <w:rStyle w:val="Platshllartext"/>
            </w:rPr>
            <w:t>Motivering</w:t>
          </w:r>
        </w:p>
      </w:docPartBody>
    </w:docPart>
    <w:docPart>
      <w:docPartPr>
        <w:name w:val="69C1185A04E74F38A7671007228BA9FC"/>
        <w:category>
          <w:name w:val="Allmänt"/>
          <w:gallery w:val="placeholder"/>
        </w:category>
        <w:types>
          <w:type w:val="bbPlcHdr"/>
        </w:types>
        <w:behaviors>
          <w:behavior w:val="content"/>
        </w:behaviors>
        <w:guid w:val="{DB7726AD-C69E-4779-9C57-27AA5DA9CE54}"/>
      </w:docPartPr>
      <w:docPartBody>
        <w:p w:rsidR="00292AB8" w:rsidRDefault="00292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B7"/>
    <w:rsid w:val="00057C32"/>
    <w:rsid w:val="00066A92"/>
    <w:rsid w:val="00067EB6"/>
    <w:rsid w:val="00080CC1"/>
    <w:rsid w:val="000E3C1F"/>
    <w:rsid w:val="001F1BFF"/>
    <w:rsid w:val="002207B1"/>
    <w:rsid w:val="0023641D"/>
    <w:rsid w:val="002809CC"/>
    <w:rsid w:val="002827AF"/>
    <w:rsid w:val="002910E5"/>
    <w:rsid w:val="00292AB8"/>
    <w:rsid w:val="002E6B9C"/>
    <w:rsid w:val="002F1526"/>
    <w:rsid w:val="003A1981"/>
    <w:rsid w:val="003E5C1E"/>
    <w:rsid w:val="0047428A"/>
    <w:rsid w:val="005017C1"/>
    <w:rsid w:val="00592AE7"/>
    <w:rsid w:val="006A3735"/>
    <w:rsid w:val="006D4FB5"/>
    <w:rsid w:val="007D540A"/>
    <w:rsid w:val="007D5590"/>
    <w:rsid w:val="008173FA"/>
    <w:rsid w:val="00893B70"/>
    <w:rsid w:val="008B7DBE"/>
    <w:rsid w:val="008D7AD5"/>
    <w:rsid w:val="00903CDD"/>
    <w:rsid w:val="0093666E"/>
    <w:rsid w:val="00957344"/>
    <w:rsid w:val="00985DB5"/>
    <w:rsid w:val="009D78ED"/>
    <w:rsid w:val="00A1345F"/>
    <w:rsid w:val="00A52D9F"/>
    <w:rsid w:val="00A8073A"/>
    <w:rsid w:val="00AA21A3"/>
    <w:rsid w:val="00AC4F49"/>
    <w:rsid w:val="00AD37CC"/>
    <w:rsid w:val="00B20DDA"/>
    <w:rsid w:val="00B335DF"/>
    <w:rsid w:val="00BA0365"/>
    <w:rsid w:val="00BC2529"/>
    <w:rsid w:val="00BC4FB7"/>
    <w:rsid w:val="00C25032"/>
    <w:rsid w:val="00C3593A"/>
    <w:rsid w:val="00CC4BD5"/>
    <w:rsid w:val="00CF1F6B"/>
    <w:rsid w:val="00D203B9"/>
    <w:rsid w:val="00D2543A"/>
    <w:rsid w:val="00D44934"/>
    <w:rsid w:val="00D930CF"/>
    <w:rsid w:val="00DA4CE3"/>
    <w:rsid w:val="00E06251"/>
    <w:rsid w:val="00F26D21"/>
    <w:rsid w:val="00F3254E"/>
    <w:rsid w:val="00F3649E"/>
    <w:rsid w:val="00FE382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666E"/>
    <w:rPr>
      <w:color w:val="F4B083" w:themeColor="accent2" w:themeTint="99"/>
    </w:rPr>
  </w:style>
  <w:style w:type="paragraph" w:customStyle="1" w:styleId="9FB50B427EA84C318C93BDA58D38B9FF">
    <w:name w:val="9FB50B427EA84C318C93BDA58D38B9FF"/>
  </w:style>
  <w:style w:type="paragraph" w:customStyle="1" w:styleId="82FD5E48BD93426981DE808EA33C4FFE">
    <w:name w:val="82FD5E48BD93426981DE808EA33C4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966FB-9EB2-4982-AD2E-B8FBA8D770D0}"/>
</file>

<file path=customXml/itemProps2.xml><?xml version="1.0" encoding="utf-8"?>
<ds:datastoreItem xmlns:ds="http://schemas.openxmlformats.org/officeDocument/2006/customXml" ds:itemID="{FBEC62CE-8D87-444A-86E0-A3F866B721F7}"/>
</file>

<file path=customXml/itemProps3.xml><?xml version="1.0" encoding="utf-8"?>
<ds:datastoreItem xmlns:ds="http://schemas.openxmlformats.org/officeDocument/2006/customXml" ds:itemID="{96935EBA-4749-4180-B99A-946CFFB46085}"/>
</file>

<file path=docProps/app.xml><?xml version="1.0" encoding="utf-8"?>
<Properties xmlns="http://schemas.openxmlformats.org/officeDocument/2006/extended-properties" xmlns:vt="http://schemas.openxmlformats.org/officeDocument/2006/docPropsVTypes">
  <Template>Normal</Template>
  <TotalTime>1519</TotalTime>
  <Pages>106</Pages>
  <Words>22308</Words>
  <Characters>260123</Characters>
  <Application>Microsoft Office Word</Application>
  <DocSecurity>0</DocSecurity>
  <Lines>15301</Lines>
  <Paragraphs>3977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V700 En rättvis väg genom krisen   Vänsterpartiets budgetmotion för 2023</vt:lpstr>
      <vt:lpstr>
      </vt:lpstr>
    </vt:vector>
  </TitlesOfParts>
  <Company>Sveriges riksdag</Company>
  <LinksUpToDate>false</LinksUpToDate>
  <CharactersWithSpaces>278454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