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6723C">
        <w:tblPrEx>
          <w:tblCellMar>
            <w:top w:w="0" w:type="dxa"/>
            <w:bottom w:w="0" w:type="dxa"/>
          </w:tblCellMar>
        </w:tblPrEx>
        <w:trPr>
          <w:cantSplit/>
          <w:trHeight w:hRule="exact" w:val="1260"/>
        </w:trPr>
        <w:tc>
          <w:tcPr>
            <w:tcW w:w="6024" w:type="dxa"/>
            <w:gridSpan w:val="2"/>
            <w:vMerge w:val="restart"/>
          </w:tcPr>
          <w:p w:rsidR="001A5319" w:rsidRPr="0086723C" w:rsidRDefault="001A5319">
            <w:pPr>
              <w:pStyle w:val="HuvudRubrik"/>
            </w:pPr>
            <w:bookmarkStart w:id="0" w:name="BetänkandeRubrik"/>
            <w:bookmarkEnd w:id="0"/>
            <w:r w:rsidRPr="0086723C">
              <w:t>Bostadsutskottets yttrande</w:t>
            </w:r>
            <w:r w:rsidR="0086723C" w:rsidRPr="0086723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8659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A5319" w:rsidRPr="0086723C" w:rsidRDefault="001A5319">
                                  <w:pPr>
                                    <w:pStyle w:val="Logo"/>
                                  </w:pPr>
                                  <w:r w:rsidRPr="0086723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44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A5319" w:rsidRPr="0086723C" w:rsidRDefault="001A5319">
                            <w:pPr>
                              <w:pStyle w:val="Logo"/>
                            </w:pPr>
                            <w:r w:rsidRPr="0086723C">
                              <w:object w:dxaOrig="840" w:dyaOrig="1545">
                                <v:shape id="_x0000_i1025" type="#_x0000_t75" style="width:90.45pt;height:77.15pt" fillcolor="window">
                                  <v:imagedata r:id="rId7" o:title="" cropright="-75835f"/>
                                </v:shape>
                                <o:OLEObject Type="Embed" ProgID="Word.Picture.8" ShapeID="_x0000_i1025" DrawAspect="Content" ObjectID="_1827347442" r:id="rId9"/>
                              </w:object>
                            </w:r>
                          </w:p>
                        </w:txbxContent>
                      </v:textbox>
                      <w10:wrap anchorx="page" anchory="page"/>
                    </v:shape>
                  </w:pict>
                </mc:Fallback>
              </mc:AlternateContent>
            </w:r>
          </w:p>
          <w:p w:rsidR="001A5319" w:rsidRPr="0086723C" w:rsidRDefault="001A5319">
            <w:pPr>
              <w:pStyle w:val="HuvudRubrikRad2"/>
            </w:pPr>
            <w:bookmarkStart w:id="17" w:name="BetänkandeNr"/>
            <w:bookmarkEnd w:id="17"/>
            <w:r w:rsidRPr="0086723C">
              <w:t>1999/2000:BoU5y</w:t>
            </w:r>
          </w:p>
          <w:p w:rsidR="001A5319" w:rsidRPr="0086723C" w:rsidRDefault="001A5319">
            <w:pPr>
              <w:pStyle w:val="BetnkandeRubrik"/>
            </w:pPr>
            <w:bookmarkStart w:id="18" w:name="Huvudrubrik"/>
            <w:bookmarkEnd w:id="18"/>
            <w:r w:rsidRPr="0086723C">
              <w:t>Statliga kreditgarantier</w:t>
            </w:r>
          </w:p>
        </w:tc>
        <w:tc>
          <w:tcPr>
            <w:tcW w:w="1559" w:type="dxa"/>
            <w:tcBorders>
              <w:bottom w:val="nil"/>
            </w:tcBorders>
          </w:tcPr>
          <w:p w:rsidR="001A5319" w:rsidRPr="0086723C" w:rsidRDefault="001A5319">
            <w:pPr>
              <w:spacing w:before="0" w:line="230" w:lineRule="auto"/>
              <w:rPr>
                <w:sz w:val="24"/>
              </w:rPr>
            </w:pPr>
          </w:p>
        </w:tc>
      </w:tr>
      <w:tr w:rsidR="00000000" w:rsidRPr="0086723C">
        <w:tblPrEx>
          <w:tblCellMar>
            <w:top w:w="0" w:type="dxa"/>
            <w:bottom w:w="0" w:type="dxa"/>
          </w:tblCellMar>
        </w:tblPrEx>
        <w:trPr>
          <w:cantSplit/>
          <w:trHeight w:hRule="exact" w:val="240"/>
        </w:trPr>
        <w:tc>
          <w:tcPr>
            <w:tcW w:w="6024" w:type="dxa"/>
            <w:gridSpan w:val="2"/>
            <w:vMerge/>
            <w:tcBorders>
              <w:top w:val="nil"/>
              <w:bottom w:val="nil"/>
            </w:tcBorders>
          </w:tcPr>
          <w:p w:rsidR="001A5319" w:rsidRPr="0086723C" w:rsidRDefault="001A5319">
            <w:pPr>
              <w:spacing w:before="40" w:after="900" w:line="280" w:lineRule="exact"/>
              <w:jc w:val="left"/>
              <w:rPr>
                <w:sz w:val="28"/>
              </w:rPr>
            </w:pPr>
          </w:p>
        </w:tc>
        <w:tc>
          <w:tcPr>
            <w:tcW w:w="1559" w:type="dxa"/>
          </w:tcPr>
          <w:p w:rsidR="001A5319" w:rsidRPr="0086723C" w:rsidRDefault="001A5319">
            <w:pPr>
              <w:pStyle w:val="rtal"/>
            </w:pPr>
            <w:r w:rsidRPr="0086723C">
              <w:t>1999/2000</w:t>
            </w:r>
          </w:p>
        </w:tc>
      </w:tr>
      <w:tr w:rsidR="00000000" w:rsidRPr="0086723C">
        <w:tblPrEx>
          <w:tblCellMar>
            <w:top w:w="0" w:type="dxa"/>
            <w:bottom w:w="0" w:type="dxa"/>
          </w:tblCellMar>
        </w:tblPrEx>
        <w:trPr>
          <w:cantSplit/>
          <w:trHeight w:val="560"/>
        </w:trPr>
        <w:tc>
          <w:tcPr>
            <w:tcW w:w="6024" w:type="dxa"/>
            <w:gridSpan w:val="2"/>
            <w:vMerge/>
            <w:tcBorders>
              <w:top w:val="nil"/>
              <w:bottom w:val="single" w:sz="6" w:space="0" w:color="auto"/>
            </w:tcBorders>
          </w:tcPr>
          <w:p w:rsidR="001A5319" w:rsidRPr="0086723C" w:rsidRDefault="001A5319">
            <w:pPr>
              <w:spacing w:before="40" w:after="900" w:line="280" w:lineRule="exact"/>
              <w:jc w:val="left"/>
              <w:rPr>
                <w:sz w:val="28"/>
              </w:rPr>
            </w:pPr>
          </w:p>
        </w:tc>
        <w:tc>
          <w:tcPr>
            <w:tcW w:w="1559" w:type="dxa"/>
            <w:tcBorders>
              <w:bottom w:val="single" w:sz="6" w:space="0" w:color="auto"/>
            </w:tcBorders>
          </w:tcPr>
          <w:p w:rsidR="001A5319" w:rsidRPr="0086723C" w:rsidRDefault="001A5319">
            <w:pPr>
              <w:pStyle w:val="rtal"/>
            </w:pPr>
            <w:r w:rsidRPr="0086723C">
              <w:t>BoU5y</w:t>
            </w:r>
          </w:p>
        </w:tc>
      </w:tr>
      <w:tr w:rsidR="00000000" w:rsidRPr="0086723C">
        <w:tblPrEx>
          <w:tblCellMar>
            <w:top w:w="0" w:type="dxa"/>
            <w:bottom w:w="0" w:type="dxa"/>
          </w:tblCellMar>
        </w:tblPrEx>
        <w:trPr>
          <w:cantSplit/>
          <w:trHeight w:hRule="exact" w:val="660"/>
        </w:trPr>
        <w:tc>
          <w:tcPr>
            <w:tcW w:w="3012" w:type="dxa"/>
          </w:tcPr>
          <w:p w:rsidR="001A5319" w:rsidRPr="0086723C" w:rsidRDefault="001A5319">
            <w:pPr>
              <w:pStyle w:val="StatusSida1"/>
            </w:pPr>
          </w:p>
        </w:tc>
        <w:tc>
          <w:tcPr>
            <w:tcW w:w="3012" w:type="dxa"/>
          </w:tcPr>
          <w:p w:rsidR="001A5319" w:rsidRPr="0086723C" w:rsidRDefault="001A5319">
            <w:pPr>
              <w:pStyle w:val="UtskriftsdatumSida1"/>
              <w:rPr>
                <w:b/>
                <w:sz w:val="28"/>
              </w:rPr>
            </w:pPr>
          </w:p>
        </w:tc>
        <w:tc>
          <w:tcPr>
            <w:tcW w:w="1559" w:type="dxa"/>
          </w:tcPr>
          <w:p w:rsidR="001A5319" w:rsidRPr="0086723C" w:rsidRDefault="001A5319"/>
        </w:tc>
      </w:tr>
    </w:tbl>
    <w:p w:rsidR="001A5319" w:rsidRPr="0086723C" w:rsidRDefault="001A5319">
      <w:pPr>
        <w:pStyle w:val="Rubrik1"/>
        <w:spacing w:before="0"/>
      </w:pPr>
      <w:bookmarkStart w:id="19" w:name="_Toc477854646"/>
      <w:r w:rsidRPr="0086723C">
        <w:t>Till finansutskottet</w:t>
      </w:r>
      <w:bookmarkEnd w:id="19"/>
    </w:p>
    <w:p w:rsidR="001A5319" w:rsidRPr="0086723C" w:rsidRDefault="001A5319">
      <w:bookmarkStart w:id="20" w:name="Textstart"/>
      <w:bookmarkEnd w:id="20"/>
      <w:r w:rsidRPr="0086723C">
        <w:t>Finansutskottet har berett bostadsutskottet tillfälle att yttra sig över Riksd</w:t>
      </w:r>
      <w:r w:rsidRPr="0086723C">
        <w:t>a</w:t>
      </w:r>
      <w:r w:rsidRPr="0086723C">
        <w:t xml:space="preserve">gens revisorers förslag 1999/2000:RR8 Statliga kreditgarantier i de delar förslaget berör bostadsutskottets beredningsområde. </w:t>
      </w:r>
    </w:p>
    <w:p w:rsidR="001A5319" w:rsidRPr="0086723C" w:rsidRDefault="001A5319">
      <w:pPr>
        <w:pStyle w:val="Normaltindrag"/>
      </w:pPr>
      <w:r w:rsidRPr="0086723C">
        <w:t>Revisorernas förslag avser risktagande och informationsgivning i samband med statliga kreditgarantier. Bland de fyra garantimyndigheter som berörs av förslaget finns Statens bostadskreditnämnd. Bostadsutskottets yttrande avser primärt revisorernas förslag i de delar det berör kreditgivningen vid näm</w:t>
      </w:r>
      <w:r w:rsidRPr="0086723C">
        <w:t>n</w:t>
      </w:r>
      <w:r w:rsidRPr="0086723C">
        <w:t xml:space="preserve">den. </w:t>
      </w:r>
    </w:p>
    <w:p w:rsidR="001A5319" w:rsidRPr="0086723C" w:rsidRDefault="001A5319">
      <w:pPr>
        <w:pStyle w:val="Rubrik1"/>
      </w:pPr>
      <w:bookmarkStart w:id="21" w:name="_Toc477854647"/>
      <w:r w:rsidRPr="0086723C">
        <w:t>Utskottet</w:t>
      </w:r>
      <w:bookmarkEnd w:id="21"/>
    </w:p>
    <w:p w:rsidR="001A5319" w:rsidRPr="0086723C" w:rsidRDefault="001A5319">
      <w:pPr>
        <w:pStyle w:val="Rubrik2"/>
        <w:spacing w:before="123"/>
      </w:pPr>
      <w:bookmarkStart w:id="22" w:name="_Toc477854648"/>
      <w:r w:rsidRPr="0086723C">
        <w:t>Inledning</w:t>
      </w:r>
      <w:bookmarkEnd w:id="22"/>
    </w:p>
    <w:p w:rsidR="001A5319" w:rsidRPr="0086723C" w:rsidRDefault="001A5319">
      <w:r w:rsidRPr="0086723C">
        <w:t>På förslag av regeringen i budgetpropositionen för 1997 beslutade riksdagen hösten 1996 om en ny modell för statens garantigivning (prop. 1996/97:1 volym 1, s. 89–92, bet. 1996/97:FiU1 s. 228–231). Den nya formen för g</w:t>
      </w:r>
      <w:r w:rsidRPr="0086723C">
        <w:t>a</w:t>
      </w:r>
      <w:r w:rsidRPr="0086723C">
        <w:t>rantihanteringen grundade sig på riksdagens beslut om tak för de offentliga utgifterna och de därmed ökade kraven på utgiftskontroll. Den utgjorde också en anpassning till bestämmelserna i den nya budgetlagen. Enligt bu</w:t>
      </w:r>
      <w:r w:rsidRPr="0086723C">
        <w:t>d</w:t>
      </w:r>
      <w:r w:rsidRPr="0086723C">
        <w:t>getlagen skall en avgift tas ut för statliga garantier. Avgiften skall motsvara den ekonomiska risk som garantin innebär för staten, om inte riksdagen för ett visst fall beslutar om annat. I de fall riksdagen beslutar att avgift inte skall utgå up</w:t>
      </w:r>
      <w:r w:rsidRPr="0086723C">
        <w:t>p</w:t>
      </w:r>
      <w:r w:rsidRPr="0086723C">
        <w:t xml:space="preserve">kommer en subvention som skall finansieras </w:t>
      </w:r>
      <w:r w:rsidRPr="0086723C">
        <w:t xml:space="preserve">över budgeten i förväg. </w:t>
      </w:r>
    </w:p>
    <w:p w:rsidR="001A5319" w:rsidRPr="0086723C" w:rsidRDefault="001A5319">
      <w:pPr>
        <w:pStyle w:val="Normaltindrag"/>
      </w:pPr>
      <w:r w:rsidRPr="0086723C">
        <w:t>I korthet innebär den nya garantimodellen att risken i varje garanti-engagemang eller grupp av engagemang skall beräknas och att det därig</w:t>
      </w:r>
      <w:r w:rsidRPr="0086723C">
        <w:t>e</w:t>
      </w:r>
      <w:r w:rsidRPr="0086723C">
        <w:t>nom sätts ett pris på garantin. Priset erläggs i form av en årlig avgift som betalas av garantitagaren eller genom subventioner som tillförs via anslag. Såväl avgifter som subventioner förs till ett konto inom det statliga beta</w:t>
      </w:r>
      <w:r w:rsidRPr="0086723C">
        <w:t>l</w:t>
      </w:r>
      <w:r w:rsidRPr="0086723C">
        <w:t>ningssystemet i form av en särskild reserv. Till reserven förs även eventuella återvinningar. Reserven används för att finansiera garantiåtaganden, adm</w:t>
      </w:r>
      <w:r w:rsidRPr="0086723C">
        <w:t>i</w:t>
      </w:r>
      <w:r w:rsidRPr="0086723C">
        <w:t>nistration och andra utgifter. Till garantireserven är kopplad en kreditmöjli</w:t>
      </w:r>
      <w:r w:rsidRPr="0086723C">
        <w:t>g</w:t>
      </w:r>
      <w:r w:rsidRPr="0086723C">
        <w:t>het om inte tillgängliga medel täcker garantiåtagande</w:t>
      </w:r>
      <w:r w:rsidRPr="0086723C">
        <w:t>n som måste infrias. Resultatansvaret för garantiverksamheten har fördelats på fem myndigheter. En av dessa  myndigheter är Statens bostadskreditnämnd (BKN).</w:t>
      </w:r>
    </w:p>
    <w:p w:rsidR="001A5319" w:rsidRPr="0086723C" w:rsidRDefault="001A5319">
      <w:pPr>
        <w:pStyle w:val="Rubrik2"/>
      </w:pPr>
      <w:bookmarkStart w:id="23" w:name="_Toc477854649"/>
      <w:r w:rsidRPr="0086723C">
        <w:lastRenderedPageBreak/>
        <w:t>Garantigivningen vid Statens bostadskreditnämnd</w:t>
      </w:r>
      <w:bookmarkEnd w:id="23"/>
    </w:p>
    <w:p w:rsidR="001A5319" w:rsidRPr="0086723C" w:rsidRDefault="001A5319">
      <w:r w:rsidRPr="0086723C">
        <w:t>Riksdagens revisorer har på eget initiativ genomfört en  granskning av ris</w:t>
      </w:r>
      <w:r w:rsidRPr="0086723C">
        <w:t>k</w:t>
      </w:r>
      <w:r w:rsidRPr="0086723C">
        <w:t>tagande och informationsgivning i samband med statliga kreditgarantier. Granskningen behandlar framför allt statsmakternas generella kontroll av garantigivningen. Utgångspunkten för granskningen är den nya modell för hanteringen av statliga kreditgarantier som riksdagen fattat beslut om. Syftet med granskningen har varit att klarlägga i vilken mån den nya modellen har genomförts i praktiken och vilka eventuella problem som uppstått i samband med genomförandet.</w:t>
      </w:r>
    </w:p>
    <w:p w:rsidR="001A5319" w:rsidRPr="0086723C" w:rsidRDefault="001A5319">
      <w:pPr>
        <w:pStyle w:val="Normaltindrag"/>
      </w:pPr>
      <w:r w:rsidRPr="0086723C">
        <w:t>Revisorerna har i rapporten Statliga kreditgar</w:t>
      </w:r>
      <w:r w:rsidRPr="0086723C">
        <w:t>antier – kontrollen över ris</w:t>
      </w:r>
      <w:r w:rsidRPr="0086723C">
        <w:t>k</w:t>
      </w:r>
      <w:r w:rsidRPr="0086723C">
        <w:t>tagande redovisat en sammanfattande analys samt myndighetsvisa studier av garantigivningen. De fyra garantimyndigheter som omfattas av rapporten är Riksgäldskontoret, Statens bostadskreditnämnd (BKN), Exportkreditnäm</w:t>
      </w:r>
      <w:r w:rsidRPr="0086723C">
        <w:t>n</w:t>
      </w:r>
      <w:r w:rsidRPr="0086723C">
        <w:t>den och Styrelsen för internationellt utvecklingssamarbete (Sida). På grun</w:t>
      </w:r>
      <w:r w:rsidRPr="0086723C">
        <w:t>d</w:t>
      </w:r>
      <w:r w:rsidRPr="0086723C">
        <w:t xml:space="preserve">val av granskningsrapporten och remissbehandlingen av den har Riksdagens revisorer för riksdagen redovisat sina överväganden och lagt fram förslag till förändringar m.m. </w:t>
      </w:r>
    </w:p>
    <w:p w:rsidR="001A5319" w:rsidRPr="0086723C" w:rsidRDefault="001A5319">
      <w:pPr>
        <w:pStyle w:val="Normaltindrag"/>
      </w:pPr>
      <w:r w:rsidRPr="0086723C">
        <w:t>Enligt revisorerna m</w:t>
      </w:r>
      <w:r w:rsidRPr="0086723C">
        <w:t>åste utgångspunkten för den statliga garantigivningen vara att den baseras på ekonomiskt sunda principer. Det anges bl.a. innebära att kostnaderna för garantigivningen liksom frågan om finansieringen måste klargöras innan beslut fattas om att utfärda en garanti.</w:t>
      </w:r>
    </w:p>
    <w:p w:rsidR="001A5319" w:rsidRPr="0086723C" w:rsidRDefault="001A5319">
      <w:pPr>
        <w:pStyle w:val="Normaltindrag"/>
      </w:pPr>
      <w:r w:rsidRPr="0086723C">
        <w:t>Sammanfattningsvis föreslår Riksdagens revisorer att riksdagen som sin mening skall ge regeringen till känna vad revisorerna anfört</w:t>
      </w:r>
    </w:p>
    <w:p w:rsidR="001A5319" w:rsidRPr="0086723C" w:rsidRDefault="001A5319">
      <w:pPr>
        <w:numPr>
          <w:ilvl w:val="0"/>
          <w:numId w:val="4"/>
        </w:numPr>
        <w:spacing w:before="0"/>
      </w:pPr>
      <w:r w:rsidRPr="0086723C">
        <w:t>om garantimodellen, garantisystemen och styrningsfrågorna,</w:t>
      </w:r>
    </w:p>
    <w:p w:rsidR="001A5319" w:rsidRPr="0086723C" w:rsidRDefault="001A5319">
      <w:pPr>
        <w:numPr>
          <w:ilvl w:val="0"/>
          <w:numId w:val="4"/>
        </w:numPr>
        <w:spacing w:before="0"/>
      </w:pPr>
      <w:r w:rsidRPr="0086723C">
        <w:t>om garantitekniken och myndigheternas handläggning,</w:t>
      </w:r>
    </w:p>
    <w:p w:rsidR="001A5319" w:rsidRPr="0086723C" w:rsidRDefault="001A5319">
      <w:pPr>
        <w:numPr>
          <w:ilvl w:val="0"/>
          <w:numId w:val="4"/>
        </w:numPr>
        <w:spacing w:before="0"/>
      </w:pPr>
      <w:r w:rsidRPr="0086723C">
        <w:t>om redovisningsmetoderna,</w:t>
      </w:r>
    </w:p>
    <w:p w:rsidR="001A5319" w:rsidRPr="0086723C" w:rsidRDefault="001A5319">
      <w:pPr>
        <w:numPr>
          <w:ilvl w:val="0"/>
          <w:numId w:val="4"/>
        </w:numPr>
        <w:spacing w:before="0"/>
      </w:pPr>
      <w:r w:rsidRPr="0086723C">
        <w:t>om regeringens stöd till garantimyndigheterna samt</w:t>
      </w:r>
    </w:p>
    <w:p w:rsidR="001A5319" w:rsidRPr="0086723C" w:rsidRDefault="001A5319">
      <w:pPr>
        <w:numPr>
          <w:ilvl w:val="0"/>
          <w:numId w:val="4"/>
        </w:numPr>
        <w:spacing w:before="0"/>
      </w:pPr>
      <w:r w:rsidRPr="0086723C">
        <w:t>beträffande regeringens information till riksdagen.</w:t>
      </w:r>
    </w:p>
    <w:p w:rsidR="001A5319" w:rsidRPr="0086723C" w:rsidRDefault="001A5319">
      <w:pPr>
        <w:pStyle w:val="Odefinierat"/>
      </w:pPr>
      <w:r w:rsidRPr="0086723C">
        <w:t>De av revisorerna förordade tillkännagivandena innebär i korthet följa</w:t>
      </w:r>
      <w:r w:rsidRPr="0086723C">
        <w:t>n</w:t>
      </w:r>
      <w:r w:rsidRPr="0086723C">
        <w:t>de.</w:t>
      </w:r>
    </w:p>
    <w:p w:rsidR="001A5319" w:rsidRPr="0086723C" w:rsidRDefault="001A5319">
      <w:pPr>
        <w:pStyle w:val="Normaltindrag"/>
      </w:pPr>
      <w:r w:rsidRPr="0086723C">
        <w:t>Innebörden av den nya garantimodellen bör preciseras. Garantisystemet som sådant bör ses över för att så långt möjligt anpassa det till garantim</w:t>
      </w:r>
      <w:r w:rsidRPr="0086723C">
        <w:t>o</w:t>
      </w:r>
      <w:r w:rsidRPr="0086723C">
        <w:t xml:space="preserve">dellens intentioner. De oklarheter i styrningen som i dag finns måste klaras ut. </w:t>
      </w:r>
    </w:p>
    <w:p w:rsidR="001A5319" w:rsidRPr="0086723C" w:rsidRDefault="001A5319">
      <w:pPr>
        <w:pStyle w:val="Normaltindrag"/>
      </w:pPr>
      <w:r w:rsidRPr="0086723C">
        <w:t xml:space="preserve">Garantitekniken och myndigheternas handläggning bör bl.a. utformas så att man så långt möjligt ökar garantitagarnas incitament att samarbeta med garantimyndigheten för att begränsa statens förluster. </w:t>
      </w:r>
    </w:p>
    <w:p w:rsidR="001A5319" w:rsidRPr="0086723C" w:rsidRDefault="001A5319">
      <w:pPr>
        <w:pStyle w:val="Normaltindrag"/>
      </w:pPr>
      <w:r w:rsidRPr="0086723C">
        <w:t>Redovisningsmetoderna bör utredas.</w:t>
      </w:r>
    </w:p>
    <w:p w:rsidR="001A5319" w:rsidRPr="0086723C" w:rsidRDefault="001A5319">
      <w:pPr>
        <w:pStyle w:val="Normaltindrag"/>
      </w:pPr>
      <w:r w:rsidRPr="0086723C">
        <w:t xml:space="preserve">Regeringen bör ta erforderliga initiativ för att stödja myndigheternas arbete med att införa den nya garantimodellen. </w:t>
      </w:r>
    </w:p>
    <w:p w:rsidR="001A5319" w:rsidRPr="0086723C" w:rsidRDefault="001A5319">
      <w:pPr>
        <w:pStyle w:val="Normaltindrag"/>
      </w:pPr>
      <w:r w:rsidRPr="0086723C">
        <w:t>Regeringen bör förbättra sin information till riksdagen genom att bl.a. r</w:t>
      </w:r>
      <w:r w:rsidRPr="0086723C">
        <w:t>e</w:t>
      </w:r>
      <w:r w:rsidRPr="0086723C">
        <w:t>dovisa i vilka avseenden den nya garantimodellen inte har genomförts när det gäller BKN-garantierna och orsakerna till detta. Dessutom bör regeringen presentera en preciserad modell för BKN-garantierna för riksdagen och beg</w:t>
      </w:r>
      <w:r w:rsidRPr="0086723C">
        <w:t>ä</w:t>
      </w:r>
      <w:r w:rsidRPr="0086723C">
        <w:t>ra riksdagens godkännande av denna modell.</w:t>
      </w:r>
    </w:p>
    <w:p w:rsidR="001A5319" w:rsidRPr="0086723C" w:rsidRDefault="001A5319">
      <w:pPr>
        <w:pStyle w:val="Normaltindrag"/>
      </w:pPr>
      <w:r w:rsidRPr="0086723C">
        <w:t>Sedan arbetet med den granskningsrapport som ligger till grund för revis</w:t>
      </w:r>
      <w:r w:rsidRPr="0086723C">
        <w:t>o</w:t>
      </w:r>
      <w:r w:rsidRPr="0086723C">
        <w:t>rernas förslag avslutats tillsatte regeringen hösten 1999 en särskild utredare för att utvärdera systemet med statliga kreditgarantier för bostäder. Utredaren har helt nyligen – efter det att Riksdagens revisorer lagt fram sitt förslag – avgivit sitt slutbetänkande Statsgarantier för investeringar i bostäder – en utvärd</w:t>
      </w:r>
      <w:r w:rsidRPr="0086723C">
        <w:t>e</w:t>
      </w:r>
      <w:r w:rsidRPr="0086723C">
        <w:t xml:space="preserve">ring av BKN-systemet (SOU 2000:13). </w:t>
      </w:r>
    </w:p>
    <w:p w:rsidR="001A5319" w:rsidRPr="0086723C" w:rsidRDefault="001A5319">
      <w:pPr>
        <w:pStyle w:val="Normaltindrag"/>
      </w:pPr>
      <w:r w:rsidRPr="0086723C">
        <w:t>I betänkandet föreslår utredaren att garantisystemet för lån till bostadsi</w:t>
      </w:r>
      <w:r w:rsidRPr="0086723C">
        <w:t>n</w:t>
      </w:r>
      <w:r w:rsidRPr="0086723C">
        <w:t>vesteringar skall behållas men reformeras. Förslaget innebär att staten även i fortsättningen skall vara engagerad i att lämna garantier för investeringar i bostäder och kunna utfärda kreditgarantier för nybyggnader oavsett besit</w:t>
      </w:r>
      <w:r w:rsidRPr="0086723C">
        <w:t>t</w:t>
      </w:r>
      <w:r w:rsidRPr="0086723C">
        <w:t>ningsform. Även för ombyggnader av hyresrätter och bostadsrätter skall garantier kunna ställas ut. Förslagen går sammanfat</w:t>
      </w:r>
      <w:r w:rsidRPr="0086723C">
        <w:t>t</w:t>
      </w:r>
      <w:r w:rsidRPr="0086723C">
        <w:t>ningsvis ut på att</w:t>
      </w:r>
    </w:p>
    <w:p w:rsidR="001A5319" w:rsidRPr="0086723C" w:rsidRDefault="001A5319">
      <w:pPr>
        <w:numPr>
          <w:ilvl w:val="0"/>
          <w:numId w:val="6"/>
        </w:numPr>
        <w:spacing w:before="0"/>
      </w:pPr>
      <w:r w:rsidRPr="0086723C">
        <w:t>”äkta” garantier ställs ut och att dessa skall kunna ställas ut vid byggstart,</w:t>
      </w:r>
    </w:p>
    <w:p w:rsidR="001A5319" w:rsidRPr="0086723C" w:rsidRDefault="001A5319">
      <w:pPr>
        <w:numPr>
          <w:ilvl w:val="0"/>
          <w:numId w:val="6"/>
        </w:numPr>
        <w:spacing w:before="0"/>
      </w:pPr>
      <w:r w:rsidRPr="0086723C">
        <w:t>utgångspunkten för verksamheten skall vara att minimera statens risker för förlust, dvs. övergång till ett försäkringsmässigt agerande,</w:t>
      </w:r>
    </w:p>
    <w:p w:rsidR="001A5319" w:rsidRPr="0086723C" w:rsidRDefault="001A5319">
      <w:pPr>
        <w:numPr>
          <w:ilvl w:val="0"/>
          <w:numId w:val="5"/>
        </w:numPr>
        <w:spacing w:before="0"/>
      </w:pPr>
      <w:r w:rsidRPr="0086723C">
        <w:t>det ekonomiska målet behålls, dvs. att verksamhetens kostnader långsiktigt skall täckas av intäkterna,</w:t>
      </w:r>
    </w:p>
    <w:p w:rsidR="001A5319" w:rsidRPr="0086723C" w:rsidRDefault="001A5319">
      <w:pPr>
        <w:numPr>
          <w:ilvl w:val="0"/>
          <w:numId w:val="5"/>
        </w:numPr>
        <w:spacing w:before="0"/>
      </w:pPr>
      <w:r w:rsidRPr="0086723C">
        <w:t>en övergång till differentierad och riskrelaterad avgiftssättning sker,</w:t>
      </w:r>
    </w:p>
    <w:p w:rsidR="001A5319" w:rsidRPr="0086723C" w:rsidRDefault="001A5319">
      <w:pPr>
        <w:numPr>
          <w:ilvl w:val="0"/>
          <w:numId w:val="5"/>
        </w:numPr>
        <w:spacing w:before="0"/>
      </w:pPr>
      <w:r w:rsidRPr="0086723C">
        <w:t xml:space="preserve">en övergång från årliga avgifter till att ta ut avgiften för hela eller delar av garantiperioden i förväg övervägs, </w:t>
      </w:r>
    </w:p>
    <w:p w:rsidR="001A5319" w:rsidRPr="0086723C" w:rsidRDefault="001A5319">
      <w:pPr>
        <w:numPr>
          <w:ilvl w:val="0"/>
          <w:numId w:val="5"/>
        </w:numPr>
        <w:spacing w:before="0"/>
      </w:pPr>
      <w:r w:rsidRPr="0086723C">
        <w:t>BKN i fortsättningen fastställer garantivillkoren och inte som nu regerin</w:t>
      </w:r>
      <w:r w:rsidRPr="0086723C">
        <w:t>g</w:t>
      </w:r>
      <w:r w:rsidRPr="0086723C">
        <w:t>en,</w:t>
      </w:r>
    </w:p>
    <w:p w:rsidR="001A5319" w:rsidRPr="0086723C" w:rsidRDefault="001A5319">
      <w:pPr>
        <w:numPr>
          <w:ilvl w:val="0"/>
          <w:numId w:val="5"/>
        </w:numPr>
        <w:spacing w:before="0"/>
      </w:pPr>
      <w:r w:rsidRPr="0086723C">
        <w:t>BKN får i uppdrag att utforma konkreta förslag utifrån de av utredaren red</w:t>
      </w:r>
      <w:r w:rsidRPr="0086723C">
        <w:t>o</w:t>
      </w:r>
      <w:r w:rsidRPr="0086723C">
        <w:t>visade förslagen.</w:t>
      </w:r>
    </w:p>
    <w:p w:rsidR="001A5319" w:rsidRPr="0086723C" w:rsidRDefault="001A5319">
      <w:r w:rsidRPr="0086723C">
        <w:t>De motiv som utredaren redovisar för sina förslag är i korthet följande:</w:t>
      </w:r>
    </w:p>
    <w:p w:rsidR="001A5319" w:rsidRPr="0086723C" w:rsidRDefault="001A5319">
      <w:pPr>
        <w:pStyle w:val="Normaltindrag"/>
      </w:pPr>
      <w:r w:rsidRPr="0086723C">
        <w:t>BKN-systemet har brister som behöver rättas till för att det skall kunna medverka till att förverkliga de bostadspolitiska målen. Utvärderingen visar att garantisystemet har positiv betydelse för bostadsbyggandet i tillväxtreg</w:t>
      </w:r>
      <w:r w:rsidRPr="0086723C">
        <w:t>i</w:t>
      </w:r>
      <w:r w:rsidRPr="0086723C">
        <w:t xml:space="preserve">onernas ytterområden. </w:t>
      </w:r>
    </w:p>
    <w:p w:rsidR="001A5319" w:rsidRPr="0086723C" w:rsidRDefault="001A5319">
      <w:pPr>
        <w:pStyle w:val="Normaltindrag"/>
      </w:pPr>
      <w:r w:rsidRPr="0086723C">
        <w:t>Kreditgarantin är enligt utredaren inte en ”äkta” garanti i den meningen att utgångspunkterna leder till att BKN undviker att skador uppstår och att a</w:t>
      </w:r>
      <w:r w:rsidRPr="0086723C">
        <w:t>v</w:t>
      </w:r>
      <w:r w:rsidRPr="0086723C">
        <w:t>giftssättningen begränsar vilka projekt som BKN kan garantera. Detta skapar en osäkerhet om garantins värde som gör att risktagandet hos kreditgivarna minskar och som håller tillbaka by</w:t>
      </w:r>
      <w:r w:rsidRPr="0086723C">
        <w:t>g</w:t>
      </w:r>
      <w:r w:rsidRPr="0086723C">
        <w:t>gandet.</w:t>
      </w:r>
    </w:p>
    <w:p w:rsidR="001A5319" w:rsidRPr="0086723C" w:rsidRDefault="001A5319">
      <w:pPr>
        <w:pStyle w:val="Normaltindrag"/>
      </w:pPr>
      <w:r w:rsidRPr="0086723C">
        <w:t>Statens engagemang måste tjäna ett reellt syfte och bostadspolitiska motiv måste finnas om BKN-systemet skall behållas. Utredaren konstaterar att det finns bärande bostads- och regionalpolitiska skäl för att behålla de statliga kreditgarantierna. Samtidigt anförs att branschen av i första hand kommers</w:t>
      </w:r>
      <w:r w:rsidRPr="0086723C">
        <w:t>i</w:t>
      </w:r>
      <w:r w:rsidRPr="0086723C">
        <w:t>ella skäl inte är intresserad av att utveckla ett privat alternativ, men att exi</w:t>
      </w:r>
      <w:r w:rsidRPr="0086723C">
        <w:t>s</w:t>
      </w:r>
      <w:r w:rsidRPr="0086723C">
        <w:t>tensen av BKN inte utestänger sådana alternativ från att växa fram.</w:t>
      </w:r>
    </w:p>
    <w:p w:rsidR="001A5319" w:rsidRPr="0086723C" w:rsidRDefault="001A5319">
      <w:pPr>
        <w:pStyle w:val="Normaltindrag"/>
      </w:pPr>
      <w:r w:rsidRPr="0086723C">
        <w:t>Utan att här gå in i detalj på de förslag som Riksdagens revisorer respekt</w:t>
      </w:r>
      <w:r w:rsidRPr="0086723C">
        <w:t>i</w:t>
      </w:r>
      <w:r w:rsidRPr="0086723C">
        <w:t xml:space="preserve">ve den särskilde utredaren lagt fram avseende de statliga kreditgarantierna på bostadsområdet kan utskottet konstatera att förslagen i väsentliga avseenden  uppvisar en betydande samstämmighet. </w:t>
      </w:r>
    </w:p>
    <w:p w:rsidR="001A5319" w:rsidRPr="0086723C" w:rsidRDefault="001A5319">
      <w:pPr>
        <w:pStyle w:val="Normaltindrag"/>
      </w:pPr>
      <w:r w:rsidRPr="0086723C">
        <w:t>Både revisorerna och utredaren har sålunda i sin granskning funnit att den nya garantimodellen inte har genomförts fullt ut för BKN. Såväl revisorerna som utredaren riktar också kritik mot premiesättningen och mot metoden för att fastställa garantivillkoren. Det finns alltså i viktiga principiella frågor en gemensa</w:t>
      </w:r>
      <w:r w:rsidRPr="0086723C">
        <w:t xml:space="preserve">m syn på behovet av förändringar. Även enligt utskottets mening finns det anledning att nu överväga de statliga kreditgarantiernas roll och utformning när det gäller bostadsinvesteringar. Till grund för de förordade övervägandena bör förutom Riksdagens revisorers förslag ligga den särskilde utredarens förslag och remissbehandlingen av detta. Det får närmast anses vara en självklarhet att de fortsatta övervägandena skall ha som utgångspunkt att framtida garantier skall utformas så att de fyller sitt avsedda </w:t>
      </w:r>
      <w:r w:rsidRPr="0086723C">
        <w:t>syfte. Som anfördes redan i samband med införandet av de nuvarande kreditgarantierna 1992 bör garantin utformas så att den utgör ett stöd för sådant önskvärt by</w:t>
      </w:r>
      <w:r w:rsidRPr="0086723C">
        <w:t>g</w:t>
      </w:r>
      <w:r w:rsidRPr="0086723C">
        <w:t>gande som annars inte skulle komma till stånd. Garantin bör sålunda unde</w:t>
      </w:r>
      <w:r w:rsidRPr="0086723C">
        <w:t>r</w:t>
      </w:r>
      <w:r w:rsidRPr="0086723C">
        <w:t>lätta den nödvändiga kreditgivningen liksom igångsättningen av sådana byggnadsprojekt. Övervägandena bör enligt utskottets mening därför göras ur ett brett perspektiv där inte minst bostad</w:t>
      </w:r>
      <w:r w:rsidRPr="0086723C">
        <w:t>s</w:t>
      </w:r>
      <w:r w:rsidRPr="0086723C">
        <w:t xml:space="preserve">politiska motiv vägs in. </w:t>
      </w:r>
    </w:p>
    <w:p w:rsidR="001A5319" w:rsidRPr="0086723C" w:rsidRDefault="001A5319">
      <w:pPr>
        <w:pStyle w:val="Stockholm"/>
      </w:pPr>
      <w:r w:rsidRPr="0086723C">
        <w:t>Stockholm den 21 mars 2000</w:t>
      </w:r>
    </w:p>
    <w:p w:rsidR="001A5319" w:rsidRPr="0086723C" w:rsidRDefault="001A5319">
      <w:pPr>
        <w:pStyle w:val="Vgnar"/>
      </w:pPr>
      <w:r w:rsidRPr="0086723C">
        <w:t>På bostadsutskottets vägnar</w:t>
      </w:r>
    </w:p>
    <w:p w:rsidR="001A5319" w:rsidRPr="0086723C" w:rsidRDefault="001A5319">
      <w:pPr>
        <w:pStyle w:val="Ordfnamn"/>
      </w:pPr>
      <w:bookmarkStart w:id="24" w:name="Ordförande"/>
      <w:bookmarkEnd w:id="24"/>
      <w:r w:rsidRPr="0086723C">
        <w:t xml:space="preserve">Knut Billing </w:t>
      </w:r>
    </w:p>
    <w:p w:rsidR="001A5319" w:rsidRPr="0086723C" w:rsidRDefault="001A5319">
      <w:pPr>
        <w:pStyle w:val="Deltagare"/>
      </w:pPr>
      <w:bookmarkStart w:id="25" w:name="Deltagare"/>
      <w:bookmarkEnd w:id="25"/>
      <w:r w:rsidRPr="0086723C">
        <w:t>I beslutet har deltagit: Knut Billing (m), Lennart Nilsson (s), Bengt-Ola Ryttar (s), Lilian Virgin (s), Owe Hellberg (v), Ulf Björklund (kd), Sten Andersson (m), Carina Moberg (s), Inga Berggren (m), Anders Ygeman (s), Sten Lundström (v), Ulla-Britt Hagström (kd), Carl-Erik Skårman (m), Ri</w:t>
      </w:r>
      <w:r w:rsidRPr="0086723C">
        <w:t>g</w:t>
      </w:r>
      <w:r w:rsidRPr="0086723C">
        <w:t>mor Stenmark (c), Yvonne Ångström (fp), Carina Adolfsson (s) och Leif Jacobsson (s).</w:t>
      </w:r>
      <w:bookmarkStart w:id="26" w:name="Nästa_Reservation"/>
      <w:bookmarkEnd w:id="26"/>
      <w:r w:rsidRPr="0086723C">
        <w:t xml:space="preserve">   </w:t>
      </w:r>
    </w:p>
    <w:p w:rsidR="001A5319" w:rsidRPr="0086723C" w:rsidRDefault="001A5319">
      <w:pPr>
        <w:pStyle w:val="Normaltindrag"/>
        <w:ind w:firstLine="0"/>
      </w:pPr>
    </w:p>
    <w:p w:rsidR="001A5319" w:rsidRPr="0086723C" w:rsidRDefault="001A5319">
      <w:pPr>
        <w:pStyle w:val="Normaltindrag"/>
        <w:ind w:firstLine="0"/>
      </w:pPr>
    </w:p>
    <w:p w:rsidR="001A5319" w:rsidRPr="0086723C" w:rsidRDefault="001A5319">
      <w:pPr>
        <w:pStyle w:val="Tryckort"/>
        <w:framePr w:wrap="around"/>
      </w:pPr>
      <w:r w:rsidRPr="0086723C">
        <w:t>Elanders Gotab, Stockholm  2000</w:t>
      </w:r>
    </w:p>
    <w:p w:rsidR="001A5319" w:rsidRPr="0086723C" w:rsidRDefault="001A5319">
      <w:pPr>
        <w:pStyle w:val="Normaltindrag"/>
        <w:ind w:firstLine="0"/>
      </w:pPr>
    </w:p>
    <w:sectPr w:rsidR="001A5319" w:rsidRPr="0086723C">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319" w:rsidRPr="0086723C" w:rsidRDefault="001A5319">
      <w:pPr>
        <w:spacing w:before="0" w:line="240" w:lineRule="auto"/>
      </w:pPr>
      <w:r w:rsidRPr="0086723C">
        <w:separator/>
      </w:r>
    </w:p>
  </w:endnote>
  <w:endnote w:type="continuationSeparator" w:id="0">
    <w:p w:rsidR="001A5319" w:rsidRPr="0086723C" w:rsidRDefault="001A5319">
      <w:pPr>
        <w:spacing w:before="0" w:line="240" w:lineRule="auto"/>
      </w:pPr>
      <w:r w:rsidRPr="008672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319" w:rsidRPr="0086723C" w:rsidRDefault="001A5319">
    <w:pPr>
      <w:pStyle w:val="SidfotH"/>
      <w:framePr w:wrap="around"/>
    </w:pPr>
    <w:r w:rsidRPr="0086723C">
      <w:fldChar w:fldCharType="begin" w:fldLock="1"/>
    </w:r>
    <w:r w:rsidRPr="0086723C">
      <w:instrText xml:space="preserve"> PAGE </w:instrText>
    </w:r>
    <w:r w:rsidRPr="0086723C">
      <w:fldChar w:fldCharType="separate"/>
    </w:r>
    <w:r w:rsidRPr="0086723C">
      <w:t>1</w:t>
    </w:r>
    <w:r w:rsidRPr="0086723C">
      <w:fldChar w:fldCharType="end"/>
    </w:r>
  </w:p>
  <w:p w:rsidR="001A5319" w:rsidRPr="0086723C" w:rsidRDefault="001A53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319" w:rsidRPr="0086723C" w:rsidRDefault="001A5319">
      <w:pPr>
        <w:pStyle w:val="Sidfot"/>
      </w:pPr>
    </w:p>
  </w:footnote>
  <w:footnote w:type="continuationSeparator" w:id="0">
    <w:p w:rsidR="001A5319" w:rsidRPr="0086723C" w:rsidRDefault="001A5319">
      <w:pPr>
        <w:spacing w:before="0" w:line="240" w:lineRule="auto"/>
      </w:pPr>
      <w:r w:rsidRPr="008672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319" w:rsidRPr="0086723C" w:rsidRDefault="001A5319">
    <w:pPr>
      <w:pStyle w:val="SidhuvudKant"/>
      <w:framePr w:w="1758" w:h="2744" w:hRule="exact" w:wrap="around" w:vAnchor="page" w:hAnchor="page" w:x="7372" w:y="568" w:anchorLock="0"/>
    </w:pPr>
  </w:p>
  <w:p w:rsidR="001A5319" w:rsidRPr="0086723C" w:rsidRDefault="001A53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552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398435AC"/>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DF1278C"/>
    <w:multiLevelType w:val="singleLevel"/>
    <w:tmpl w:val="67ACB73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7841B5"/>
    <w:multiLevelType w:val="singleLevel"/>
    <w:tmpl w:val="67ACB73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01C39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C5109E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867065761">
    <w:abstractNumId w:val="1"/>
  </w:num>
  <w:num w:numId="2" w16cid:durableId="1932543802">
    <w:abstractNumId w:val="2"/>
  </w:num>
  <w:num w:numId="3" w16cid:durableId="1157066563">
    <w:abstractNumId w:val="3"/>
  </w:num>
  <w:num w:numId="4" w16cid:durableId="870070739">
    <w:abstractNumId w:val="4"/>
  </w:num>
  <w:num w:numId="5" w16cid:durableId="274413478">
    <w:abstractNumId w:val="5"/>
  </w:num>
  <w:num w:numId="6" w16cid:durableId="26889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402DF5"/>
    <w:rsid w:val="001A5319"/>
    <w:rsid w:val="00402DF5"/>
    <w:rsid w:val="008672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C3D808-A61D-4A34-B794-73991E40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1307</Words>
  <Characters>8392</Characters>
  <Application>Microsoft Office Word</Application>
  <DocSecurity>4</DocSecurity>
  <Lines>161</Lines>
  <Paragraphs>55</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Bostadsutskottets yttrande</vt:lpstr>
      <vt:lpstr>Till finansutskottet</vt:lpstr>
      <vt:lpstr>Utskottet</vt:lpstr>
      <vt:lpstr>    Inledning</vt:lpstr>
      <vt:lpstr>    Garantigivningen vid Statens bostadskreditnämnd</vt:lpstr>
    </vt:vector>
  </TitlesOfParts>
  <Company>Riksdagen</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2000-03-23T12:38:00Z</cp:lastPrinted>
  <dcterms:created xsi:type="dcterms:W3CDTF">2025-12-15T22:28:00Z</dcterms:created>
  <dcterms:modified xsi:type="dcterms:W3CDTF">2025-12-15T22:28:00Z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