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617B" w:rsidRPr="0043516C" w:rsidRDefault="00B9617B" w:rsidP="004239F1">
      <w:pPr>
        <w:pStyle w:val="Hemstlrubrik"/>
      </w:pPr>
      <w:r w:rsidRPr="0043516C">
        <w:t>Förslag till riksdagsbeslut</w:t>
      </w:r>
    </w:p>
    <w:p w:rsidR="00B9617B" w:rsidRPr="0043516C" w:rsidRDefault="00B9617B" w:rsidP="00B9617B">
      <w:pPr>
        <w:pStyle w:val="Hemstlatt"/>
      </w:pPr>
      <w:r w:rsidRPr="0043516C">
        <w:t>Riksdagen beslutar avslå regeringens förslag (</w:t>
      </w:r>
      <w:r w:rsidR="0057366F" w:rsidRPr="0043516C">
        <w:t>F</w:t>
      </w:r>
      <w:r w:rsidRPr="0043516C">
        <w:t>örslagspunkt 2) att rik</w:t>
      </w:r>
      <w:r w:rsidRPr="0043516C">
        <w:t>s</w:t>
      </w:r>
      <w:r w:rsidRPr="0043516C">
        <w:t>dagen bemyndigar regeringen att föra över ett belopp som motsvarar stö</w:t>
      </w:r>
      <w:r w:rsidRPr="0043516C">
        <w:t>r</w:t>
      </w:r>
      <w:r w:rsidRPr="0043516C">
        <w:t>re delen av Patent- och registreringsverkets balanserade överskott till Bolag</w:t>
      </w:r>
      <w:r w:rsidRPr="0043516C">
        <w:t>s</w:t>
      </w:r>
      <w:r w:rsidRPr="0043516C">
        <w:t>verket.</w:t>
      </w:r>
    </w:p>
    <w:p w:rsidR="00B9617B" w:rsidRPr="0043516C" w:rsidRDefault="00B9617B" w:rsidP="00B9617B">
      <w:pPr>
        <w:pStyle w:val="Hemstlatt"/>
      </w:pPr>
      <w:r w:rsidRPr="0043516C">
        <w:t>Riksdagen beslutar avslå regeringens förslag (</w:t>
      </w:r>
      <w:r w:rsidR="0057366F" w:rsidRPr="0043516C">
        <w:t>F</w:t>
      </w:r>
      <w:r w:rsidRPr="0043516C">
        <w:t>örslagspunkt 9) att rik</w:t>
      </w:r>
      <w:r w:rsidRPr="0043516C">
        <w:t>s</w:t>
      </w:r>
      <w:r w:rsidRPr="0043516C">
        <w:t>dagen godkänner att uppdraget för Sveriges Bostadsfinansieringsaktieb</w:t>
      </w:r>
      <w:r w:rsidRPr="0043516C">
        <w:t>o</w:t>
      </w:r>
      <w:r w:rsidRPr="0043516C">
        <w:t>lag, SBAB, utvidgas till att även omfatta inlåning från allmänheten.</w:t>
      </w:r>
      <w:r w:rsidR="0057366F" w:rsidRPr="0043516C">
        <w:rPr>
          <w:vertAlign w:val="superscript"/>
        </w:rPr>
        <w:t>1</w:t>
      </w:r>
    </w:p>
    <w:p w:rsidR="00B9617B" w:rsidRPr="0043516C" w:rsidRDefault="00B9617B" w:rsidP="00B9617B">
      <w:pPr>
        <w:pStyle w:val="Hemstlatt"/>
      </w:pPr>
      <w:r w:rsidRPr="0043516C">
        <w:t>Riksdagen beslutar avslå regeringens förslag (</w:t>
      </w:r>
      <w:r w:rsidR="0057366F" w:rsidRPr="0043516C">
        <w:t>F</w:t>
      </w:r>
      <w:r w:rsidRPr="0043516C">
        <w:t>örslagspunkt 10) att rik</w:t>
      </w:r>
      <w:r w:rsidRPr="0043516C">
        <w:t>s</w:t>
      </w:r>
      <w:r w:rsidRPr="0043516C">
        <w:t>dagen bemyndigar regeringen att för 2005 besluta om låneramar i Rik</w:t>
      </w:r>
      <w:r w:rsidRPr="0043516C">
        <w:t>s</w:t>
      </w:r>
      <w:r w:rsidRPr="0043516C">
        <w:t>gäld</w:t>
      </w:r>
      <w:r w:rsidRPr="0043516C">
        <w:t>s</w:t>
      </w:r>
      <w:r w:rsidRPr="0043516C">
        <w:t>kontoret för SJ AB, Jernhusen AB och AB Swedecarrier.</w:t>
      </w:r>
    </w:p>
    <w:p w:rsidR="00B9617B" w:rsidRPr="0043516C" w:rsidRDefault="00B9617B" w:rsidP="00B9617B">
      <w:pPr>
        <w:pStyle w:val="Hemstlatt"/>
      </w:pPr>
      <w:r w:rsidRPr="0043516C">
        <w:t>Riksdagen tillkännager för regeringen som sin mening vad i motionen anförs om behovet av en långsiktigt hållbar lösning på problemen i st</w:t>
      </w:r>
      <w:r w:rsidRPr="0043516C">
        <w:t>a</w:t>
      </w:r>
      <w:r w:rsidRPr="0043516C">
        <w:t>tens olika hel- eller delägda företag inom tågsektorn.</w:t>
      </w:r>
      <w:r w:rsidR="0057366F" w:rsidRPr="0043516C">
        <w:rPr>
          <w:vertAlign w:val="superscript"/>
        </w:rPr>
        <w:t>2</w:t>
      </w:r>
    </w:p>
    <w:p w:rsidR="00B9617B" w:rsidRPr="0043516C" w:rsidRDefault="00B9617B" w:rsidP="00B9617B">
      <w:pPr>
        <w:pStyle w:val="Hemstlatt"/>
      </w:pPr>
      <w:r w:rsidRPr="0043516C">
        <w:t>Riksdagen avslår regeringens förslag (</w:t>
      </w:r>
      <w:r w:rsidR="0057366F" w:rsidRPr="0043516C">
        <w:t>F</w:t>
      </w:r>
      <w:r w:rsidRPr="0043516C">
        <w:t>örslagspunkt 12) att under 200</w:t>
      </w:r>
      <w:r w:rsidR="00B14BFE" w:rsidRPr="0043516C">
        <w:t>6</w:t>
      </w:r>
      <w:r w:rsidRPr="0043516C">
        <w:t xml:space="preserve"> vidta åtgärder för en förbättrad kapitalstruktur i statligt ägda bolag.</w:t>
      </w:r>
    </w:p>
    <w:p w:rsidR="00B9617B" w:rsidRPr="0043516C" w:rsidRDefault="00B9617B" w:rsidP="00CC35AB">
      <w:pPr>
        <w:pStyle w:val="Hemstlatt"/>
        <w:spacing w:after="40"/>
      </w:pPr>
      <w:r w:rsidRPr="0043516C">
        <w:t xml:space="preserve">Riksdagen anvisar med följande ändringar i förhållande till regeringens förslag anslagen under utgiftsområde 24 </w:t>
      </w:r>
      <w:r w:rsidR="0057366F" w:rsidRPr="0043516C">
        <w:t xml:space="preserve">Näringsliv </w:t>
      </w:r>
      <w:r w:rsidRPr="0043516C">
        <w:t>enligt uppställningen:</w:t>
      </w:r>
    </w:p>
    <w:tbl>
      <w:tblPr>
        <w:tblStyle w:val="Tabellrutnt"/>
        <w:tblW w:w="5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78"/>
        <w:gridCol w:w="1376"/>
      </w:tblGrid>
      <w:tr w:rsidR="00B9617B" w:rsidRPr="0043516C">
        <w:tc>
          <w:tcPr>
            <w:tcW w:w="4446" w:type="dxa"/>
            <w:tcBorders>
              <w:top w:val="single" w:sz="4" w:space="0" w:color="auto"/>
            </w:tcBorders>
          </w:tcPr>
          <w:p w:rsidR="00B9617B" w:rsidRPr="0043516C" w:rsidRDefault="00B9617B" w:rsidP="004239F1">
            <w:pPr>
              <w:spacing w:before="60" w:after="0" w:line="200" w:lineRule="exact"/>
              <w:rPr>
                <w:sz w:val="16"/>
                <w:szCs w:val="16"/>
              </w:rPr>
            </w:pPr>
            <w:r w:rsidRPr="0043516C">
              <w:rPr>
                <w:sz w:val="16"/>
                <w:szCs w:val="16"/>
              </w:rPr>
              <w:t>A 38:4 Turistfrämjande</w:t>
            </w:r>
          </w:p>
        </w:tc>
        <w:tc>
          <w:tcPr>
            <w:tcW w:w="1336" w:type="dxa"/>
            <w:tcBorders>
              <w:top w:val="single" w:sz="4" w:space="0" w:color="auto"/>
            </w:tcBorders>
          </w:tcPr>
          <w:p w:rsidR="00B9617B" w:rsidRPr="0043516C" w:rsidRDefault="00B9617B" w:rsidP="004239F1">
            <w:pPr>
              <w:spacing w:before="60" w:after="0" w:line="200" w:lineRule="exact"/>
              <w:jc w:val="right"/>
              <w:rPr>
                <w:sz w:val="16"/>
                <w:szCs w:val="16"/>
              </w:rPr>
            </w:pPr>
            <w:r w:rsidRPr="0043516C">
              <w:rPr>
                <w:sz w:val="16"/>
                <w:szCs w:val="16"/>
              </w:rPr>
              <w:t>10</w:t>
            </w:r>
            <w:r w:rsidR="0057366F" w:rsidRPr="0043516C">
              <w:rPr>
                <w:sz w:val="16"/>
                <w:szCs w:val="16"/>
              </w:rPr>
              <w:t xml:space="preserve"> </w:t>
            </w:r>
            <w:r w:rsidRPr="0043516C">
              <w:rPr>
                <w:sz w:val="16"/>
                <w:szCs w:val="16"/>
              </w:rPr>
              <w:t>000</w:t>
            </w:r>
            <w:r w:rsidR="0057366F" w:rsidRPr="0043516C">
              <w:rPr>
                <w:sz w:val="16"/>
                <w:szCs w:val="16"/>
              </w:rPr>
              <w:t xml:space="preserve"> </w:t>
            </w:r>
            <w:r w:rsidR="00B14BFE" w:rsidRPr="0043516C">
              <w:rPr>
                <w:sz w:val="16"/>
                <w:szCs w:val="16"/>
              </w:rPr>
              <w:t>000</w:t>
            </w:r>
          </w:p>
        </w:tc>
      </w:tr>
      <w:tr w:rsidR="00B9617B" w:rsidRPr="0043516C">
        <w:tc>
          <w:tcPr>
            <w:tcW w:w="4446" w:type="dxa"/>
          </w:tcPr>
          <w:p w:rsidR="00B9617B" w:rsidRPr="0043516C" w:rsidRDefault="00B9617B" w:rsidP="004239F1">
            <w:pPr>
              <w:spacing w:before="60" w:after="0" w:line="200" w:lineRule="exact"/>
              <w:rPr>
                <w:sz w:val="16"/>
                <w:szCs w:val="16"/>
              </w:rPr>
            </w:pPr>
            <w:r w:rsidRPr="0043516C">
              <w:rPr>
                <w:sz w:val="16"/>
                <w:szCs w:val="16"/>
              </w:rPr>
              <w:t>A 38:16 Konkurrensverket</w:t>
            </w:r>
          </w:p>
        </w:tc>
        <w:tc>
          <w:tcPr>
            <w:tcW w:w="1336" w:type="dxa"/>
          </w:tcPr>
          <w:p w:rsidR="00B9617B" w:rsidRPr="0043516C" w:rsidRDefault="00B9617B" w:rsidP="004239F1">
            <w:pPr>
              <w:spacing w:before="60" w:after="0" w:line="200" w:lineRule="exact"/>
              <w:jc w:val="right"/>
              <w:rPr>
                <w:sz w:val="16"/>
                <w:szCs w:val="16"/>
              </w:rPr>
            </w:pPr>
            <w:r w:rsidRPr="0043516C">
              <w:rPr>
                <w:sz w:val="16"/>
                <w:szCs w:val="16"/>
              </w:rPr>
              <w:t>5</w:t>
            </w:r>
            <w:r w:rsidR="0057366F" w:rsidRPr="0043516C">
              <w:rPr>
                <w:sz w:val="16"/>
                <w:szCs w:val="16"/>
              </w:rPr>
              <w:t xml:space="preserve"> </w:t>
            </w:r>
            <w:r w:rsidRPr="0043516C">
              <w:rPr>
                <w:sz w:val="16"/>
                <w:szCs w:val="16"/>
              </w:rPr>
              <w:t>00</w:t>
            </w:r>
            <w:r w:rsidR="00B14BFE" w:rsidRPr="0043516C">
              <w:rPr>
                <w:sz w:val="16"/>
                <w:szCs w:val="16"/>
              </w:rPr>
              <w:t>0</w:t>
            </w:r>
            <w:r w:rsidR="0057366F" w:rsidRPr="0043516C">
              <w:rPr>
                <w:sz w:val="16"/>
                <w:szCs w:val="16"/>
              </w:rPr>
              <w:t xml:space="preserve"> </w:t>
            </w:r>
            <w:r w:rsidR="00B14BFE" w:rsidRPr="0043516C">
              <w:rPr>
                <w:sz w:val="16"/>
                <w:szCs w:val="16"/>
              </w:rPr>
              <w:t>00</w:t>
            </w:r>
            <w:r w:rsidRPr="0043516C">
              <w:rPr>
                <w:sz w:val="16"/>
                <w:szCs w:val="16"/>
              </w:rPr>
              <w:t>0</w:t>
            </w:r>
          </w:p>
        </w:tc>
      </w:tr>
      <w:tr w:rsidR="00B9617B" w:rsidRPr="0043516C">
        <w:tc>
          <w:tcPr>
            <w:tcW w:w="4446" w:type="dxa"/>
          </w:tcPr>
          <w:p w:rsidR="00B9617B" w:rsidRPr="0043516C" w:rsidRDefault="00B9617B" w:rsidP="004239F1">
            <w:pPr>
              <w:spacing w:before="60" w:after="0" w:line="200" w:lineRule="exact"/>
              <w:rPr>
                <w:sz w:val="16"/>
                <w:szCs w:val="16"/>
              </w:rPr>
            </w:pPr>
            <w:r w:rsidRPr="0043516C">
              <w:rPr>
                <w:sz w:val="16"/>
                <w:szCs w:val="16"/>
              </w:rPr>
              <w:t>A 38:17 Konkurrensforskning</w:t>
            </w:r>
          </w:p>
        </w:tc>
        <w:tc>
          <w:tcPr>
            <w:tcW w:w="1336" w:type="dxa"/>
          </w:tcPr>
          <w:p w:rsidR="00B9617B" w:rsidRPr="0043516C" w:rsidRDefault="0057366F" w:rsidP="004239F1">
            <w:pPr>
              <w:spacing w:before="60" w:after="0" w:line="200" w:lineRule="exact"/>
              <w:jc w:val="right"/>
              <w:rPr>
                <w:sz w:val="16"/>
                <w:szCs w:val="16"/>
              </w:rPr>
            </w:pPr>
            <w:r w:rsidRPr="0043516C">
              <w:rPr>
                <w:sz w:val="16"/>
                <w:szCs w:val="16"/>
              </w:rPr>
              <w:t xml:space="preserve">1 </w:t>
            </w:r>
            <w:r w:rsidR="00B14BFE" w:rsidRPr="0043516C">
              <w:rPr>
                <w:sz w:val="16"/>
                <w:szCs w:val="16"/>
              </w:rPr>
              <w:t>000</w:t>
            </w:r>
            <w:r w:rsidRPr="0043516C">
              <w:rPr>
                <w:sz w:val="16"/>
                <w:szCs w:val="16"/>
              </w:rPr>
              <w:t xml:space="preserve"> </w:t>
            </w:r>
            <w:r w:rsidR="00B9617B" w:rsidRPr="0043516C">
              <w:rPr>
                <w:sz w:val="16"/>
                <w:szCs w:val="16"/>
              </w:rPr>
              <w:t>000</w:t>
            </w:r>
          </w:p>
        </w:tc>
      </w:tr>
      <w:tr w:rsidR="00B9617B" w:rsidRPr="0043516C">
        <w:tc>
          <w:tcPr>
            <w:tcW w:w="4446" w:type="dxa"/>
            <w:vAlign w:val="bottom"/>
          </w:tcPr>
          <w:p w:rsidR="00B9617B" w:rsidRPr="0043516C" w:rsidRDefault="00B9617B" w:rsidP="004239F1">
            <w:pPr>
              <w:spacing w:before="60" w:after="0" w:line="200" w:lineRule="exact"/>
              <w:rPr>
                <w:sz w:val="16"/>
                <w:szCs w:val="16"/>
              </w:rPr>
            </w:pPr>
            <w:r w:rsidRPr="0043516C">
              <w:rPr>
                <w:sz w:val="16"/>
                <w:szCs w:val="16"/>
              </w:rPr>
              <w:t>A 38:19 Kostnader för omstrukturering och genomlysning av statligt ägda företag m.m.</w:t>
            </w:r>
          </w:p>
        </w:tc>
        <w:tc>
          <w:tcPr>
            <w:tcW w:w="1336" w:type="dxa"/>
            <w:vAlign w:val="bottom"/>
          </w:tcPr>
          <w:p w:rsidR="00B9617B" w:rsidRPr="0043516C" w:rsidRDefault="0057366F" w:rsidP="004239F1">
            <w:pPr>
              <w:spacing w:before="60" w:after="0" w:line="200" w:lineRule="exact"/>
              <w:jc w:val="right"/>
              <w:rPr>
                <w:sz w:val="16"/>
                <w:szCs w:val="16"/>
              </w:rPr>
            </w:pPr>
            <w:r w:rsidRPr="0043516C">
              <w:rPr>
                <w:sz w:val="16"/>
                <w:szCs w:val="16"/>
              </w:rPr>
              <w:t>–</w:t>
            </w:r>
            <w:r w:rsidR="00B9617B" w:rsidRPr="0043516C">
              <w:rPr>
                <w:sz w:val="16"/>
                <w:szCs w:val="16"/>
              </w:rPr>
              <w:t>23</w:t>
            </w:r>
            <w:r w:rsidRPr="0043516C">
              <w:rPr>
                <w:sz w:val="16"/>
                <w:szCs w:val="16"/>
              </w:rPr>
              <w:t xml:space="preserve"> </w:t>
            </w:r>
            <w:r w:rsidR="00B9617B" w:rsidRPr="0043516C">
              <w:rPr>
                <w:sz w:val="16"/>
                <w:szCs w:val="16"/>
              </w:rPr>
              <w:t>15</w:t>
            </w:r>
            <w:r w:rsidR="00B14BFE" w:rsidRPr="0043516C">
              <w:rPr>
                <w:sz w:val="16"/>
                <w:szCs w:val="16"/>
              </w:rPr>
              <w:t>0</w:t>
            </w:r>
            <w:r w:rsidRPr="0043516C">
              <w:rPr>
                <w:sz w:val="16"/>
                <w:szCs w:val="16"/>
              </w:rPr>
              <w:t xml:space="preserve"> </w:t>
            </w:r>
            <w:r w:rsidR="00B14BFE" w:rsidRPr="0043516C">
              <w:rPr>
                <w:sz w:val="16"/>
                <w:szCs w:val="16"/>
              </w:rPr>
              <w:t>00</w:t>
            </w:r>
            <w:r w:rsidR="00B9617B" w:rsidRPr="0043516C">
              <w:rPr>
                <w:sz w:val="16"/>
                <w:szCs w:val="16"/>
              </w:rPr>
              <w:t>0</w:t>
            </w:r>
          </w:p>
        </w:tc>
      </w:tr>
      <w:tr w:rsidR="00B9617B" w:rsidRPr="0043516C">
        <w:tc>
          <w:tcPr>
            <w:tcW w:w="4446" w:type="dxa"/>
          </w:tcPr>
          <w:p w:rsidR="00B9617B" w:rsidRPr="0043516C" w:rsidRDefault="00B9617B" w:rsidP="004239F1">
            <w:pPr>
              <w:spacing w:before="60" w:after="0" w:line="200" w:lineRule="exact"/>
              <w:rPr>
                <w:sz w:val="16"/>
                <w:szCs w:val="16"/>
              </w:rPr>
            </w:pPr>
            <w:r w:rsidRPr="0043516C">
              <w:rPr>
                <w:sz w:val="16"/>
                <w:szCs w:val="16"/>
              </w:rPr>
              <w:t>A 38:20 Kapitalinsatser i statliga bolag</w:t>
            </w:r>
          </w:p>
        </w:tc>
        <w:tc>
          <w:tcPr>
            <w:tcW w:w="1336" w:type="dxa"/>
          </w:tcPr>
          <w:p w:rsidR="00B9617B" w:rsidRPr="0043516C" w:rsidRDefault="0057366F" w:rsidP="004239F1">
            <w:pPr>
              <w:spacing w:before="60" w:after="0" w:line="200" w:lineRule="exact"/>
              <w:jc w:val="right"/>
              <w:rPr>
                <w:sz w:val="16"/>
                <w:szCs w:val="16"/>
              </w:rPr>
            </w:pPr>
            <w:r w:rsidRPr="0043516C">
              <w:rPr>
                <w:sz w:val="16"/>
                <w:szCs w:val="16"/>
              </w:rPr>
              <w:t xml:space="preserve">–1 </w:t>
            </w:r>
            <w:r w:rsidR="00B14BFE" w:rsidRPr="0043516C">
              <w:rPr>
                <w:sz w:val="16"/>
                <w:szCs w:val="16"/>
              </w:rPr>
              <w:t>000</w:t>
            </w:r>
            <w:r w:rsidRPr="0043516C">
              <w:rPr>
                <w:sz w:val="16"/>
                <w:szCs w:val="16"/>
              </w:rPr>
              <w:t xml:space="preserve"> </w:t>
            </w:r>
            <w:r w:rsidR="00B9617B" w:rsidRPr="0043516C">
              <w:rPr>
                <w:sz w:val="16"/>
                <w:szCs w:val="16"/>
              </w:rPr>
              <w:t>000</w:t>
            </w:r>
          </w:p>
        </w:tc>
      </w:tr>
      <w:tr w:rsidR="00B9617B" w:rsidRPr="0043516C">
        <w:tc>
          <w:tcPr>
            <w:tcW w:w="4446" w:type="dxa"/>
          </w:tcPr>
          <w:p w:rsidR="00B9617B" w:rsidRPr="0043516C" w:rsidRDefault="00B9617B" w:rsidP="004239F1">
            <w:pPr>
              <w:spacing w:before="60" w:after="0" w:line="200" w:lineRule="exact"/>
              <w:rPr>
                <w:sz w:val="16"/>
                <w:szCs w:val="16"/>
              </w:rPr>
            </w:pPr>
            <w:r w:rsidRPr="0043516C">
              <w:rPr>
                <w:sz w:val="16"/>
                <w:szCs w:val="16"/>
              </w:rPr>
              <w:t>A 38:23 Utvecklingsprogram för ökad konkurrenskraft</w:t>
            </w:r>
          </w:p>
        </w:tc>
        <w:tc>
          <w:tcPr>
            <w:tcW w:w="1336" w:type="dxa"/>
          </w:tcPr>
          <w:p w:rsidR="00B9617B" w:rsidRPr="0043516C" w:rsidRDefault="0057366F" w:rsidP="004239F1">
            <w:pPr>
              <w:spacing w:before="60" w:after="0" w:line="200" w:lineRule="exact"/>
              <w:jc w:val="right"/>
              <w:rPr>
                <w:sz w:val="16"/>
                <w:szCs w:val="16"/>
              </w:rPr>
            </w:pPr>
            <w:r w:rsidRPr="0043516C">
              <w:rPr>
                <w:sz w:val="16"/>
                <w:szCs w:val="16"/>
              </w:rPr>
              <w:t>–</w:t>
            </w:r>
            <w:r w:rsidR="00B9617B" w:rsidRPr="0043516C">
              <w:rPr>
                <w:sz w:val="16"/>
                <w:szCs w:val="16"/>
              </w:rPr>
              <w:t>200</w:t>
            </w:r>
            <w:r w:rsidRPr="0043516C">
              <w:rPr>
                <w:sz w:val="16"/>
                <w:szCs w:val="16"/>
              </w:rPr>
              <w:t xml:space="preserve"> </w:t>
            </w:r>
            <w:r w:rsidR="00B14BFE" w:rsidRPr="0043516C">
              <w:rPr>
                <w:sz w:val="16"/>
                <w:szCs w:val="16"/>
              </w:rPr>
              <w:t>000</w:t>
            </w:r>
            <w:r w:rsidRPr="0043516C">
              <w:rPr>
                <w:sz w:val="16"/>
                <w:szCs w:val="16"/>
              </w:rPr>
              <w:t xml:space="preserve"> </w:t>
            </w:r>
            <w:r w:rsidR="00B9617B" w:rsidRPr="0043516C">
              <w:rPr>
                <w:sz w:val="16"/>
                <w:szCs w:val="16"/>
              </w:rPr>
              <w:t>000</w:t>
            </w:r>
          </w:p>
        </w:tc>
      </w:tr>
      <w:tr w:rsidR="00B9617B" w:rsidRPr="0043516C">
        <w:tc>
          <w:tcPr>
            <w:tcW w:w="4446" w:type="dxa"/>
          </w:tcPr>
          <w:p w:rsidR="00B9617B" w:rsidRPr="0043516C" w:rsidRDefault="00B9617B" w:rsidP="004239F1">
            <w:pPr>
              <w:spacing w:before="60" w:after="0" w:line="200" w:lineRule="exact"/>
              <w:rPr>
                <w:sz w:val="16"/>
                <w:szCs w:val="16"/>
              </w:rPr>
            </w:pPr>
            <w:r w:rsidRPr="0043516C">
              <w:rPr>
                <w:sz w:val="16"/>
                <w:szCs w:val="16"/>
              </w:rPr>
              <w:t>A 39:3 Exportfrämjande verksamhet</w:t>
            </w:r>
          </w:p>
        </w:tc>
        <w:tc>
          <w:tcPr>
            <w:tcW w:w="1336" w:type="dxa"/>
          </w:tcPr>
          <w:p w:rsidR="00B9617B" w:rsidRPr="0043516C" w:rsidRDefault="0057366F" w:rsidP="004239F1">
            <w:pPr>
              <w:spacing w:before="60" w:after="0" w:line="200" w:lineRule="exact"/>
              <w:jc w:val="right"/>
              <w:rPr>
                <w:sz w:val="16"/>
                <w:szCs w:val="16"/>
              </w:rPr>
            </w:pPr>
            <w:r w:rsidRPr="0043516C">
              <w:rPr>
                <w:sz w:val="16"/>
                <w:szCs w:val="16"/>
              </w:rPr>
              <w:t>–</w:t>
            </w:r>
            <w:r w:rsidR="00B9617B" w:rsidRPr="0043516C">
              <w:rPr>
                <w:sz w:val="16"/>
                <w:szCs w:val="16"/>
              </w:rPr>
              <w:t>78</w:t>
            </w:r>
            <w:r w:rsidRPr="0043516C">
              <w:rPr>
                <w:sz w:val="16"/>
                <w:szCs w:val="16"/>
              </w:rPr>
              <w:t xml:space="preserve"> </w:t>
            </w:r>
            <w:r w:rsidR="00B14BFE" w:rsidRPr="0043516C">
              <w:rPr>
                <w:sz w:val="16"/>
                <w:szCs w:val="16"/>
              </w:rPr>
              <w:t>000</w:t>
            </w:r>
            <w:r w:rsidRPr="0043516C">
              <w:rPr>
                <w:sz w:val="16"/>
                <w:szCs w:val="16"/>
              </w:rPr>
              <w:t xml:space="preserve"> </w:t>
            </w:r>
            <w:r w:rsidR="00B9617B" w:rsidRPr="0043516C">
              <w:rPr>
                <w:sz w:val="16"/>
                <w:szCs w:val="16"/>
              </w:rPr>
              <w:t>000</w:t>
            </w:r>
          </w:p>
        </w:tc>
      </w:tr>
      <w:tr w:rsidR="00B9617B" w:rsidRPr="0043516C">
        <w:tc>
          <w:tcPr>
            <w:tcW w:w="4446" w:type="dxa"/>
          </w:tcPr>
          <w:p w:rsidR="00B9617B" w:rsidRPr="0043516C" w:rsidRDefault="00B9617B" w:rsidP="004239F1">
            <w:pPr>
              <w:spacing w:before="60" w:after="0" w:line="200" w:lineRule="exact"/>
              <w:rPr>
                <w:sz w:val="16"/>
                <w:szCs w:val="16"/>
              </w:rPr>
            </w:pPr>
            <w:r w:rsidRPr="0043516C">
              <w:rPr>
                <w:sz w:val="16"/>
                <w:szCs w:val="16"/>
              </w:rPr>
              <w:t>A 40:5 Åtgärder på konsumentområdet</w:t>
            </w:r>
          </w:p>
        </w:tc>
        <w:tc>
          <w:tcPr>
            <w:tcW w:w="1336" w:type="dxa"/>
          </w:tcPr>
          <w:p w:rsidR="00B9617B" w:rsidRPr="0043516C" w:rsidRDefault="0057366F" w:rsidP="004239F1">
            <w:pPr>
              <w:spacing w:before="60" w:after="0" w:line="200" w:lineRule="exact"/>
              <w:jc w:val="right"/>
              <w:rPr>
                <w:sz w:val="16"/>
                <w:szCs w:val="16"/>
              </w:rPr>
            </w:pPr>
            <w:r w:rsidRPr="0043516C">
              <w:rPr>
                <w:sz w:val="16"/>
                <w:szCs w:val="16"/>
              </w:rPr>
              <w:t>–</w:t>
            </w:r>
            <w:r w:rsidR="00B9617B" w:rsidRPr="0043516C">
              <w:rPr>
                <w:sz w:val="16"/>
                <w:szCs w:val="16"/>
              </w:rPr>
              <w:t>8</w:t>
            </w:r>
            <w:r w:rsidRPr="0043516C">
              <w:rPr>
                <w:sz w:val="16"/>
                <w:szCs w:val="16"/>
              </w:rPr>
              <w:t xml:space="preserve"> </w:t>
            </w:r>
            <w:r w:rsidR="00B9617B" w:rsidRPr="0043516C">
              <w:rPr>
                <w:sz w:val="16"/>
                <w:szCs w:val="16"/>
              </w:rPr>
              <w:t>76</w:t>
            </w:r>
            <w:r w:rsidR="00B14BFE" w:rsidRPr="0043516C">
              <w:rPr>
                <w:sz w:val="16"/>
                <w:szCs w:val="16"/>
              </w:rPr>
              <w:t>0</w:t>
            </w:r>
            <w:r w:rsidRPr="0043516C">
              <w:rPr>
                <w:sz w:val="16"/>
                <w:szCs w:val="16"/>
              </w:rPr>
              <w:t xml:space="preserve"> </w:t>
            </w:r>
            <w:r w:rsidR="00B14BFE" w:rsidRPr="0043516C">
              <w:rPr>
                <w:sz w:val="16"/>
                <w:szCs w:val="16"/>
              </w:rPr>
              <w:t>00</w:t>
            </w:r>
            <w:r w:rsidR="00B9617B" w:rsidRPr="0043516C">
              <w:rPr>
                <w:sz w:val="16"/>
                <w:szCs w:val="16"/>
              </w:rPr>
              <w:t>0</w:t>
            </w:r>
          </w:p>
        </w:tc>
      </w:tr>
      <w:tr w:rsidR="00B9617B" w:rsidRPr="0043516C">
        <w:tc>
          <w:tcPr>
            <w:tcW w:w="4446" w:type="dxa"/>
            <w:tcBorders>
              <w:bottom w:val="single" w:sz="4" w:space="0" w:color="auto"/>
            </w:tcBorders>
          </w:tcPr>
          <w:p w:rsidR="00B9617B" w:rsidRPr="0043516C" w:rsidRDefault="00B9617B" w:rsidP="004239F1">
            <w:pPr>
              <w:spacing w:before="60" w:after="0" w:line="200" w:lineRule="exact"/>
              <w:rPr>
                <w:sz w:val="16"/>
                <w:szCs w:val="16"/>
              </w:rPr>
            </w:pPr>
            <w:r w:rsidRPr="0043516C">
              <w:rPr>
                <w:sz w:val="16"/>
                <w:szCs w:val="16"/>
              </w:rPr>
              <w:t>A 40:6 Bidrag till miljömärkning av produkter</w:t>
            </w:r>
          </w:p>
        </w:tc>
        <w:tc>
          <w:tcPr>
            <w:tcW w:w="1336" w:type="dxa"/>
            <w:tcBorders>
              <w:bottom w:val="single" w:sz="4" w:space="0" w:color="auto"/>
            </w:tcBorders>
          </w:tcPr>
          <w:p w:rsidR="00B9617B" w:rsidRPr="0043516C" w:rsidRDefault="0057366F" w:rsidP="004239F1">
            <w:pPr>
              <w:spacing w:before="60" w:after="0" w:line="200" w:lineRule="exact"/>
              <w:jc w:val="right"/>
              <w:rPr>
                <w:sz w:val="16"/>
                <w:szCs w:val="16"/>
              </w:rPr>
            </w:pPr>
            <w:r w:rsidRPr="0043516C">
              <w:rPr>
                <w:sz w:val="16"/>
                <w:szCs w:val="16"/>
              </w:rPr>
              <w:t>–</w:t>
            </w:r>
            <w:r w:rsidR="00B9617B" w:rsidRPr="0043516C">
              <w:rPr>
                <w:sz w:val="16"/>
                <w:szCs w:val="16"/>
              </w:rPr>
              <w:t>2</w:t>
            </w:r>
            <w:r w:rsidRPr="0043516C">
              <w:rPr>
                <w:sz w:val="16"/>
                <w:szCs w:val="16"/>
              </w:rPr>
              <w:t xml:space="preserve"> </w:t>
            </w:r>
            <w:r w:rsidR="00B9617B" w:rsidRPr="0043516C">
              <w:rPr>
                <w:sz w:val="16"/>
                <w:szCs w:val="16"/>
              </w:rPr>
              <w:t>187</w:t>
            </w:r>
            <w:r w:rsidRPr="0043516C">
              <w:rPr>
                <w:sz w:val="16"/>
                <w:szCs w:val="16"/>
              </w:rPr>
              <w:t xml:space="preserve"> </w:t>
            </w:r>
            <w:r w:rsidR="00B14BFE" w:rsidRPr="0043516C">
              <w:rPr>
                <w:sz w:val="16"/>
                <w:szCs w:val="16"/>
              </w:rPr>
              <w:t>000</w:t>
            </w:r>
          </w:p>
        </w:tc>
      </w:tr>
    </w:tbl>
    <w:p w:rsidR="0057366F" w:rsidRPr="0043516C" w:rsidRDefault="0057366F" w:rsidP="0057366F">
      <w:pPr>
        <w:pStyle w:val="Normaltindrag"/>
      </w:pPr>
    </w:p>
    <w:p w:rsidR="0057366F" w:rsidRPr="0043516C" w:rsidRDefault="0057366F" w:rsidP="004239F1">
      <w:pPr>
        <w:tabs>
          <w:tab w:val="left" w:pos="1620"/>
        </w:tabs>
        <w:spacing w:before="0" w:line="240" w:lineRule="auto"/>
        <w:rPr>
          <w:sz w:val="16"/>
          <w:szCs w:val="16"/>
        </w:rPr>
      </w:pPr>
      <w:r w:rsidRPr="0043516C">
        <w:rPr>
          <w:szCs w:val="19"/>
          <w:vertAlign w:val="superscript"/>
        </w:rPr>
        <w:t>1</w:t>
      </w:r>
      <w:r w:rsidRPr="0043516C">
        <w:t xml:space="preserve"> </w:t>
      </w:r>
      <w:r w:rsidRPr="0043516C">
        <w:rPr>
          <w:sz w:val="16"/>
          <w:szCs w:val="16"/>
        </w:rPr>
        <w:t>Yrkande 2 hänvisat till FiU.</w:t>
      </w:r>
    </w:p>
    <w:p w:rsidR="0057366F" w:rsidRPr="0043516C" w:rsidRDefault="0057366F" w:rsidP="004239F1">
      <w:pPr>
        <w:tabs>
          <w:tab w:val="left" w:pos="1620"/>
        </w:tabs>
        <w:spacing w:before="0" w:line="240" w:lineRule="auto"/>
      </w:pPr>
      <w:r w:rsidRPr="0043516C">
        <w:rPr>
          <w:szCs w:val="19"/>
          <w:vertAlign w:val="superscript"/>
        </w:rPr>
        <w:t>2</w:t>
      </w:r>
      <w:r w:rsidRPr="0043516C">
        <w:t xml:space="preserve"> </w:t>
      </w:r>
      <w:r w:rsidRPr="0043516C">
        <w:rPr>
          <w:sz w:val="16"/>
          <w:szCs w:val="16"/>
        </w:rPr>
        <w:t>Yrkande 4 hänvisat till TU.</w:t>
      </w:r>
    </w:p>
    <w:p w:rsidR="00B9617B" w:rsidRPr="0043516C" w:rsidRDefault="00B9617B" w:rsidP="004239F1">
      <w:pPr>
        <w:pStyle w:val="Rubrik1"/>
        <w:pageBreakBefore/>
        <w:spacing w:before="0"/>
      </w:pPr>
      <w:r w:rsidRPr="0043516C">
        <w:lastRenderedPageBreak/>
        <w:t>Utgiftsområde 24: Näringsliv</w:t>
      </w:r>
    </w:p>
    <w:p w:rsidR="00B9617B" w:rsidRPr="0043516C" w:rsidRDefault="00B9617B" w:rsidP="00B9617B">
      <w:r w:rsidRPr="0043516C">
        <w:t>Det krävs en rad förändringar för att Sverige ska</w:t>
      </w:r>
      <w:r w:rsidR="00B14BFE" w:rsidRPr="0043516C">
        <w:t>ll</w:t>
      </w:r>
      <w:r w:rsidRPr="0043516C">
        <w:t xml:space="preserve"> bli ett land som bättre än andra attraherar och stimulerar företagande. Det handlar bl</w:t>
      </w:r>
      <w:r w:rsidR="004239F1" w:rsidRPr="0043516C">
        <w:t>.</w:t>
      </w:r>
      <w:r w:rsidRPr="0043516C">
        <w:t>a</w:t>
      </w:r>
      <w:r w:rsidR="004239F1" w:rsidRPr="0043516C">
        <w:t>.</w:t>
      </w:r>
      <w:r w:rsidRPr="0043516C">
        <w:t xml:space="preserve"> om att avveckla etableringshinder för småföretagare, regelförenklingar utan dröjsmål, ökad rättssäkerhet, en företagarvänligare miljöbalk, en öppen och rörlig arbet</w:t>
      </w:r>
      <w:r w:rsidRPr="0043516C">
        <w:t>s</w:t>
      </w:r>
      <w:r w:rsidRPr="0043516C">
        <w:t>marknad, bättre konkurrensvillkor, slopad överbeskattning av företagande och investeringar, förbättrad etableringsfrihet och upphandling, avpolitiserad energiförsörjning och en modern infrastruktur.</w:t>
      </w:r>
    </w:p>
    <w:p w:rsidR="00B9617B" w:rsidRPr="0043516C" w:rsidRDefault="00B9617B" w:rsidP="00B9617B">
      <w:pPr>
        <w:pStyle w:val="Normaltindrag"/>
      </w:pPr>
      <w:r w:rsidRPr="0043516C">
        <w:t>För att Sverige</w:t>
      </w:r>
      <w:r w:rsidRPr="0043516C">
        <w:rPr>
          <w:snapToGrid w:val="0"/>
        </w:rPr>
        <w:t xml:space="preserve"> ska</w:t>
      </w:r>
      <w:r w:rsidR="00B14BFE" w:rsidRPr="0043516C">
        <w:rPr>
          <w:snapToGrid w:val="0"/>
        </w:rPr>
        <w:t>ll</w:t>
      </w:r>
      <w:r w:rsidRPr="0043516C">
        <w:rPr>
          <w:snapToGrid w:val="0"/>
        </w:rPr>
        <w:t xml:space="preserve"> </w:t>
      </w:r>
      <w:r w:rsidRPr="0043516C">
        <w:t>få ett bättre företagsklimat måste konkurrenssituati</w:t>
      </w:r>
      <w:r w:rsidRPr="0043516C">
        <w:t>o</w:t>
      </w:r>
      <w:r w:rsidRPr="0043516C">
        <w:t>nen bli hälsosammare, avregleringsarbetet prioriteras, arbetsmarknads- och företagslagarna reformeras, skatterna sänkas och utbildningssituationen fö</w:t>
      </w:r>
      <w:r w:rsidRPr="0043516C">
        <w:t>r</w:t>
      </w:r>
      <w:r w:rsidRPr="0043516C">
        <w:t>bättras.</w:t>
      </w:r>
    </w:p>
    <w:p w:rsidR="00B9617B" w:rsidRPr="0043516C" w:rsidRDefault="00B9617B" w:rsidP="00B9617B">
      <w:pPr>
        <w:pStyle w:val="Normaltindrag"/>
      </w:pPr>
      <w:r w:rsidRPr="0043516C">
        <w:t xml:space="preserve">De prioriteringar som görs under utgiftsområde 24 Näringsliv bidrar i mycket ringa utsträckning till </w:t>
      </w:r>
      <w:r w:rsidR="004239F1" w:rsidRPr="0043516C">
        <w:t>e</w:t>
      </w:r>
      <w:r w:rsidR="00B14BFE" w:rsidRPr="0043516C">
        <w:t xml:space="preserve">tt </w:t>
      </w:r>
      <w:r w:rsidRPr="0043516C">
        <w:t>förbättrat företagsklimat</w:t>
      </w:r>
      <w:r w:rsidR="00B14BFE" w:rsidRPr="0043516C">
        <w:t>et</w:t>
      </w:r>
      <w:r w:rsidRPr="0043516C">
        <w:t>. Vi finner därför att en rad förändringar är angelägna.</w:t>
      </w:r>
    </w:p>
    <w:p w:rsidR="00B9617B" w:rsidRPr="0043516C" w:rsidRDefault="00B9617B" w:rsidP="00B9617B">
      <w:pPr>
        <w:pStyle w:val="Normaltindrag"/>
      </w:pPr>
      <w:r w:rsidRPr="0043516C">
        <w:t>PRV:s överskott har uppkommit inom verksamhetsområdet patent, främst genom fluktuationer i de internationella systemen som legat utanför PRV:s styrning. Omvärlden inom patentområdet fortsätter att förändras snabbt. Inom överskådlig tid kommer med stor sannolikhet ett antal händelser att inträffa som på ett avgörande sätt kommer att påverka PRV:s ekonomi. Exempel på sådana är</w:t>
      </w:r>
      <w:r w:rsidR="004239F1" w:rsidRPr="0043516C">
        <w:t xml:space="preserve"> följande</w:t>
      </w:r>
      <w:r w:rsidRPr="0043516C">
        <w:t xml:space="preserve"> a) Den framtida situationen för PCT i Europa</w:t>
      </w:r>
      <w:r w:rsidR="00B14BFE" w:rsidRPr="0043516C">
        <w:t>,</w:t>
      </w:r>
      <w:r w:rsidRPr="0043516C">
        <w:t xml:space="preserve"> med Finland som PCT-myndighet</w:t>
      </w:r>
      <w:r w:rsidR="00B14BFE" w:rsidRPr="0043516C">
        <w:t>,</w:t>
      </w:r>
      <w:r w:rsidRPr="0043516C">
        <w:t xml:space="preserve"> och ett upphörande av PCT-partnership. b) En ko</w:t>
      </w:r>
      <w:r w:rsidRPr="0043516C">
        <w:t>m</w:t>
      </w:r>
      <w:r w:rsidRPr="0043516C">
        <w:t>mande ratificering av Londonprotokollet, med lättnader i översättningskr</w:t>
      </w:r>
      <w:r w:rsidRPr="0043516C">
        <w:t>a</w:t>
      </w:r>
      <w:r w:rsidRPr="0043516C">
        <w:t>ven, vilket påverkar PRV:s publiceringsverksamhet. c) Ett möjligt geme</w:t>
      </w:r>
      <w:r w:rsidRPr="0043516C">
        <w:t>n</w:t>
      </w:r>
      <w:r w:rsidRPr="0043516C">
        <w:t>skapspatent, något som är en målsättning inom Lissabonagendan. Detta kommer att leda till en kraftig nedgång när det gäller årsavgifter för s.k. eur</w:t>
      </w:r>
      <w:r w:rsidRPr="0043516C">
        <w:t>o</w:t>
      </w:r>
      <w:r w:rsidRPr="0043516C">
        <w:t>peiska patent. Redan varje enskild händelse ovan innebär en förändrad ek</w:t>
      </w:r>
      <w:r w:rsidRPr="0043516C">
        <w:t>o</w:t>
      </w:r>
      <w:r w:rsidRPr="0043516C">
        <w:t xml:space="preserve">nomisk situation för PRV uppgående till tiotals miljoner kronor, i vissa fall flera tiotals miljoner kronor. </w:t>
      </w:r>
    </w:p>
    <w:p w:rsidR="00B9617B" w:rsidRPr="0043516C" w:rsidRDefault="00B9617B" w:rsidP="00B9617B">
      <w:pPr>
        <w:pStyle w:val="Normaltindrag"/>
      </w:pPr>
      <w:r w:rsidRPr="0043516C">
        <w:t>Till detta kommer att PRV har upplevt ett trendbrott i och med att antalet ansökningar inom patentområdet fortsätter att minska trots en relativt gyn</w:t>
      </w:r>
      <w:r w:rsidRPr="0043516C">
        <w:t>n</w:t>
      </w:r>
      <w:r w:rsidRPr="0043516C">
        <w:t>sam konjunktur. PRV vill därför använda delar av överskottet till att göra omfattande informationssatsningar för att öka medvetenheten hos svenskt näringsliv om värdet och nyttan med immateriellt rättsskydd. Vi avvisar dä</w:t>
      </w:r>
      <w:r w:rsidRPr="0043516C">
        <w:t>r</w:t>
      </w:r>
      <w:r w:rsidRPr="0043516C">
        <w:t>för regeringens förslag att dränera PRV på resurser.</w:t>
      </w:r>
    </w:p>
    <w:p w:rsidR="00B9617B" w:rsidRPr="0043516C" w:rsidRDefault="00B9617B" w:rsidP="00B9617B">
      <w:pPr>
        <w:pStyle w:val="Normaltindrag"/>
      </w:pPr>
      <w:r w:rsidRPr="0043516C">
        <w:t>Vi anser att en särskild satsning bör göras på turistfrämjande och föreslår därför en ökning av anlaget till detta ändamål.</w:t>
      </w:r>
    </w:p>
    <w:p w:rsidR="00B9617B" w:rsidRPr="0043516C" w:rsidRDefault="00B9617B" w:rsidP="00B9617B">
      <w:pPr>
        <w:pStyle w:val="Normaltindrag"/>
      </w:pPr>
      <w:r w:rsidRPr="0043516C">
        <w:t>För ekonomins funktionssätt är en väl fungerande och stark konkurren</w:t>
      </w:r>
      <w:r w:rsidRPr="0043516C">
        <w:t>s</w:t>
      </w:r>
      <w:r w:rsidRPr="0043516C">
        <w:t>övervakning viktig. Vi menar att Konkurrensverket bör stärkas och ges ett vidare mandat. Verket bör bl.a. ge en ökad prioritet åt att belysa de konku</w:t>
      </w:r>
      <w:r w:rsidRPr="0043516C">
        <w:t>r</w:t>
      </w:r>
      <w:r w:rsidRPr="0043516C">
        <w:t>renssnedvridningar som kan följa av offentliga sektorns monopol samt ko</w:t>
      </w:r>
      <w:r w:rsidRPr="0043516C">
        <w:t>m</w:t>
      </w:r>
      <w:r w:rsidRPr="0043516C">
        <w:t>munalt och statligt ägande av bolag som ko</w:t>
      </w:r>
      <w:r w:rsidRPr="0043516C">
        <w:t>n</w:t>
      </w:r>
      <w:r w:rsidRPr="0043516C">
        <w:t>kurrerar med privata företag. Vi vill därför höja anslaget 38:16 Konkurrensverket i förhållande till regeringens förslag.</w:t>
      </w:r>
    </w:p>
    <w:p w:rsidR="00B9617B" w:rsidRPr="0043516C" w:rsidRDefault="00B9617B" w:rsidP="00B9617B">
      <w:pPr>
        <w:pStyle w:val="Normaltindrag"/>
      </w:pPr>
      <w:r w:rsidRPr="0043516C">
        <w:t>Även anslaget 38:17 Konkurrensforskning bör tillföras ytterligare medel. Inte minst i ett EU-perspektiv är det viktigt att Sverige ligger väl till inom konkurrensforskningens område.</w:t>
      </w:r>
    </w:p>
    <w:p w:rsidR="00B9617B" w:rsidRPr="0043516C" w:rsidRDefault="00B9617B" w:rsidP="00B9617B">
      <w:pPr>
        <w:pStyle w:val="Normaltindrag"/>
      </w:pPr>
      <w:r w:rsidRPr="0043516C">
        <w:t>En central moderat ståndpunkt är att staten som huvudregel inte ska</w:t>
      </w:r>
      <w:r w:rsidR="004239F1" w:rsidRPr="0043516C">
        <w:t>ll</w:t>
      </w:r>
      <w:r w:rsidRPr="0043516C">
        <w:t xml:space="preserve"> äga företag. Om staten ska</w:t>
      </w:r>
      <w:r w:rsidR="00CC35AB" w:rsidRPr="0043516C">
        <w:t>ll</w:t>
      </w:r>
      <w:r w:rsidRPr="0043516C">
        <w:t xml:space="preserve"> äga företag krävs mycket goda skäl för detta. Rege</w:t>
      </w:r>
      <w:r w:rsidRPr="0043516C">
        <w:t>r</w:t>
      </w:r>
      <w:r w:rsidRPr="0043516C">
        <w:t>ingen föreslår att anslaget 38:20 Kostnader för omstrukturering och geno</w:t>
      </w:r>
      <w:r w:rsidRPr="0043516C">
        <w:t>m</w:t>
      </w:r>
      <w:r w:rsidRPr="0043516C">
        <w:t>lysning av statligt ägda företag m.m. i huvudsak skall användas till omstru</w:t>
      </w:r>
      <w:r w:rsidRPr="0043516C">
        <w:t>k</w:t>
      </w:r>
      <w:r w:rsidRPr="0043516C">
        <w:t>turering av vissa statligt ägda företag m.m. Dock är det oklart vilka försäl</w:t>
      </w:r>
      <w:r w:rsidRPr="0043516C">
        <w:t>j</w:t>
      </w:r>
      <w:r w:rsidRPr="0043516C">
        <w:t>ningar av statligt aktieinnehav regeringen planerar, varför det inte kan utesl</w:t>
      </w:r>
      <w:r w:rsidRPr="0043516C">
        <w:t>u</w:t>
      </w:r>
      <w:r w:rsidRPr="0043516C">
        <w:t>tas att pengarna i praktiken är tänkta att användas till förvaltning av statligt ägda bolag, vilket vi finner anmärkningsvärt. Förvaltningen skall bolagen själva stå för och kostnader som uppstår i samband med de försäljningar som förhoppningsvis sker i framtiden skall täckas av försäljningsintäkten. Därmed kan anslaget avvecklas. Med samma argument vill vi avveckla anslaget 38:20 Kapitalinsatser i statliga bolag.</w:t>
      </w:r>
    </w:p>
    <w:p w:rsidR="00B9617B" w:rsidRPr="0043516C" w:rsidRDefault="00B9617B" w:rsidP="00B9617B">
      <w:pPr>
        <w:pStyle w:val="Normaltindrag"/>
      </w:pPr>
      <w:r w:rsidRPr="0043516C">
        <w:t>Regeringens nya anslag för ”utvecklingsprogram för ökad konkurren</w:t>
      </w:r>
      <w:r w:rsidRPr="0043516C">
        <w:t>s</w:t>
      </w:r>
      <w:r w:rsidRPr="0043516C">
        <w:t>kraft” visar på en antikverad syn på ekonomins utveckling. Ett gott näring</w:t>
      </w:r>
      <w:r w:rsidRPr="0043516C">
        <w:t>s</w:t>
      </w:r>
      <w:r w:rsidRPr="0043516C">
        <w:t>livsklimat skapas inte genom att staten försöker peka ut ”strategiska bra</w:t>
      </w:r>
      <w:r w:rsidRPr="0043516C">
        <w:t>n</w:t>
      </w:r>
      <w:r w:rsidRPr="0043516C">
        <w:t>scher”</w:t>
      </w:r>
      <w:r w:rsidR="00B14BFE" w:rsidRPr="0043516C">
        <w:t>,</w:t>
      </w:r>
      <w:r w:rsidRPr="0043516C">
        <w:t xml:space="preserve"> utan genom att hinder undanröjs. Sanningen är att ingen vet vilka branscher som kommer att visa sig vara strategiska. All erfarenhet är att sta</w:t>
      </w:r>
      <w:r w:rsidRPr="0043516C">
        <w:t>t</w:t>
      </w:r>
      <w:r w:rsidRPr="0043516C">
        <w:t>liga strategier för att hitta vinnare, ofta slutat med att man bara hittat förlor</w:t>
      </w:r>
      <w:r w:rsidRPr="0043516C">
        <w:t>a</w:t>
      </w:r>
      <w:r w:rsidRPr="0043516C">
        <w:t>re. Vi avvisar därför detta anslag.</w:t>
      </w:r>
    </w:p>
    <w:p w:rsidR="00B9617B" w:rsidRPr="0043516C" w:rsidRDefault="00B9617B" w:rsidP="00B9617B">
      <w:pPr>
        <w:pStyle w:val="Normaltindrag"/>
      </w:pPr>
      <w:r w:rsidRPr="0043516C">
        <w:t>Vi anser också att anslaget för exportfrämjande verksamhet kan minskas snabbare än regeringen föreslagit mot bakgrund av Sveriges just nu mycket betydande handelsbalansöverskott. Sveriges problem består knappast i att exporten går dåligt.</w:t>
      </w:r>
    </w:p>
    <w:p w:rsidR="00B9617B" w:rsidRPr="0043516C" w:rsidRDefault="00B9617B" w:rsidP="00B9617B">
      <w:pPr>
        <w:pStyle w:val="Normaltindrag"/>
      </w:pPr>
      <w:r w:rsidRPr="0043516C">
        <w:t xml:space="preserve">Anslagen 40:5 Åtgärder </w:t>
      </w:r>
      <w:r w:rsidR="004239F1" w:rsidRPr="0043516C">
        <w:t>på konsumentområdet och</w:t>
      </w:r>
      <w:r w:rsidRPr="0043516C">
        <w:t xml:space="preserve"> 40:6 Bidrag till milj</w:t>
      </w:r>
      <w:r w:rsidRPr="0043516C">
        <w:t>ö</w:t>
      </w:r>
      <w:r w:rsidRPr="0043516C">
        <w:t>märkning av produkter bör fasas ut. Det finns inget skäl att staten ger specie</w:t>
      </w:r>
      <w:r w:rsidRPr="0043516C">
        <w:t>l</w:t>
      </w:r>
      <w:r w:rsidRPr="0043516C">
        <w:t>la bidrag till enskilda föreningar. Det utökade anslaget för stöd till organis</w:t>
      </w:r>
      <w:r w:rsidRPr="0043516C">
        <w:t>a</w:t>
      </w:r>
      <w:r w:rsidRPr="0043516C">
        <w:t>tionen ”Rättvisemärkt” avvisas därför också. Miljömärkning är ett led i för</w:t>
      </w:r>
      <w:r w:rsidRPr="0043516C">
        <w:t>e</w:t>
      </w:r>
      <w:r w:rsidRPr="0043516C">
        <w:t>tagens marknadsföring, och bör inte heller vara föremål för särskilda statliga insatser.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239F1" w:rsidRPr="0043516C">
        <w:tblPrEx>
          <w:tblCellMar>
            <w:top w:w="0" w:type="dxa"/>
            <w:bottom w:w="0" w:type="dxa"/>
          </w:tblCellMar>
        </w:tblPrEx>
        <w:trPr>
          <w:cantSplit/>
        </w:trPr>
        <w:tc>
          <w:tcPr>
            <w:tcW w:w="3046" w:type="dxa"/>
          </w:tcPr>
          <w:p w:rsidR="004239F1" w:rsidRPr="0043516C" w:rsidRDefault="004239F1" w:rsidP="004239F1">
            <w:pPr>
              <w:pStyle w:val="UnderskriftDatum"/>
              <w:spacing w:before="240"/>
            </w:pPr>
            <w:r w:rsidRPr="0043516C">
              <w:t>Stockholm den 4 oktober 2005</w:t>
            </w:r>
          </w:p>
        </w:tc>
        <w:tc>
          <w:tcPr>
            <w:tcW w:w="3047" w:type="dxa"/>
          </w:tcPr>
          <w:p w:rsidR="004239F1" w:rsidRPr="0043516C" w:rsidRDefault="004239F1" w:rsidP="004239F1">
            <w:pPr>
              <w:pStyle w:val="Underskrifter"/>
              <w:spacing w:before="240"/>
            </w:pPr>
          </w:p>
        </w:tc>
      </w:tr>
      <w:tr w:rsidR="004239F1" w:rsidRPr="0043516C">
        <w:tblPrEx>
          <w:tblCellMar>
            <w:top w:w="0" w:type="dxa"/>
            <w:bottom w:w="0" w:type="dxa"/>
          </w:tblCellMar>
        </w:tblPrEx>
        <w:trPr>
          <w:cantSplit/>
        </w:trPr>
        <w:tc>
          <w:tcPr>
            <w:tcW w:w="3046" w:type="dxa"/>
          </w:tcPr>
          <w:p w:rsidR="004239F1" w:rsidRPr="0043516C" w:rsidRDefault="004239F1" w:rsidP="004239F1">
            <w:pPr>
              <w:pStyle w:val="Underskrifter"/>
            </w:pPr>
            <w:r w:rsidRPr="0043516C">
              <w:t>Per Bill (m)</w:t>
            </w:r>
          </w:p>
        </w:tc>
        <w:tc>
          <w:tcPr>
            <w:tcW w:w="3047" w:type="dxa"/>
          </w:tcPr>
          <w:p w:rsidR="004239F1" w:rsidRPr="0043516C" w:rsidRDefault="004239F1" w:rsidP="004239F1">
            <w:pPr>
              <w:pStyle w:val="Underskrifter"/>
            </w:pPr>
          </w:p>
        </w:tc>
      </w:tr>
      <w:tr w:rsidR="004239F1" w:rsidRPr="0043516C">
        <w:tblPrEx>
          <w:tblCellMar>
            <w:top w:w="0" w:type="dxa"/>
            <w:bottom w:w="0" w:type="dxa"/>
          </w:tblCellMar>
        </w:tblPrEx>
        <w:trPr>
          <w:cantSplit/>
        </w:trPr>
        <w:tc>
          <w:tcPr>
            <w:tcW w:w="3046" w:type="dxa"/>
          </w:tcPr>
          <w:p w:rsidR="004239F1" w:rsidRPr="0043516C" w:rsidRDefault="004239F1" w:rsidP="004239F1">
            <w:pPr>
              <w:pStyle w:val="Underskrifter"/>
            </w:pPr>
            <w:r w:rsidRPr="0043516C">
              <w:t>Ulla Löfgren (m)</w:t>
            </w:r>
          </w:p>
        </w:tc>
        <w:tc>
          <w:tcPr>
            <w:tcW w:w="3047" w:type="dxa"/>
          </w:tcPr>
          <w:p w:rsidR="004239F1" w:rsidRPr="0043516C" w:rsidRDefault="004239F1" w:rsidP="004239F1">
            <w:pPr>
              <w:pStyle w:val="Underskrifter"/>
            </w:pPr>
            <w:r w:rsidRPr="0043516C">
              <w:t>Anne-Marie Pålsson (m)</w:t>
            </w:r>
          </w:p>
        </w:tc>
      </w:tr>
      <w:tr w:rsidR="004239F1" w:rsidRPr="0043516C">
        <w:tblPrEx>
          <w:tblCellMar>
            <w:top w:w="0" w:type="dxa"/>
            <w:bottom w:w="0" w:type="dxa"/>
          </w:tblCellMar>
        </w:tblPrEx>
        <w:trPr>
          <w:cantSplit/>
        </w:trPr>
        <w:tc>
          <w:tcPr>
            <w:tcW w:w="3046" w:type="dxa"/>
          </w:tcPr>
          <w:p w:rsidR="004239F1" w:rsidRPr="0043516C" w:rsidRDefault="004239F1" w:rsidP="004239F1">
            <w:pPr>
              <w:pStyle w:val="Underskrifter"/>
            </w:pPr>
            <w:r w:rsidRPr="0043516C">
              <w:t>Krister Hammarbergh (m)</w:t>
            </w:r>
          </w:p>
        </w:tc>
        <w:tc>
          <w:tcPr>
            <w:tcW w:w="3047" w:type="dxa"/>
          </w:tcPr>
          <w:p w:rsidR="004239F1" w:rsidRPr="0043516C" w:rsidRDefault="004239F1" w:rsidP="004239F1">
            <w:pPr>
              <w:pStyle w:val="Underskrifter"/>
            </w:pPr>
            <w:r w:rsidRPr="0043516C">
              <w:t>Bertil Kjellberg (m)</w:t>
            </w:r>
          </w:p>
        </w:tc>
      </w:tr>
      <w:tr w:rsidR="004239F1" w:rsidRPr="0043516C">
        <w:tblPrEx>
          <w:tblCellMar>
            <w:top w:w="0" w:type="dxa"/>
            <w:bottom w:w="0" w:type="dxa"/>
          </w:tblCellMar>
        </w:tblPrEx>
        <w:trPr>
          <w:cantSplit/>
        </w:trPr>
        <w:tc>
          <w:tcPr>
            <w:tcW w:w="3046" w:type="dxa"/>
          </w:tcPr>
          <w:p w:rsidR="004239F1" w:rsidRPr="0043516C" w:rsidRDefault="004239F1" w:rsidP="004239F1">
            <w:pPr>
              <w:pStyle w:val="Underskrifter"/>
            </w:pPr>
            <w:r w:rsidRPr="0043516C">
              <w:t>Peter Danielsson (m)</w:t>
            </w:r>
          </w:p>
        </w:tc>
        <w:tc>
          <w:tcPr>
            <w:tcW w:w="3047" w:type="dxa"/>
          </w:tcPr>
          <w:p w:rsidR="004239F1" w:rsidRPr="0043516C" w:rsidRDefault="004239F1" w:rsidP="004239F1">
            <w:pPr>
              <w:pStyle w:val="Underskrifter"/>
            </w:pPr>
            <w:r w:rsidRPr="0043516C">
              <w:t>Stefan Hagfeldt (m)</w:t>
            </w:r>
          </w:p>
        </w:tc>
      </w:tr>
      <w:tr w:rsidR="004239F1" w:rsidRPr="0043516C">
        <w:tblPrEx>
          <w:tblCellMar>
            <w:top w:w="0" w:type="dxa"/>
            <w:bottom w:w="0" w:type="dxa"/>
          </w:tblCellMar>
        </w:tblPrEx>
        <w:trPr>
          <w:cantSplit/>
        </w:trPr>
        <w:tc>
          <w:tcPr>
            <w:tcW w:w="3046" w:type="dxa"/>
          </w:tcPr>
          <w:p w:rsidR="004239F1" w:rsidRPr="0043516C" w:rsidRDefault="004239F1" w:rsidP="004239F1">
            <w:pPr>
              <w:pStyle w:val="Underskrifter"/>
            </w:pPr>
            <w:r w:rsidRPr="0043516C">
              <w:t>Bengt-Anders Johansson (m)</w:t>
            </w:r>
          </w:p>
        </w:tc>
        <w:tc>
          <w:tcPr>
            <w:tcW w:w="3047" w:type="dxa"/>
          </w:tcPr>
          <w:p w:rsidR="004239F1" w:rsidRPr="0043516C" w:rsidRDefault="004239F1" w:rsidP="004239F1">
            <w:pPr>
              <w:pStyle w:val="Underskrifter"/>
            </w:pPr>
          </w:p>
        </w:tc>
      </w:tr>
    </w:tbl>
    <w:p w:rsidR="00B9617B" w:rsidRPr="0043516C" w:rsidRDefault="00B9617B" w:rsidP="004239F1">
      <w:pPr>
        <w:pStyle w:val="Normaltindrag"/>
      </w:pPr>
    </w:p>
    <w:sectPr w:rsidR="00B9617B" w:rsidRPr="0043516C" w:rsidSect="004239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5A14" w:rsidRPr="0043516C" w:rsidRDefault="00E25A14">
      <w:r w:rsidRPr="0043516C">
        <w:separator/>
      </w:r>
    </w:p>
  </w:endnote>
  <w:endnote w:type="continuationSeparator" w:id="0">
    <w:p w:rsidR="00E25A14" w:rsidRPr="0043516C" w:rsidRDefault="00E25A14">
      <w:r w:rsidRPr="004351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5AB" w:rsidRPr="0043516C" w:rsidRDefault="0043516C" w:rsidP="004239F1">
    <w:pPr>
      <w:pStyle w:val="Sidfot"/>
    </w:pPr>
    <w:r w:rsidRPr="004351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73135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5AB" w:rsidRDefault="00CC35AB">
                          <w:pPr>
                            <w:pStyle w:val="NormalS5sidnrV"/>
                          </w:pPr>
                          <w:r>
                            <w:fldChar w:fldCharType="begin"/>
                          </w:r>
                          <w:r>
                            <w:instrText xml:space="preserve"> PAGE *\charformat</w:instrText>
                          </w:r>
                          <w:r>
                            <w:fldChar w:fldCharType="separate"/>
                          </w:r>
                          <w:r w:rsidR="00F348F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35AB" w:rsidRDefault="00CC35AB">
                    <w:pPr>
                      <w:pStyle w:val="NormalS5sidnrV"/>
                    </w:pPr>
                    <w:r>
                      <w:fldChar w:fldCharType="begin"/>
                    </w:r>
                    <w:r>
                      <w:instrText xml:space="preserve"> PAGE *\charformat</w:instrText>
                    </w:r>
                    <w:r>
                      <w:fldChar w:fldCharType="separate"/>
                    </w:r>
                    <w:r w:rsidR="00F348F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5AB" w:rsidRPr="0043516C" w:rsidRDefault="0043516C" w:rsidP="004239F1">
    <w:pPr>
      <w:pStyle w:val="Sidfot"/>
    </w:pPr>
    <w:r w:rsidRPr="004351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45587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5AB" w:rsidRDefault="00CC35AB">
                          <w:pPr>
                            <w:pStyle w:val="NormalS5sidnrH"/>
                            <w:ind w:right="0"/>
                          </w:pPr>
                          <w:r>
                            <w:fldChar w:fldCharType="begin"/>
                          </w:r>
                          <w:r>
                            <w:instrText xml:space="preserve"> PAGE *\charformat</w:instrText>
                          </w:r>
                          <w:r>
                            <w:fldChar w:fldCharType="separate"/>
                          </w:r>
                          <w:r w:rsidR="00F348F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35AB" w:rsidRDefault="00CC35AB">
                    <w:pPr>
                      <w:pStyle w:val="NormalS5sidnrH"/>
                      <w:ind w:right="0"/>
                    </w:pPr>
                    <w:r>
                      <w:fldChar w:fldCharType="begin"/>
                    </w:r>
                    <w:r>
                      <w:instrText xml:space="preserve"> PAGE *\charformat</w:instrText>
                    </w:r>
                    <w:r>
                      <w:fldChar w:fldCharType="separate"/>
                    </w:r>
                    <w:r w:rsidR="00F348F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5AB" w:rsidRPr="0043516C" w:rsidRDefault="0043516C" w:rsidP="004239F1">
    <w:pPr>
      <w:pStyle w:val="Sidfot"/>
    </w:pPr>
    <w:r w:rsidRPr="004351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42637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5AB" w:rsidRDefault="00CC35AB">
                          <w:pPr>
                            <w:pStyle w:val="NormalS5sidnrH"/>
                            <w:ind w:right="0"/>
                          </w:pPr>
                          <w:r>
                            <w:fldChar w:fldCharType="begin"/>
                          </w:r>
                          <w:r>
                            <w:instrText xml:space="preserve"> PAGE *\charformat</w:instrText>
                          </w:r>
                          <w:r>
                            <w:fldChar w:fldCharType="separate"/>
                          </w:r>
                          <w:r w:rsidR="00F348F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35AB" w:rsidRDefault="00CC35AB">
                    <w:pPr>
                      <w:pStyle w:val="NormalS5sidnrH"/>
                      <w:ind w:right="0"/>
                    </w:pPr>
                    <w:r>
                      <w:fldChar w:fldCharType="begin"/>
                    </w:r>
                    <w:r>
                      <w:instrText xml:space="preserve"> PAGE *\charformat</w:instrText>
                    </w:r>
                    <w:r>
                      <w:fldChar w:fldCharType="separate"/>
                    </w:r>
                    <w:r w:rsidR="00F348F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5A14" w:rsidRPr="0043516C" w:rsidRDefault="00E25A14">
      <w:r w:rsidRPr="0043516C">
        <w:separator/>
      </w:r>
    </w:p>
  </w:footnote>
  <w:footnote w:type="continuationSeparator" w:id="0">
    <w:p w:rsidR="00E25A14" w:rsidRPr="0043516C" w:rsidRDefault="00E25A14">
      <w:r w:rsidRPr="004351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5AB" w:rsidRPr="0043516C" w:rsidRDefault="0043516C" w:rsidP="004239F1">
    <w:pPr>
      <w:pStyle w:val="Sidhuvud"/>
    </w:pPr>
    <w:r w:rsidRPr="004351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48743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5AB" w:rsidRDefault="00CC35AB">
                          <w:pPr>
                            <w:pStyle w:val="KantRubrikS5V"/>
                          </w:pPr>
                          <w:r>
                            <w:fldChar w:fldCharType="begin"/>
                          </w:r>
                          <w:r>
                            <w:instrText xml:space="preserve"> DOCPROPERTY "YearUser" *\charformat </w:instrText>
                          </w:r>
                          <w:r>
                            <w:fldChar w:fldCharType="separate"/>
                          </w:r>
                          <w:r w:rsidR="00F348F5">
                            <w:t>2005/06</w:t>
                          </w:r>
                          <w:r>
                            <w:fldChar w:fldCharType="end"/>
                          </w:r>
                          <w:r>
                            <w:t>:</w:t>
                          </w:r>
                          <w:r>
                            <w:fldChar w:fldCharType="begin"/>
                          </w:r>
                          <w:r>
                            <w:instrText xml:space="preserve"> DOCPROPERTY "Motionsnummer" *\charformat </w:instrText>
                          </w:r>
                          <w:r>
                            <w:fldChar w:fldCharType="separate"/>
                          </w:r>
                          <w:r w:rsidR="00F348F5">
                            <w:t>N477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35AB" w:rsidRDefault="00CC35AB">
                    <w:pPr>
                      <w:pStyle w:val="KantRubrikS5V"/>
                    </w:pPr>
                    <w:r>
                      <w:fldChar w:fldCharType="begin"/>
                    </w:r>
                    <w:r>
                      <w:instrText xml:space="preserve"> DOCPROPERTY "YearUser" *\charformat </w:instrText>
                    </w:r>
                    <w:r>
                      <w:fldChar w:fldCharType="separate"/>
                    </w:r>
                    <w:r w:rsidR="00F348F5">
                      <w:t>2005/06</w:t>
                    </w:r>
                    <w:r>
                      <w:fldChar w:fldCharType="end"/>
                    </w:r>
                    <w:r>
                      <w:t>:</w:t>
                    </w:r>
                    <w:r>
                      <w:fldChar w:fldCharType="begin"/>
                    </w:r>
                    <w:r>
                      <w:instrText xml:space="preserve"> DOCPROPERTY "Motionsnummer" *\charformat </w:instrText>
                    </w:r>
                    <w:r>
                      <w:fldChar w:fldCharType="separate"/>
                    </w:r>
                    <w:r w:rsidR="00F348F5">
                      <w:t>N477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5AB" w:rsidRPr="0043516C" w:rsidRDefault="0043516C" w:rsidP="004239F1">
    <w:pPr>
      <w:pStyle w:val="Sidhuvud"/>
    </w:pPr>
    <w:r w:rsidRPr="004351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08105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5AB" w:rsidRDefault="00CC35AB">
                          <w:pPr>
                            <w:pStyle w:val="KantRubrikS5H"/>
                            <w:ind w:right="0"/>
                          </w:pPr>
                          <w:r>
                            <w:fldChar w:fldCharType="begin"/>
                          </w:r>
                          <w:r>
                            <w:instrText xml:space="preserve"> DOCPROPERTY "YearUser" *\charformat </w:instrText>
                          </w:r>
                          <w:r>
                            <w:fldChar w:fldCharType="separate"/>
                          </w:r>
                          <w:r w:rsidR="00F348F5">
                            <w:t>2005/06</w:t>
                          </w:r>
                          <w:r>
                            <w:fldChar w:fldCharType="end"/>
                          </w:r>
                          <w:r>
                            <w:t>:</w:t>
                          </w:r>
                          <w:r>
                            <w:fldChar w:fldCharType="begin"/>
                          </w:r>
                          <w:r>
                            <w:instrText xml:space="preserve"> DOCPROPERTY "Motionsnummer" *\charformat </w:instrText>
                          </w:r>
                          <w:r>
                            <w:fldChar w:fldCharType="separate"/>
                          </w:r>
                          <w:r w:rsidR="00F348F5">
                            <w:t>N477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35AB" w:rsidRDefault="00CC35AB">
                    <w:pPr>
                      <w:pStyle w:val="KantRubrikS5H"/>
                      <w:ind w:right="0"/>
                    </w:pPr>
                    <w:r>
                      <w:fldChar w:fldCharType="begin"/>
                    </w:r>
                    <w:r>
                      <w:instrText xml:space="preserve"> DOCPROPERTY "YearUser" *\charformat </w:instrText>
                    </w:r>
                    <w:r>
                      <w:fldChar w:fldCharType="separate"/>
                    </w:r>
                    <w:r w:rsidR="00F348F5">
                      <w:t>2005/06</w:t>
                    </w:r>
                    <w:r>
                      <w:fldChar w:fldCharType="end"/>
                    </w:r>
                    <w:r>
                      <w:t>:</w:t>
                    </w:r>
                    <w:r>
                      <w:fldChar w:fldCharType="begin"/>
                    </w:r>
                    <w:r>
                      <w:instrText xml:space="preserve"> DOCPROPERTY "Motionsnummer" *\charformat </w:instrText>
                    </w:r>
                    <w:r>
                      <w:fldChar w:fldCharType="separate"/>
                    </w:r>
                    <w:r w:rsidR="00F348F5">
                      <w:t>N477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5AB" w:rsidRPr="0043516C" w:rsidRDefault="00CC35AB">
    <w:pPr>
      <w:pStyle w:val="FSHNormal"/>
      <w:tabs>
        <w:tab w:val="right" w:pos="5840"/>
      </w:tabs>
    </w:pPr>
    <w:r w:rsidRPr="0043516C">
      <w:br/>
    </w:r>
    <w:r w:rsidRPr="0043516C">
      <w:fldChar w:fldCharType="begin" w:fldLock="1"/>
    </w:r>
    <w:r w:rsidRPr="0043516C">
      <w:instrText xml:space="preserve"> DOCPROPERTY</w:instrText>
    </w:r>
    <w:r w:rsidRPr="0043516C">
      <w:rPr>
        <w:sz w:val="18"/>
      </w:rPr>
      <w:instrText xml:space="preserve"> "YearUser" *\charformat </w:instrText>
    </w:r>
    <w:r w:rsidRPr="0043516C">
      <w:fldChar w:fldCharType="separate"/>
    </w:r>
    <w:r w:rsidR="00F348F5" w:rsidRPr="0043516C">
      <w:t>2005/06</w:t>
    </w:r>
    <w:r w:rsidRPr="0043516C">
      <w:fldChar w:fldCharType="end"/>
    </w:r>
    <w:r w:rsidRPr="0043516C">
      <w:t xml:space="preserve"> </w:t>
    </w:r>
    <w:r w:rsidRPr="0043516C">
      <w:tab/>
      <w:t xml:space="preserve">mnr: </w:t>
    </w:r>
    <w:r w:rsidRPr="0043516C">
      <w:fldChar w:fldCharType="begin" w:fldLock="1"/>
    </w:r>
    <w:r w:rsidRPr="0043516C">
      <w:instrText xml:space="preserve"> DOCPROPERTY</w:instrText>
    </w:r>
    <w:r w:rsidRPr="0043516C">
      <w:rPr>
        <w:sz w:val="18"/>
      </w:rPr>
      <w:instrText xml:space="preserve"> "Motionsnummer" *\charformat </w:instrText>
    </w:r>
    <w:r w:rsidRPr="0043516C">
      <w:fldChar w:fldCharType="separate"/>
    </w:r>
    <w:r w:rsidR="00F348F5" w:rsidRPr="0043516C">
      <w:t>N477</w:t>
    </w:r>
    <w:r w:rsidRPr="0043516C">
      <w:fldChar w:fldCharType="end"/>
    </w:r>
    <w:r w:rsidRPr="0043516C">
      <w:br/>
    </w:r>
    <w:r w:rsidRPr="0043516C">
      <w:fldChar w:fldCharType="begin" w:fldLock="1"/>
    </w:r>
    <w:r w:rsidRPr="0043516C">
      <w:instrText xml:space="preserve"> DOCPROPERTY</w:instrText>
    </w:r>
    <w:r w:rsidRPr="0043516C">
      <w:rPr>
        <w:sz w:val="18"/>
      </w:rPr>
      <w:instrText xml:space="preserve"> "Samling" *\charformat </w:instrText>
    </w:r>
    <w:r w:rsidRPr="0043516C">
      <w:fldChar w:fldCharType="end"/>
    </w:r>
    <w:r w:rsidRPr="0043516C">
      <w:tab/>
      <w:t xml:space="preserve">pnr: </w:t>
    </w:r>
    <w:r w:rsidRPr="0043516C">
      <w:fldChar w:fldCharType="begin" w:fldLock="1"/>
    </w:r>
    <w:r w:rsidRPr="0043516C">
      <w:instrText xml:space="preserve"> DOCPROPERTY</w:instrText>
    </w:r>
    <w:r w:rsidRPr="0043516C">
      <w:rPr>
        <w:sz w:val="18"/>
      </w:rPr>
      <w:instrText xml:space="preserve"> "Partinummer" *\charformat </w:instrText>
    </w:r>
    <w:r w:rsidRPr="0043516C">
      <w:fldChar w:fldCharType="separate"/>
    </w:r>
    <w:r w:rsidR="00F348F5" w:rsidRPr="0043516C">
      <w:t>m170</w:t>
    </w:r>
    <w:r w:rsidRPr="0043516C">
      <w:fldChar w:fldCharType="end"/>
    </w:r>
  </w:p>
  <w:p w:rsidR="00CC35AB" w:rsidRPr="0043516C" w:rsidRDefault="00CC35AB">
    <w:pPr>
      <w:pStyle w:val="FSHRub1"/>
    </w:pPr>
    <w:r w:rsidRPr="0043516C">
      <w:t>Motion till riksdagen</w:t>
    </w:r>
    <w:r w:rsidRPr="0043516C">
      <w:br/>
    </w:r>
    <w:r w:rsidRPr="0043516C">
      <w:fldChar w:fldCharType="begin" w:fldLock="1"/>
    </w:r>
    <w:r w:rsidRPr="0043516C">
      <w:instrText xml:space="preserve"> DOCPROPERTY "YearUser" *\charformat </w:instrText>
    </w:r>
    <w:r w:rsidRPr="0043516C">
      <w:fldChar w:fldCharType="separate"/>
    </w:r>
    <w:r w:rsidR="00F348F5" w:rsidRPr="0043516C">
      <w:t>2005/06</w:t>
    </w:r>
    <w:r w:rsidRPr="0043516C">
      <w:fldChar w:fldCharType="end"/>
    </w:r>
    <w:r w:rsidRPr="0043516C">
      <w:t>:</w:t>
    </w:r>
    <w:r w:rsidRPr="0043516C">
      <w:fldChar w:fldCharType="begin" w:fldLock="1"/>
    </w:r>
    <w:r w:rsidRPr="0043516C">
      <w:instrText xml:space="preserve"> DOCPROPERTY "Motionsnummer" *\charformat </w:instrText>
    </w:r>
    <w:r w:rsidRPr="0043516C">
      <w:fldChar w:fldCharType="separate"/>
    </w:r>
    <w:r w:rsidR="00F348F5" w:rsidRPr="0043516C">
      <w:t>N477</w:t>
    </w:r>
    <w:r w:rsidRPr="0043516C">
      <w:fldChar w:fldCharType="end"/>
    </w:r>
  </w:p>
  <w:p w:rsidR="00CC35AB" w:rsidRPr="0043516C" w:rsidRDefault="00CC35AB">
    <w:pPr>
      <w:pStyle w:val="FSHNormalS5"/>
    </w:pPr>
    <w:r w:rsidRPr="0043516C">
      <w:fldChar w:fldCharType="begin" w:fldLock="1"/>
    </w:r>
    <w:r w:rsidRPr="0043516C">
      <w:instrText xml:space="preserve"> DOCPROPERTY "MotionarText" *\charformat </w:instrText>
    </w:r>
    <w:r w:rsidRPr="0043516C">
      <w:fldChar w:fldCharType="separate"/>
    </w:r>
    <w:r w:rsidR="00F348F5" w:rsidRPr="0043516C">
      <w:t>av Per Bill m.fl. (m)</w:t>
    </w:r>
    <w:r w:rsidRPr="0043516C">
      <w:fldChar w:fldCharType="end"/>
    </w:r>
    <w:r w:rsidRPr="0043516C">
      <w:br/>
    </w:r>
    <w:r w:rsidRPr="0043516C">
      <w:fldChar w:fldCharType="begin" w:fldLock="1"/>
    </w:r>
    <w:r w:rsidRPr="0043516C">
      <w:instrText xml:space="preserve"> DOCPROPERTY "SvarFrasKort" *\charformat </w:instrText>
    </w:r>
    <w:r w:rsidRPr="0043516C">
      <w:fldChar w:fldCharType="end"/>
    </w:r>
  </w:p>
  <w:p w:rsidR="00CC35AB" w:rsidRPr="0043516C" w:rsidRDefault="00CC35AB">
    <w:pPr>
      <w:pStyle w:val="FSHTitel"/>
    </w:pPr>
    <w:r w:rsidRPr="0043516C">
      <w:fldChar w:fldCharType="begin" w:fldLock="1"/>
    </w:r>
    <w:r w:rsidRPr="0043516C">
      <w:instrText xml:space="preserve"> DOCPROPERTY</w:instrText>
    </w:r>
    <w:r w:rsidRPr="0043516C">
      <w:rPr>
        <w:sz w:val="18"/>
      </w:rPr>
      <w:instrText xml:space="preserve"> "RubrikSvar" *\charformat </w:instrText>
    </w:r>
    <w:r w:rsidRPr="0043516C">
      <w:fldChar w:fldCharType="separate"/>
    </w:r>
    <w:r w:rsidR="00F348F5" w:rsidRPr="0043516C">
      <w:t>Utgiftsområde 24 Näringsliv</w:t>
    </w:r>
    <w:r w:rsidRPr="0043516C">
      <w:fldChar w:fldCharType="end"/>
    </w:r>
  </w:p>
  <w:p w:rsidR="00CC35AB" w:rsidRPr="0043516C" w:rsidRDefault="00CC35AB" w:rsidP="004239F1">
    <w:pPr>
      <w:pStyle w:val="Normal00"/>
      <w:rPr>
        <w:i/>
      </w:rPr>
    </w:pPr>
    <w:r w:rsidRPr="0043516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DF2002A"/>
    <w:multiLevelType w:val="hybridMultilevel"/>
    <w:tmpl w:val="83ACE58A"/>
    <w:lvl w:ilvl="0" w:tplc="143A4A4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0893285">
    <w:abstractNumId w:val="13"/>
  </w:num>
  <w:num w:numId="2" w16cid:durableId="1097023197">
    <w:abstractNumId w:val="10"/>
  </w:num>
  <w:num w:numId="3" w16cid:durableId="1855653483">
    <w:abstractNumId w:val="11"/>
  </w:num>
  <w:num w:numId="4" w16cid:durableId="1655253865">
    <w:abstractNumId w:val="12"/>
  </w:num>
  <w:num w:numId="5" w16cid:durableId="253705273">
    <w:abstractNumId w:val="8"/>
  </w:num>
  <w:num w:numId="6" w16cid:durableId="331109201">
    <w:abstractNumId w:val="3"/>
  </w:num>
  <w:num w:numId="7" w16cid:durableId="354498703">
    <w:abstractNumId w:val="2"/>
  </w:num>
  <w:num w:numId="8" w16cid:durableId="1931574516">
    <w:abstractNumId w:val="1"/>
  </w:num>
  <w:num w:numId="9" w16cid:durableId="27488813">
    <w:abstractNumId w:val="0"/>
  </w:num>
  <w:num w:numId="10" w16cid:durableId="1736272557">
    <w:abstractNumId w:val="9"/>
  </w:num>
  <w:num w:numId="11" w16cid:durableId="1104229620">
    <w:abstractNumId w:val="7"/>
  </w:num>
  <w:num w:numId="12" w16cid:durableId="701709536">
    <w:abstractNumId w:val="6"/>
  </w:num>
  <w:num w:numId="13" w16cid:durableId="337386481">
    <w:abstractNumId w:val="5"/>
  </w:num>
  <w:num w:numId="14" w16cid:durableId="852646793">
    <w:abstractNumId w:val="4"/>
  </w:num>
  <w:num w:numId="15" w16cid:durableId="12973002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F94535"/>
    <w:rsid w:val="0004381F"/>
    <w:rsid w:val="00064BC3"/>
    <w:rsid w:val="00066775"/>
    <w:rsid w:val="00072FB9"/>
    <w:rsid w:val="00100531"/>
    <w:rsid w:val="00201DFB"/>
    <w:rsid w:val="00204A63"/>
    <w:rsid w:val="00212FF1"/>
    <w:rsid w:val="00230193"/>
    <w:rsid w:val="0025068A"/>
    <w:rsid w:val="002818D3"/>
    <w:rsid w:val="002D11A8"/>
    <w:rsid w:val="004239F1"/>
    <w:rsid w:val="0043516C"/>
    <w:rsid w:val="004438B5"/>
    <w:rsid w:val="00445271"/>
    <w:rsid w:val="004A0504"/>
    <w:rsid w:val="004E38D9"/>
    <w:rsid w:val="0057366F"/>
    <w:rsid w:val="005B145B"/>
    <w:rsid w:val="00740D6D"/>
    <w:rsid w:val="00794149"/>
    <w:rsid w:val="007B67A7"/>
    <w:rsid w:val="007C6092"/>
    <w:rsid w:val="00A053C6"/>
    <w:rsid w:val="00B13BF0"/>
    <w:rsid w:val="00B14BFE"/>
    <w:rsid w:val="00B9617B"/>
    <w:rsid w:val="00C1285C"/>
    <w:rsid w:val="00C27B7D"/>
    <w:rsid w:val="00CC35AB"/>
    <w:rsid w:val="00CF7A43"/>
    <w:rsid w:val="00D1174F"/>
    <w:rsid w:val="00D41811"/>
    <w:rsid w:val="00DC6C70"/>
    <w:rsid w:val="00E22893"/>
    <w:rsid w:val="00E25A14"/>
    <w:rsid w:val="00E360DE"/>
    <w:rsid w:val="00E75D28"/>
    <w:rsid w:val="00E84F25"/>
    <w:rsid w:val="00EA611A"/>
    <w:rsid w:val="00F348F5"/>
    <w:rsid w:val="00F94535"/>
    <w:rsid w:val="00FA3374"/>
    <w:rsid w:val="00FF51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B6A97F-1BBC-4B1E-B411-394BF1F7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Rubrik">
    <w:name w:val="Title"/>
    <w:basedOn w:val="Normal"/>
    <w:next w:val="Underrubrik"/>
    <w:qFormat/>
    <w:rsid w:val="00B9617B"/>
    <w:pPr>
      <w:spacing w:before="240" w:after="180" w:line="500" w:lineRule="exact"/>
      <w:jc w:val="center"/>
      <w:outlineLvl w:val="0"/>
    </w:pPr>
    <w:rPr>
      <w:rFonts w:ascii="Arial" w:hAnsi="Arial"/>
      <w:b/>
      <w:kern w:val="28"/>
      <w:sz w:val="36"/>
    </w:rPr>
  </w:style>
  <w:style w:type="table" w:styleId="Tabellrutnt">
    <w:name w:val="Table Grid"/>
    <w:basedOn w:val="Normaltabell"/>
    <w:rsid w:val="00B9617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mstlrubrik">
    <w:name w:val="Hemstl_rubrik"/>
    <w:basedOn w:val="Rubrik1"/>
    <w:next w:val="Normal"/>
    <w:rsid w:val="004239F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239F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970</Words>
  <Characters>6049</Characters>
  <Application>Microsoft Office Word</Application>
  <DocSecurity>4</DocSecurity>
  <Lines>128</Lines>
  <Paragraphs>56</Paragraphs>
  <ScaleCrop>false</ScaleCrop>
  <HeadingPairs>
    <vt:vector size="2" baseType="variant">
      <vt:variant>
        <vt:lpstr>Rubrik</vt:lpstr>
      </vt:variant>
      <vt:variant>
        <vt:i4>1</vt:i4>
      </vt:variant>
    </vt:vector>
  </HeadingPairs>
  <TitlesOfParts>
    <vt:vector size="1" baseType="lpstr">
      <vt:lpstr>N477</vt:lpstr>
    </vt:vector>
  </TitlesOfParts>
  <Company>Riksdagen</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N477</dc:title>
  <dc:subject>N477</dc:subject>
  <dc:creator>Riksdagen</dc:creator>
  <cp:keywords>Riksdagen</cp:keywords>
  <dc:description/>
  <cp:lastModifiedBy>Lars Brink</cp:lastModifiedBy>
  <cp:revision>2</cp:revision>
  <cp:lastPrinted>2006-01-12T13:20:00Z</cp:lastPrinted>
  <dcterms:created xsi:type="dcterms:W3CDTF">2025-12-16T20:31:00Z</dcterms:created>
  <dcterms:modified xsi:type="dcterms:W3CDTF">2025-12-16T20:31:00Z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24 Näringsliv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24 Näringsliv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Per Bill m.fl. (m)</vt:lpwstr>
  </property>
  <property fmtid="{D5CDD505-2E9C-101B-9397-08002B2CF9AE}" pid="26" name="MotionarLista">
    <vt:lpwstr>Bill, Per (m)\Löfgren, Ulla (m)\Pålsson, Anne-Marie (m)\Hammarbergh, Krister (m)\Kjellberg, Bertil (m)\Danielsson, Peter (m)\Hagfeldt, Stefan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Ulla Löfgren (m), Anne-Marie Pålsson (m), Krister Hammarbergh (m), Bertil Kjellberg (m), Peter Danielsson (m), Stefan Hagfeldt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N477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siv.lindgren@riksdagen.se</vt:lpwstr>
  </property>
  <property fmtid="{D5CDD505-2E9C-101B-9397-08002B2CF9AE}" pid="45" name="ReservUID">
    <vt:lpwstr>birgitta lundblad</vt:lpwstr>
  </property>
  <property fmtid="{D5CDD505-2E9C-101B-9397-08002B2CF9AE}" pid="46" name="MotionID">
    <vt:lpwstr>20052006000000000109000001700075</vt:lpwstr>
  </property>
  <property fmtid="{D5CDD505-2E9C-101B-9397-08002B2CF9AE}" pid="47" name="datum">
    <vt:lpwstr>051004</vt:lpwstr>
  </property>
  <property fmtid="{D5CDD505-2E9C-101B-9397-08002B2CF9AE}" pid="48" name="avsändar-e-post">
    <vt:lpwstr>siv.lindgren@riksdagen.se</vt:lpwstr>
  </property>
  <property fmtid="{D5CDD505-2E9C-101B-9397-08002B2CF9AE}" pid="49" name="id">
    <vt:lpwstr>20052006000000000109000001700075</vt:lpwstr>
  </property>
  <property fmtid="{D5CDD505-2E9C-101B-9397-08002B2CF9AE}" pid="50" name="nummer">
    <vt:lpwstr>477</vt:lpwstr>
  </property>
  <property fmtid="{D5CDD505-2E9C-101B-9397-08002B2CF9AE}" pid="51" name="utskottsbeteckning">
    <vt:lpwstr>N</vt:lpwstr>
  </property>
</Properties>
</file>