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1776" w:rsidRPr="001012FA" w:rsidRDefault="00A21776">
      <w:pPr>
        <w:pStyle w:val="Hemstlrubrik"/>
      </w:pPr>
      <w:r w:rsidRPr="001012FA">
        <w:t>Förslag till riksdagsbeslut</w:t>
      </w:r>
    </w:p>
    <w:p w:rsidR="00A21776" w:rsidRPr="001012FA" w:rsidRDefault="00A21776">
      <w:pPr>
        <w:pStyle w:val="Hemstlatt"/>
        <w:ind w:left="0"/>
      </w:pPr>
      <w:r w:rsidRPr="001012FA">
        <w:t>Riksdagen tillkännager för regeringen som sin mening vad som anförs i motionen om att värna de gröna kilarna i Stockholms län.</w:t>
      </w:r>
    </w:p>
    <w:p w:rsidR="00A21776" w:rsidRPr="001012FA" w:rsidRDefault="00A21776">
      <w:pPr>
        <w:pStyle w:val="Rubrik1"/>
      </w:pPr>
      <w:r w:rsidRPr="001012FA">
        <w:t>Stockholms läns gröna kilar</w:t>
      </w:r>
    </w:p>
    <w:p w:rsidR="00A21776" w:rsidRPr="001012FA" w:rsidRDefault="00A21776">
      <w:r w:rsidRPr="001012FA">
        <w:t>Stockholms län har unika möjligheter att bygga vidare på en grön struktur av natur</w:t>
      </w:r>
      <w:r w:rsidRPr="001012FA">
        <w:softHyphen/>
        <w:t>markskilar som sträcker sig från landsbygden in mot stadens centrum. Från tunnelbane</w:t>
      </w:r>
      <w:r w:rsidRPr="001012FA">
        <w:softHyphen/>
        <w:t>stationer strax utanför Skanstull kan man vandra genom nä</w:t>
      </w:r>
      <w:r w:rsidRPr="001012FA">
        <w:t>s</w:t>
      </w:r>
      <w:r w:rsidRPr="001012FA">
        <w:t>tan obruten natur till Tyrestareservatet, en av södra Sveriges största urskogar. Från Nationalstadsparken i Stockholms innerstad löper ett grönt band ända ut mot det stora Järvafältsreservatet i norr. Tio gröna kilar av den arten finns i Stockholms län. I alla kilarna kan man ströva i mer eller mindre obruten natur från de centrala delarna av regionen ut mot landsby</w:t>
      </w:r>
      <w:r w:rsidRPr="001012FA">
        <w:t>gden. De sträcker sig i alla väderstreck och slutar mot Östersjön eller Mälaren, utom två av kilarna som sträcker sig till länsgränsen mot Uppsala i norr. I periferin finns ytterligare tio orörda områden, kallade utflyktsområden.</w:t>
      </w:r>
    </w:p>
    <w:p w:rsidR="00A21776" w:rsidRPr="001012FA" w:rsidRDefault="00A21776">
      <w:pPr>
        <w:pStyle w:val="Normaltindrag"/>
      </w:pPr>
      <w:r w:rsidRPr="001012FA">
        <w:t>Modern miljöpsykologisk forskning visar att grönområden har stor bet</w:t>
      </w:r>
      <w:r w:rsidRPr="001012FA">
        <w:t>y</w:t>
      </w:r>
      <w:r w:rsidRPr="001012FA">
        <w:t>delse för välbefinnandet hos tätortsbefolkningen. Det viktigaste kriteriet för att grönområden skall utnyttjas är att de är lätta att nå. För att fungera som strövområde behöver de vara tillräckligt stora.</w:t>
      </w:r>
    </w:p>
    <w:p w:rsidR="00A21776" w:rsidRPr="001012FA" w:rsidRDefault="00A21776">
      <w:pPr>
        <w:pStyle w:val="Normaltindrag"/>
      </w:pPr>
      <w:r w:rsidRPr="001012FA">
        <w:t>Stora sammanhängande grönområden är viktiga också för den biologiska mångfalden. Sverige har undertecknat FN-deklarationen om den biologiska mångfalden och har därmed åtagit sig att verka för att den inte minskar. Mö</w:t>
      </w:r>
      <w:r w:rsidRPr="001012FA">
        <w:t>j</w:t>
      </w:r>
      <w:r w:rsidRPr="001012FA">
        <w:t>ligheterna att få se olika blommor, kanske stöta på en älg eller en räv eller upptäcka en ovanlig fågel är en mycket viktig del i naturupplevelsen för många människor. Genom kilstrukturen ges framför allt djuren möjlighet att hålla den livskraftiga populationen långt in mot Stockholms centrum. Männ</w:t>
      </w:r>
      <w:r w:rsidRPr="001012FA">
        <w:t>i</w:t>
      </w:r>
      <w:r w:rsidRPr="001012FA">
        <w:t xml:space="preserve">skan har ett behov av att vistas i natur som är utan mänsklig påverkan. Det ger </w:t>
      </w:r>
      <w:r w:rsidRPr="001012FA">
        <w:lastRenderedPageBreak/>
        <w:t>perspektiv på tillvaron och insikt om att människan är en del av naturen och inte frikopplad från alla ekologiska samband.</w:t>
      </w:r>
    </w:p>
    <w:p w:rsidR="00A21776" w:rsidRPr="001012FA" w:rsidRDefault="00A21776">
      <w:pPr>
        <w:pStyle w:val="Normaltindrag"/>
      </w:pPr>
      <w:r w:rsidRPr="001012FA">
        <w:t>I kilarn</w:t>
      </w:r>
      <w:r w:rsidRPr="001012FA">
        <w:t>a finns möjlighet att alldeles inpå den moderna bebyggelsen hitta kultur</w:t>
      </w:r>
      <w:r w:rsidRPr="001012FA">
        <w:softHyphen/>
        <w:t>präglade områden, från stenålder till nutid. Sveriges fornlämningstätaste område finns i ett rikt kulturlandskap i Rösjökilen.</w:t>
      </w:r>
    </w:p>
    <w:p w:rsidR="00A21776" w:rsidRPr="001012FA" w:rsidRDefault="00A21776">
      <w:pPr>
        <w:pStyle w:val="Normaltindrag"/>
      </w:pPr>
      <w:r w:rsidRPr="001012FA">
        <w:t>Tystnad är en bristvara idag. Möjlighet att hämta kraft och samla koncen</w:t>
      </w:r>
      <w:r w:rsidRPr="001012FA">
        <w:t>t</w:t>
      </w:r>
      <w:r w:rsidRPr="001012FA">
        <w:t>ration ur en bullerfri miljö finns än så länge i en del av kilarna. Upplevels</w:t>
      </w:r>
      <w:r w:rsidRPr="001012FA">
        <w:t>e</w:t>
      </w:r>
      <w:r w:rsidRPr="001012FA">
        <w:t>värden i kilarna som forskning konstaterat är orördhet/mystik, skogskänsla, frihet och rymd, artrikedom och naturpedagogik, kulturhistoria, aktivitet och utmaning, service och samvaro. Värdet av upplevelsen störs av bl.a. ljud och ljus, nedskräpning, okänsligt skogsbruk och nya exploateringsföretag.</w:t>
      </w:r>
    </w:p>
    <w:p w:rsidR="00A21776" w:rsidRPr="001012FA" w:rsidRDefault="00A21776">
      <w:pPr>
        <w:pStyle w:val="Normaltindrag"/>
      </w:pPr>
      <w:r w:rsidRPr="001012FA">
        <w:t>Grönstrukturen har inte lika hög status som andra sektorsintressen och det finns en attityd till frilufts- och rekreationsfrågor som</w:t>
      </w:r>
      <w:r w:rsidRPr="001012FA">
        <w:t xml:space="preserve"> ”bevarandeintressen” i kontrast till övriga ”utvecklingsintressen”. För att nå en balanserad bebygge</w:t>
      </w:r>
      <w:r w:rsidRPr="001012FA">
        <w:t>l</w:t>
      </w:r>
      <w:r w:rsidRPr="001012FA">
        <w:t>seutveckling och behålla regionens goda tillgång till varierad natur, krävs en förändring i både synsätt, kunskap och planeringsprocess.</w:t>
      </w:r>
    </w:p>
    <w:p w:rsidR="00A21776" w:rsidRPr="001012FA" w:rsidRDefault="00A21776">
      <w:pPr>
        <w:pStyle w:val="Normaltindrag"/>
      </w:pPr>
      <w:r w:rsidRPr="001012FA">
        <w:t>Regeringen gav 2002 Länsstyrelsen i Stockholm i uppdrag att ta fram ett program för hur de mest värdefulla tätortsnära områdena för friluftsliv och naturvård kan ges varaktigt skydd och förvaltning. Uppdraget resulterade i programmet ”Aldrig långt till naturen”. Det är til</w:t>
      </w:r>
      <w:r w:rsidRPr="001012FA">
        <w:t>l en del genomfört och o</w:t>
      </w:r>
      <w:r w:rsidRPr="001012FA">
        <w:t>m</w:t>
      </w:r>
      <w:r w:rsidRPr="001012FA">
        <w:t xml:space="preserve">fattar områden delvis inom de gröna kilarna. </w:t>
      </w:r>
    </w:p>
    <w:p w:rsidR="00A21776" w:rsidRPr="001012FA" w:rsidRDefault="00A21776">
      <w:pPr>
        <w:pStyle w:val="Normaltindrag"/>
      </w:pPr>
      <w:r w:rsidRPr="001012FA">
        <w:t>I samband med det alltmera växande exploateringstrycket i Stockholms län växer också trycket på de gröna kilarna, t.ex. i diskussionerna om den nu aktuella Förbifart Stockholm.</w:t>
      </w:r>
    </w:p>
    <w:p w:rsidR="00A21776" w:rsidRPr="001012FA" w:rsidRDefault="00A21776">
      <w:pPr>
        <w:pStyle w:val="Normaltindrag"/>
      </w:pPr>
      <w:r w:rsidRPr="001012FA">
        <w:t>Därför är det nu ännu mer aktuellt och bråttom att genom inrättandet av nya områden (som utgörs av de gröna kilarna) för riksintressen enligt milj</w:t>
      </w:r>
      <w:r w:rsidRPr="001012FA">
        <w:t>ö</w:t>
      </w:r>
      <w:r w:rsidRPr="001012FA">
        <w:t>balken, antingen för kulturminnen eller naturvård (som finns sedan gammalt) eller något nytt riksintresse för de gröna kilarna, skydda den natur och dess korridorer som så väl behövs i en så hårt exploaterad region som Stockholm</w:t>
      </w:r>
      <w:r w:rsidRPr="001012FA">
        <w:t>s</w:t>
      </w:r>
      <w:r w:rsidRPr="001012FA">
        <w:t xml:space="preserve">regionen. </w:t>
      </w:r>
    </w:p>
    <w:p w:rsidR="00A21776" w:rsidRPr="001012FA" w:rsidRDefault="00A21776">
      <w:pPr>
        <w:pStyle w:val="Normaltindrag"/>
        <w:rPr>
          <w:szCs w:val="19"/>
        </w:rPr>
      </w:pPr>
      <w:r w:rsidRPr="001012FA">
        <w:t>Därför föreslår vi att riksdagen tillkännager för regeringen som sin mening att värna de gröna kilarna i Stockholms län i enlighet med vad som anförs i motionen</w:t>
      </w:r>
      <w:r w:rsidRPr="001012FA">
        <w:rPr>
          <w:szCs w:val="19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012FA">
        <w:trPr>
          <w:cantSplit/>
        </w:trPr>
        <w:tc>
          <w:tcPr>
            <w:tcW w:w="3046" w:type="dxa"/>
          </w:tcPr>
          <w:p w:rsidR="00A21776" w:rsidRPr="001012FA" w:rsidRDefault="00A21776">
            <w:pPr>
              <w:pStyle w:val="UnderskriftDatum"/>
              <w:spacing w:before="240"/>
            </w:pPr>
            <w:r w:rsidRPr="001012FA">
              <w:t>Stockholm den 3 oktober 2007</w:t>
            </w:r>
          </w:p>
        </w:tc>
        <w:tc>
          <w:tcPr>
            <w:tcW w:w="3047" w:type="dxa"/>
          </w:tcPr>
          <w:p w:rsidR="00A21776" w:rsidRPr="001012FA" w:rsidRDefault="00A21776">
            <w:pPr>
              <w:pStyle w:val="Underskrifter"/>
              <w:spacing w:before="240"/>
            </w:pPr>
          </w:p>
        </w:tc>
      </w:tr>
      <w:tr w:rsidR="00000000" w:rsidRPr="001012FA">
        <w:trPr>
          <w:cantSplit/>
        </w:trPr>
        <w:tc>
          <w:tcPr>
            <w:tcW w:w="3046" w:type="dxa"/>
          </w:tcPr>
          <w:p w:rsidR="00A21776" w:rsidRPr="001012FA" w:rsidRDefault="00A21776">
            <w:pPr>
              <w:pStyle w:val="Underskrifter"/>
            </w:pPr>
            <w:r w:rsidRPr="001012FA">
              <w:t>Mats Pertoft (mp)</w:t>
            </w:r>
          </w:p>
        </w:tc>
        <w:tc>
          <w:tcPr>
            <w:tcW w:w="3046" w:type="dxa"/>
          </w:tcPr>
          <w:p w:rsidR="00A21776" w:rsidRPr="001012FA" w:rsidRDefault="00A21776">
            <w:pPr>
              <w:pStyle w:val="Underskrifter"/>
            </w:pPr>
          </w:p>
        </w:tc>
      </w:tr>
      <w:tr w:rsidR="00000000" w:rsidRPr="001012FA">
        <w:trPr>
          <w:cantSplit/>
        </w:trPr>
        <w:tc>
          <w:tcPr>
            <w:tcW w:w="3046" w:type="dxa"/>
          </w:tcPr>
          <w:p w:rsidR="00A21776" w:rsidRPr="001012FA" w:rsidRDefault="00A21776">
            <w:pPr>
              <w:pStyle w:val="Underskrifter"/>
            </w:pPr>
            <w:r w:rsidRPr="001012FA">
              <w:t>Esabelle Reshdouni (mp)</w:t>
            </w:r>
          </w:p>
        </w:tc>
        <w:tc>
          <w:tcPr>
            <w:tcW w:w="3046" w:type="dxa"/>
          </w:tcPr>
          <w:p w:rsidR="00A21776" w:rsidRPr="001012FA" w:rsidRDefault="00A21776">
            <w:pPr>
              <w:pStyle w:val="Underskrifter"/>
            </w:pPr>
            <w:r w:rsidRPr="001012FA">
              <w:t>Mikaela Valtersson (mp)</w:t>
            </w:r>
          </w:p>
        </w:tc>
      </w:tr>
      <w:tr w:rsidR="00000000" w:rsidRPr="001012FA">
        <w:trPr>
          <w:cantSplit/>
        </w:trPr>
        <w:tc>
          <w:tcPr>
            <w:tcW w:w="3046" w:type="dxa"/>
          </w:tcPr>
          <w:p w:rsidR="00A21776" w:rsidRPr="001012FA" w:rsidRDefault="00A21776">
            <w:pPr>
              <w:pStyle w:val="Underskrifter"/>
            </w:pPr>
            <w:r w:rsidRPr="001012FA">
              <w:t>Per Bolund (mp)</w:t>
            </w:r>
          </w:p>
        </w:tc>
        <w:tc>
          <w:tcPr>
            <w:tcW w:w="3046" w:type="dxa"/>
          </w:tcPr>
          <w:p w:rsidR="00A21776" w:rsidRPr="001012FA" w:rsidRDefault="00A21776">
            <w:pPr>
              <w:pStyle w:val="Underskrifter"/>
            </w:pPr>
            <w:r w:rsidRPr="001012FA">
              <w:t>Mehmet Kaplan (mp)</w:t>
            </w:r>
          </w:p>
        </w:tc>
      </w:tr>
      <w:tr w:rsidR="00000000" w:rsidRPr="001012FA">
        <w:trPr>
          <w:cantSplit/>
        </w:trPr>
        <w:tc>
          <w:tcPr>
            <w:tcW w:w="3046" w:type="dxa"/>
          </w:tcPr>
          <w:p w:rsidR="00A21776" w:rsidRPr="001012FA" w:rsidRDefault="00A21776">
            <w:pPr>
              <w:pStyle w:val="Underskrifter"/>
            </w:pPr>
            <w:r w:rsidRPr="001012FA">
              <w:t>Christopher Ödmann (mp)</w:t>
            </w:r>
          </w:p>
        </w:tc>
        <w:tc>
          <w:tcPr>
            <w:tcW w:w="3046" w:type="dxa"/>
          </w:tcPr>
          <w:p w:rsidR="00A21776" w:rsidRPr="001012FA" w:rsidRDefault="00A21776">
            <w:pPr>
              <w:pStyle w:val="Underskrifter"/>
            </w:pPr>
            <w:r w:rsidRPr="001012FA">
              <w:t>Tina Ehn (mp)</w:t>
            </w:r>
          </w:p>
        </w:tc>
      </w:tr>
      <w:tr w:rsidR="00000000" w:rsidRPr="001012FA">
        <w:trPr>
          <w:cantSplit/>
        </w:trPr>
        <w:tc>
          <w:tcPr>
            <w:tcW w:w="3046" w:type="dxa"/>
          </w:tcPr>
          <w:p w:rsidR="00A21776" w:rsidRPr="001012FA" w:rsidRDefault="00A21776">
            <w:pPr>
              <w:pStyle w:val="Underskrifter"/>
            </w:pPr>
            <w:r w:rsidRPr="001012FA">
              <w:t>Jan Lindholm (mp)</w:t>
            </w:r>
          </w:p>
        </w:tc>
        <w:tc>
          <w:tcPr>
            <w:tcW w:w="3046" w:type="dxa"/>
          </w:tcPr>
          <w:p w:rsidR="00A21776" w:rsidRPr="001012FA" w:rsidRDefault="00A21776">
            <w:pPr>
              <w:pStyle w:val="Underskrifter"/>
            </w:pPr>
          </w:p>
        </w:tc>
      </w:tr>
    </w:tbl>
    <w:p w:rsidR="00A21776" w:rsidRPr="001012FA" w:rsidRDefault="00A21776">
      <w:pPr>
        <w:pStyle w:val="Normaltindrag"/>
      </w:pPr>
    </w:p>
    <w:sectPr w:rsidR="00A21776" w:rsidRPr="00101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1776" w:rsidRPr="001012FA" w:rsidRDefault="00A21776">
      <w:r w:rsidRPr="001012FA">
        <w:separator/>
      </w:r>
    </w:p>
  </w:endnote>
  <w:endnote w:type="continuationSeparator" w:id="0">
    <w:p w:rsidR="00A21776" w:rsidRPr="001012FA" w:rsidRDefault="00A21776">
      <w:r w:rsidRPr="001012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776" w:rsidRPr="001012FA" w:rsidRDefault="001012FA">
    <w:pPr>
      <w:pStyle w:val="Sidfot"/>
    </w:pPr>
    <w:r w:rsidRPr="001012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40123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776" w:rsidRDefault="00A217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21776" w:rsidRDefault="00A217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776" w:rsidRPr="001012FA" w:rsidRDefault="001012FA">
    <w:pPr>
      <w:pStyle w:val="Sidfot"/>
    </w:pPr>
    <w:r w:rsidRPr="001012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82434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776" w:rsidRDefault="00A217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1776" w:rsidRDefault="00A217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776" w:rsidRPr="001012FA" w:rsidRDefault="001012FA">
    <w:pPr>
      <w:pStyle w:val="Sidfot"/>
    </w:pPr>
    <w:r w:rsidRPr="001012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18183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776" w:rsidRDefault="00A217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1776" w:rsidRDefault="00A217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1776" w:rsidRPr="001012FA" w:rsidRDefault="00A21776">
      <w:r w:rsidRPr="001012FA">
        <w:separator/>
      </w:r>
    </w:p>
  </w:footnote>
  <w:footnote w:type="continuationSeparator" w:id="0">
    <w:p w:rsidR="00A21776" w:rsidRPr="001012FA" w:rsidRDefault="00A21776">
      <w:r w:rsidRPr="001012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776" w:rsidRPr="001012FA" w:rsidRDefault="001012FA">
    <w:pPr>
      <w:pStyle w:val="Sidhuvud"/>
    </w:pPr>
    <w:r w:rsidRPr="001012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73311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776" w:rsidRDefault="00A217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21776" w:rsidRDefault="00A217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776" w:rsidRPr="001012FA" w:rsidRDefault="001012FA">
    <w:pPr>
      <w:pStyle w:val="Sidhuvud"/>
    </w:pPr>
    <w:r w:rsidRPr="001012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83260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776" w:rsidRDefault="00A217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21776" w:rsidRDefault="00A217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776" w:rsidRPr="001012FA" w:rsidRDefault="00A21776">
    <w:pPr>
      <w:pStyle w:val="FSHNormal"/>
      <w:tabs>
        <w:tab w:val="right" w:pos="5840"/>
      </w:tabs>
    </w:pPr>
    <w:r w:rsidRPr="001012FA">
      <w:br/>
    </w:r>
    <w:r w:rsidRPr="001012FA">
      <w:fldChar w:fldCharType="begin" w:fldLock="1"/>
    </w:r>
    <w:r w:rsidRPr="001012FA">
      <w:instrText xml:space="preserve"> DOCPROPERTY</w:instrText>
    </w:r>
    <w:r w:rsidRPr="001012FA">
      <w:rPr>
        <w:sz w:val="18"/>
      </w:rPr>
      <w:instrText xml:space="preserve"> "YearUser" *\charformat </w:instrText>
    </w:r>
    <w:r w:rsidRPr="001012FA">
      <w:fldChar w:fldCharType="separate"/>
    </w:r>
    <w:r w:rsidRPr="001012FA">
      <w:t>2007/08</w:t>
    </w:r>
    <w:r w:rsidRPr="001012FA">
      <w:fldChar w:fldCharType="end"/>
    </w:r>
    <w:r w:rsidRPr="001012FA">
      <w:t xml:space="preserve"> </w:t>
    </w:r>
    <w:r w:rsidRPr="001012FA">
      <w:tab/>
      <w:t xml:space="preserve">mnr: </w:t>
    </w:r>
    <w:r w:rsidRPr="001012FA">
      <w:fldChar w:fldCharType="begin" w:fldLock="1"/>
    </w:r>
    <w:r w:rsidRPr="001012FA">
      <w:instrText xml:space="preserve"> DOCPROPERTY</w:instrText>
    </w:r>
    <w:r w:rsidRPr="001012FA">
      <w:rPr>
        <w:sz w:val="18"/>
      </w:rPr>
      <w:instrText xml:space="preserve"> "Motionsnummer" *\charformat </w:instrText>
    </w:r>
    <w:r w:rsidRPr="001012FA">
      <w:fldChar w:fldCharType="separate"/>
    </w:r>
    <w:r w:rsidRPr="001012FA">
      <w:t>C315</w:t>
    </w:r>
    <w:r w:rsidRPr="001012FA">
      <w:fldChar w:fldCharType="end"/>
    </w:r>
    <w:r w:rsidRPr="001012FA">
      <w:br/>
    </w:r>
    <w:r w:rsidRPr="001012FA">
      <w:fldChar w:fldCharType="begin" w:fldLock="1"/>
    </w:r>
    <w:r w:rsidRPr="001012FA">
      <w:instrText xml:space="preserve"> DOCPROPERTY</w:instrText>
    </w:r>
    <w:r w:rsidRPr="001012FA">
      <w:rPr>
        <w:sz w:val="18"/>
      </w:rPr>
      <w:instrText xml:space="preserve"> "Samling" *\charformat </w:instrText>
    </w:r>
    <w:r w:rsidRPr="001012FA">
      <w:fldChar w:fldCharType="end"/>
    </w:r>
    <w:r w:rsidRPr="001012FA">
      <w:tab/>
      <w:t xml:space="preserve">pnr: </w:t>
    </w:r>
    <w:r w:rsidRPr="001012FA">
      <w:fldChar w:fldCharType="begin" w:fldLock="1"/>
    </w:r>
    <w:r w:rsidRPr="001012FA">
      <w:instrText xml:space="preserve"> DOCPROPERTY</w:instrText>
    </w:r>
    <w:r w:rsidRPr="001012FA">
      <w:rPr>
        <w:sz w:val="18"/>
      </w:rPr>
      <w:instrText xml:space="preserve"> "Partinummer" *\charformat </w:instrText>
    </w:r>
    <w:r w:rsidRPr="001012FA">
      <w:fldChar w:fldCharType="separate"/>
    </w:r>
    <w:r w:rsidRPr="001012FA">
      <w:t>mp523</w:t>
    </w:r>
    <w:r w:rsidRPr="001012FA">
      <w:fldChar w:fldCharType="end"/>
    </w:r>
  </w:p>
  <w:p w:rsidR="00A21776" w:rsidRPr="001012FA" w:rsidRDefault="00A21776">
    <w:pPr>
      <w:pStyle w:val="FSHRub1"/>
    </w:pPr>
    <w:r w:rsidRPr="001012FA">
      <w:t>Motion till riksdagen</w:t>
    </w:r>
    <w:r w:rsidRPr="001012FA">
      <w:br/>
    </w:r>
    <w:r w:rsidRPr="001012FA">
      <w:fldChar w:fldCharType="begin" w:fldLock="1"/>
    </w:r>
    <w:r w:rsidRPr="001012FA">
      <w:instrText xml:space="preserve"> DOCPROPERTY "YearUser" *\charformat </w:instrText>
    </w:r>
    <w:r w:rsidRPr="001012FA">
      <w:fldChar w:fldCharType="separate"/>
    </w:r>
    <w:r w:rsidRPr="001012FA">
      <w:t>2007/08</w:t>
    </w:r>
    <w:r w:rsidRPr="001012FA">
      <w:fldChar w:fldCharType="end"/>
    </w:r>
    <w:r w:rsidRPr="001012FA">
      <w:t>:</w:t>
    </w:r>
    <w:r w:rsidRPr="001012FA">
      <w:fldChar w:fldCharType="begin" w:fldLock="1"/>
    </w:r>
    <w:r w:rsidRPr="001012FA">
      <w:instrText xml:space="preserve"> DOCPROPERTY "Motionsnummer" *\charformat </w:instrText>
    </w:r>
    <w:r w:rsidRPr="001012FA">
      <w:fldChar w:fldCharType="separate"/>
    </w:r>
    <w:r w:rsidRPr="001012FA">
      <w:t>C315</w:t>
    </w:r>
    <w:r w:rsidRPr="001012FA">
      <w:fldChar w:fldCharType="end"/>
    </w:r>
  </w:p>
  <w:p w:rsidR="00A21776" w:rsidRPr="001012FA" w:rsidRDefault="00A21776">
    <w:pPr>
      <w:pStyle w:val="FSHNormalS5"/>
    </w:pPr>
    <w:r w:rsidRPr="001012FA">
      <w:fldChar w:fldCharType="begin" w:fldLock="1"/>
    </w:r>
    <w:r w:rsidRPr="001012FA">
      <w:instrText xml:space="preserve"> DOCPROPERTY "MotionarText" *\charformat </w:instrText>
    </w:r>
    <w:r w:rsidRPr="001012FA">
      <w:fldChar w:fldCharType="separate"/>
    </w:r>
    <w:r w:rsidRPr="001012FA">
      <w:t>av Mats Pertoft m.fl. (mp)</w:t>
    </w:r>
    <w:r w:rsidRPr="001012FA">
      <w:fldChar w:fldCharType="end"/>
    </w:r>
    <w:r w:rsidRPr="001012FA">
      <w:br/>
    </w:r>
    <w:r w:rsidRPr="001012FA">
      <w:fldChar w:fldCharType="begin" w:fldLock="1"/>
    </w:r>
    <w:r w:rsidRPr="001012FA">
      <w:instrText xml:space="preserve"> DOCPROPERTY "SvarFrasKort" *\charformat </w:instrText>
    </w:r>
    <w:r w:rsidRPr="001012FA">
      <w:fldChar w:fldCharType="end"/>
    </w:r>
  </w:p>
  <w:p w:rsidR="00A21776" w:rsidRPr="001012FA" w:rsidRDefault="00A21776">
    <w:pPr>
      <w:pStyle w:val="FSHTitel"/>
    </w:pPr>
    <w:r w:rsidRPr="001012FA">
      <w:fldChar w:fldCharType="begin" w:fldLock="1"/>
    </w:r>
    <w:r w:rsidRPr="001012FA">
      <w:instrText xml:space="preserve"> DOCPROPERTY</w:instrText>
    </w:r>
    <w:r w:rsidRPr="001012FA">
      <w:rPr>
        <w:sz w:val="18"/>
      </w:rPr>
      <w:instrText xml:space="preserve"> "RubrikSvar" *\charformat </w:instrText>
    </w:r>
    <w:r w:rsidRPr="001012FA">
      <w:fldChar w:fldCharType="separate"/>
    </w:r>
    <w:r w:rsidRPr="001012FA">
      <w:t>De gröna kilarna i Stockholm</w:t>
    </w:r>
    <w:r w:rsidRPr="001012FA">
      <w:fldChar w:fldCharType="end"/>
    </w:r>
  </w:p>
  <w:p w:rsidR="00A21776" w:rsidRPr="001012FA" w:rsidRDefault="00A21776">
    <w:pPr>
      <w:pStyle w:val="Normal00"/>
    </w:pPr>
  </w:p>
  <w:p w:rsidR="00A21776" w:rsidRPr="001012FA" w:rsidRDefault="00A217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3169681">
    <w:abstractNumId w:val="8"/>
  </w:num>
  <w:num w:numId="2" w16cid:durableId="1483735375">
    <w:abstractNumId w:val="9"/>
  </w:num>
  <w:num w:numId="3" w16cid:durableId="1517570701">
    <w:abstractNumId w:val="8"/>
  </w:num>
  <w:num w:numId="4" w16cid:durableId="1263993027">
    <w:abstractNumId w:val="9"/>
  </w:num>
  <w:num w:numId="5" w16cid:durableId="2047948727">
    <w:abstractNumId w:val="13"/>
  </w:num>
  <w:num w:numId="6" w16cid:durableId="621116212">
    <w:abstractNumId w:val="10"/>
  </w:num>
  <w:num w:numId="7" w16cid:durableId="1265455907">
    <w:abstractNumId w:val="11"/>
  </w:num>
  <w:num w:numId="8" w16cid:durableId="871186134">
    <w:abstractNumId w:val="12"/>
  </w:num>
  <w:num w:numId="9" w16cid:durableId="1345396636">
    <w:abstractNumId w:val="8"/>
  </w:num>
  <w:num w:numId="10" w16cid:durableId="1601403628">
    <w:abstractNumId w:val="3"/>
  </w:num>
  <w:num w:numId="11" w16cid:durableId="304243851">
    <w:abstractNumId w:val="2"/>
  </w:num>
  <w:num w:numId="12" w16cid:durableId="2048529187">
    <w:abstractNumId w:val="1"/>
  </w:num>
  <w:num w:numId="13" w16cid:durableId="1780879678">
    <w:abstractNumId w:val="0"/>
  </w:num>
  <w:num w:numId="14" w16cid:durableId="750276880">
    <w:abstractNumId w:val="9"/>
  </w:num>
  <w:num w:numId="15" w16cid:durableId="187373990">
    <w:abstractNumId w:val="7"/>
  </w:num>
  <w:num w:numId="16" w16cid:durableId="478500141">
    <w:abstractNumId w:val="6"/>
  </w:num>
  <w:num w:numId="17" w16cid:durableId="1579709268">
    <w:abstractNumId w:val="5"/>
  </w:num>
  <w:num w:numId="18" w16cid:durableId="1016617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0F87DCE8-E845-4A82-8576-72C9B4F36723},{67E77369-3EE3-448A-A205-B9E0C4AF5EC8},{7C31CD86-53C7-4E1C-A073-157C1FC7DBDC},{7CC9A58C-3141-48A3-86B8-8EA19B911E01},{118C048D-818B-4EE9-99AD-DE1F328BC164},{D647C219-7898-4362-BF73-F492DCC88E33},{18C74A2A-AE65-4127-9CEA-CFF157E3C4FA},{C87839E7-C05D-47B9-AB7F-246B82B1F61B}"/>
  </w:docVars>
  <w:rsids>
    <w:rsidRoot w:val="000460F8"/>
    <w:rsid w:val="000460F8"/>
    <w:rsid w:val="001012FA"/>
    <w:rsid w:val="00A2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74D3BE-61B0-44C8-9002-D6CE6912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underskriftdatum0">
    <w:name w:val="underskriftdatum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underskrifter0">
    <w:name w:val="underskrifter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3663</Characters>
  <Application>Microsoft Office Word</Application>
  <DocSecurity>4</DocSecurity>
  <Lines>73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mp523</vt:lpstr>
    </vt:vector>
  </TitlesOfParts>
  <Company>Riksdagen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mp523</dc:title>
  <dc:subject>mp523</dc:subject>
  <dc:creator>Riksdagen</dc:creator>
  <cp:keywords>Riksdagen</cp:keywords>
  <dc:description>TKG-ktrl, MSMQ4mb, PersReg-Distribution mm</dc:description>
  <cp:lastModifiedBy>Lars Brink</cp:lastModifiedBy>
  <cp:revision>2</cp:revision>
  <cp:lastPrinted>2007-11-14T07:36:00Z</cp:lastPrinted>
  <dcterms:created xsi:type="dcterms:W3CDTF">2025-12-17T04:55:00Z</dcterms:created>
  <dcterms:modified xsi:type="dcterms:W3CDTF">2025-12-17T04:55:00Z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De gröna kilarna i Stockholm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 gröna kilarna i Stockholm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mp523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Mats Pertoft m.fl. (mp)</vt:lpwstr>
  </property>
  <property fmtid="{D5CDD505-2E9C-101B-9397-08002B2CF9AE}" pid="26" name="MotionarLista">
    <vt:lpwstr>Pertoft, Mats (mp)\Reshdouni, Esabelle (mp)\Valtersson, Mikaela (mp)\Bolund, Per (mp)\Kaplan, Mehmet (mp)\Ödmann, Christopher (mp)\Ehn, Tina (mp)\Lindholm,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Pertoft (mp), Esabelle Reshdouni (mp), Mikaela Valtersson (mp), Per Bolund (mp), Mehmet Kaplan (mp), Christopher Ödmann (mp), Tina Ehn (mp), 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20072008000001090112000005230075</vt:lpwstr>
  </property>
  <property fmtid="{D5CDD505-2E9C-101B-9397-08002B2CF9AE}" pid="47" name="datum">
    <vt:lpwstr>071003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20072008000001090112000005230075</vt:lpwstr>
  </property>
  <property fmtid="{D5CDD505-2E9C-101B-9397-08002B2CF9AE}" pid="50" name="nummer">
    <vt:lpwstr>315</vt:lpwstr>
  </property>
  <property fmtid="{D5CDD505-2E9C-101B-9397-08002B2CF9AE}" pid="51" name="utskottsbeteckning">
    <vt:lpwstr>C</vt:lpwstr>
  </property>
  <property fmtid="{D5CDD505-2E9C-101B-9397-08002B2CF9AE}" pid="52" name="GlobalUID">
    <vt:lpwstr>{E2B2B38B-8BCD-4469-B2BC-C2ABCB9D160F}</vt:lpwstr>
  </property>
  <property fmtid="{D5CDD505-2E9C-101B-9397-08002B2CF9AE}" pid="53" name="Överföringar">
    <vt:i4>0</vt:i4>
  </property>
  <property fmtid="{D5CDD505-2E9C-101B-9397-08002B2CF9AE}" pid="54" name="Checksum">
    <vt:lpwstr>*0012208037467*</vt:lpwstr>
  </property>
  <property fmtid="{D5CDD505-2E9C-101B-9397-08002B2CF9AE}" pid="55" name="skuggnummer">
    <vt:lpwstr>1438</vt:lpwstr>
  </property>
  <property fmtid="{D5CDD505-2E9C-101B-9397-08002B2CF9AE}" pid="56" name="urixVersion">
    <vt:lpwstr>3.2.0.8</vt:lpwstr>
  </property>
  <property fmtid="{D5CDD505-2E9C-101B-9397-08002B2CF9AE}" pid="57" name="urixOrigin">
    <vt:lpwstr>071114 08:36:37.683</vt:lpwstr>
  </property>
  <property fmtid="{D5CDD505-2E9C-101B-9397-08002B2CF9AE}" pid="58" name="urixGuid">
    <vt:lpwstr>{73181029-AD94-4FE6-A21D-7F54BCC30304}</vt:lpwstr>
  </property>
</Properties>
</file>