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2D7E" w:rsidRDefault="00D2089F" w14:paraId="7F6A3C53" w14:textId="77777777">
      <w:pPr>
        <w:pStyle w:val="RubrikFrslagTIllRiksdagsbeslut"/>
      </w:pPr>
      <w:sdt>
        <w:sdtPr>
          <w:alias w:val="CC_Boilerplate_4"/>
          <w:tag w:val="CC_Boilerplate_4"/>
          <w:id w:val="-1644581176"/>
          <w:lock w:val="sdtContentLocked"/>
          <w:placeholder>
            <w:docPart w:val="C0276F1DC4A54B318E486DEB11A48C7A"/>
          </w:placeholder>
          <w:text/>
        </w:sdtPr>
        <w:sdtEndPr/>
        <w:sdtContent>
          <w:r w:rsidRPr="009B062B" w:rsidR="00AF30DD">
            <w:t>Förslag till riksdagsbeslut</w:t>
          </w:r>
        </w:sdtContent>
      </w:sdt>
      <w:bookmarkEnd w:id="0"/>
      <w:bookmarkEnd w:id="1"/>
    </w:p>
    <w:sdt>
      <w:sdtPr>
        <w:alias w:val="Yrkande 1"/>
        <w:tag w:val="f0c9042a-1b03-493b-8730-1167ad7f714f"/>
        <w:id w:val="-696542544"/>
        <w:lock w:val="sdtLocked"/>
      </w:sdtPr>
      <w:sdtEndPr/>
      <w:sdtContent>
        <w:p w:rsidR="006270FC" w:rsidRDefault="00D7791A" w14:paraId="3D895B69" w14:textId="32DEBA7B">
          <w:pPr>
            <w:pStyle w:val="Frslagstext"/>
            <w:numPr>
              <w:ilvl w:val="0"/>
              <w:numId w:val="0"/>
            </w:numPr>
          </w:pPr>
          <w:r>
            <w:t>Riksdagen ställer sig bakom det som anförs i motionen om att regeringen ska vidta åtgärder för att klargöra och förhindra att kommuner och regioner överskrider sina befogenheter i utrikespolitiska frågor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195FBC7AC2479ABE8919B7120496C9"/>
        </w:placeholder>
        <w:text/>
      </w:sdtPr>
      <w:sdtEndPr/>
      <w:sdtContent>
        <w:p w:rsidRPr="009B062B" w:rsidR="006D79C9" w:rsidP="00333E95" w:rsidRDefault="006D79C9" w14:paraId="75F26949" w14:textId="77777777">
          <w:pPr>
            <w:pStyle w:val="Rubrik1"/>
          </w:pPr>
          <w:r>
            <w:t>Motivering</w:t>
          </w:r>
        </w:p>
      </w:sdtContent>
    </w:sdt>
    <w:bookmarkEnd w:displacedByCustomXml="prev" w:id="3"/>
    <w:bookmarkEnd w:displacedByCustomXml="prev" w:id="4"/>
    <w:p w:rsidR="00AF5286" w:rsidP="006953BE" w:rsidRDefault="006953BE" w14:paraId="14FA181F" w14:textId="73F98D13">
      <w:pPr>
        <w:pStyle w:val="Normalutanindragellerluft"/>
      </w:pPr>
      <w:r w:rsidRPr="00D2089F">
        <w:rPr>
          <w:spacing w:val="-3"/>
        </w:rPr>
        <w:t>Kommunallagen ger kommuner och regioner tydliga riktlinjer för deras ansvarsområden</w:t>
      </w:r>
      <w:r>
        <w:t xml:space="preserve">, </w:t>
      </w:r>
      <w:r w:rsidR="00AF5286">
        <w:t>vilket</w:t>
      </w:r>
      <w:r>
        <w:t xml:space="preserve"> är begränsa</w:t>
      </w:r>
      <w:r w:rsidR="00D7791A">
        <w:t>t</w:t>
      </w:r>
      <w:r>
        <w:t xml:space="preserve"> till lokala frågor. Utrikespolitiken är en exklusiv statlig befogenhet, vilket innebär att kommunerna inte ska kunna bedriva egen utrikespolitik. Trots detta har det uppmärksammats att vissa kommuner har försökt driva egna politiska bojkotter eller initiativ som kan påverka Sveriges utrikespolitiska relationer. Ett exempel på detta är Göteborgs </w:t>
      </w:r>
      <w:r w:rsidR="00D7791A">
        <w:t>s</w:t>
      </w:r>
      <w:r>
        <w:t>tads tidigare beslut</w:t>
      </w:r>
      <w:r w:rsidR="00AF5286">
        <w:t xml:space="preserve"> om</w:t>
      </w:r>
      <w:r>
        <w:t xml:space="preserve"> att bojkotta produkter från specifika länder</w:t>
      </w:r>
      <w:r w:rsidR="00AF5286">
        <w:t>. Detta</w:t>
      </w:r>
      <w:r>
        <w:t xml:space="preserve"> visar på behovet av tydliga riktlinjer </w:t>
      </w:r>
      <w:r w:rsidR="00AF5286">
        <w:t>samt</w:t>
      </w:r>
      <w:r>
        <w:t xml:space="preserve"> tillsyn för att undvika att kommuner agerar utanför sitt mandat. De</w:t>
      </w:r>
      <w:r w:rsidR="00AF5286">
        <w:t>tta</w:t>
      </w:r>
      <w:r>
        <w:t xml:space="preserve"> riskerar</w:t>
      </w:r>
      <w:r w:rsidR="00AF5286">
        <w:t xml:space="preserve"> annars</w:t>
      </w:r>
      <w:r>
        <w:t xml:space="preserve"> att skapa förvirring och skada Sveriges inter</w:t>
      </w:r>
      <w:r w:rsidR="00D2089F">
        <w:softHyphen/>
      </w:r>
      <w:r w:rsidRPr="00D2089F">
        <w:rPr>
          <w:spacing w:val="-3"/>
        </w:rPr>
        <w:t>nationella relationer</w:t>
      </w:r>
      <w:r w:rsidRPr="00D2089F" w:rsidR="00AF5286">
        <w:rPr>
          <w:spacing w:val="-3"/>
        </w:rPr>
        <w:t xml:space="preserve"> och rykte</w:t>
      </w:r>
      <w:r w:rsidRPr="00D2089F">
        <w:rPr>
          <w:spacing w:val="-3"/>
        </w:rPr>
        <w:t xml:space="preserve">. För att undvika detta </w:t>
      </w:r>
      <w:r w:rsidRPr="00D2089F" w:rsidR="00AF5286">
        <w:rPr>
          <w:spacing w:val="-3"/>
        </w:rPr>
        <w:t>bör</w:t>
      </w:r>
      <w:r w:rsidRPr="00D2089F">
        <w:rPr>
          <w:spacing w:val="-3"/>
        </w:rPr>
        <w:t xml:space="preserve"> åtgärder</w:t>
      </w:r>
      <w:r w:rsidRPr="00D2089F" w:rsidR="00AF5286">
        <w:rPr>
          <w:spacing w:val="-3"/>
        </w:rPr>
        <w:t xml:space="preserve"> vidtas</w:t>
      </w:r>
      <w:r w:rsidRPr="00D2089F">
        <w:rPr>
          <w:spacing w:val="-3"/>
        </w:rPr>
        <w:t xml:space="preserve"> som inte kräver </w:t>
      </w:r>
      <w:r w:rsidRPr="00D2089F" w:rsidR="00AF5286">
        <w:rPr>
          <w:spacing w:val="-3"/>
        </w:rPr>
        <w:t xml:space="preserve">en </w:t>
      </w:r>
      <w:r w:rsidRPr="00D2089F">
        <w:rPr>
          <w:spacing w:val="-3"/>
        </w:rPr>
        <w:t>lagändring men som tydligt reglerar hur kommunerna ska förhålla sig till utrikespolitiska</w:t>
      </w:r>
      <w:r>
        <w:t xml:space="preserve"> frågor.</w:t>
      </w:r>
    </w:p>
    <w:p w:rsidR="00AF5286" w:rsidP="00D2089F" w:rsidRDefault="006953BE" w14:paraId="235A4EE3" w14:textId="3D5BBFA8">
      <w:r>
        <w:t>För att säkerställa att kommuner och regioner förstår sina begränsningar i utrikes</w:t>
      </w:r>
      <w:r w:rsidR="00D2089F">
        <w:softHyphen/>
      </w:r>
      <w:r>
        <w:t xml:space="preserve">politiska frågor </w:t>
      </w:r>
      <w:r w:rsidR="005D1D55">
        <w:t>skulle</w:t>
      </w:r>
      <w:r>
        <w:t xml:space="preserve"> regeringen, i samarbete med Sveriges Kommuner och Regioner (SKR), </w:t>
      </w:r>
      <w:r w:rsidR="00AF5286">
        <w:t xml:space="preserve">kunna </w:t>
      </w:r>
      <w:r>
        <w:t>utveckla förtydliga</w:t>
      </w:r>
      <w:r w:rsidR="00AF5286">
        <w:t>n</w:t>
      </w:r>
      <w:r>
        <w:t xml:space="preserve">de riktlinjer. Dessa riktlinjer ska klargöra vad som är förenligt med kommunallagen </w:t>
      </w:r>
      <w:r w:rsidR="00AF5286">
        <w:t>samt</w:t>
      </w:r>
      <w:r>
        <w:t xml:space="preserve"> tydligt definiera gränserna för vad kommuner får och inte får göra. Genom dessa riktlinjer kan man förhindra framtida fall där kommuner försöker driva politiska </w:t>
      </w:r>
      <w:r w:rsidR="00A049A5">
        <w:t xml:space="preserve">initiativ likt </w:t>
      </w:r>
      <w:r>
        <w:t xml:space="preserve">bojkotter </w:t>
      </w:r>
      <w:r w:rsidR="00A049A5">
        <w:t>och</w:t>
      </w:r>
      <w:r>
        <w:t xml:space="preserve"> </w:t>
      </w:r>
      <w:r w:rsidR="00A049A5">
        <w:t>ställningstaganden</w:t>
      </w:r>
      <w:r>
        <w:t xml:space="preserve"> som kan påverka Sveriges internationella relationer.</w:t>
      </w:r>
    </w:p>
    <w:p w:rsidR="00AF5286" w:rsidP="00D2089F" w:rsidRDefault="005D1D55" w14:paraId="2D77D59B" w14:textId="69FEC47D">
      <w:r>
        <w:lastRenderedPageBreak/>
        <w:t>Likaså kan</w:t>
      </w:r>
      <w:r w:rsidR="006953BE">
        <w:t xml:space="preserve"> regeringen ge länsstyrelser och Justitieombudsmannen (JO) ett tydligare </w:t>
      </w:r>
      <w:r w:rsidRPr="00D2089F" w:rsidR="006953BE">
        <w:rPr>
          <w:spacing w:val="-3"/>
        </w:rPr>
        <w:t>uppdrag att övervaka kommunala beslut som rör utrikespolitiska frågor. Genom att stärka</w:t>
      </w:r>
      <w:r w:rsidR="006953BE">
        <w:t xml:space="preserve"> tillsynen kan myndigheterna ingripa i </w:t>
      </w:r>
      <w:r w:rsidR="001015B7">
        <w:t xml:space="preserve">god </w:t>
      </w:r>
      <w:r w:rsidR="006953BE">
        <w:t>tid om en kommun skulle försöka överskrida sina befogenheter och ta initiativ som</w:t>
      </w:r>
      <w:r w:rsidR="001015B7">
        <w:t xml:space="preserve"> i själva verket</w:t>
      </w:r>
      <w:r w:rsidR="006953BE">
        <w:t xml:space="preserve"> tillhör statens ansvarsområde. Att ge dessa myndigheter bättre resurser och ett tydligare mandat skulle öka rättssäkerheten och förhindra att felaktiga beslut genomförs.</w:t>
      </w:r>
    </w:p>
    <w:p w:rsidR="00AF5286" w:rsidP="00D2089F" w:rsidRDefault="006953BE" w14:paraId="45845650" w14:textId="03D46ED2">
      <w:r>
        <w:t xml:space="preserve">Förutom tillsyn behövs </w:t>
      </w:r>
      <w:r w:rsidR="001015B7">
        <w:t xml:space="preserve">därutöver </w:t>
      </w:r>
      <w:r>
        <w:t xml:space="preserve">en förstärkt informationsspridning till kommuner och regioner. Detta kan göras genom utbildningsinsatser och kampanjer som riktar sig </w:t>
      </w:r>
      <w:r w:rsidRPr="00D2089F">
        <w:rPr>
          <w:spacing w:val="-3"/>
        </w:rPr>
        <w:t xml:space="preserve">till förtroendevalda och tjänstemän </w:t>
      </w:r>
      <w:r w:rsidRPr="00D2089F" w:rsidR="001015B7">
        <w:rPr>
          <w:spacing w:val="-3"/>
        </w:rPr>
        <w:t>i syfte</w:t>
      </w:r>
      <w:r w:rsidRPr="00D2089F">
        <w:rPr>
          <w:spacing w:val="-3"/>
        </w:rPr>
        <w:t xml:space="preserve"> att säkerställa en tydlig förståelse för kommunal</w:t>
      </w:r>
      <w:r w:rsidRPr="00D2089F" w:rsidR="00D2089F">
        <w:rPr>
          <w:spacing w:val="-3"/>
        </w:rPr>
        <w:softHyphen/>
      </w:r>
      <w:r w:rsidRPr="00D2089F">
        <w:rPr>
          <w:spacing w:val="-3"/>
        </w:rPr>
        <w:t>lagens</w:t>
      </w:r>
      <w:r>
        <w:t xml:space="preserve"> begränsningar i frågor som rör utrikespolitik. Sådana informationsinsatser kan hjälpa </w:t>
      </w:r>
      <w:r w:rsidRPr="00D2089F">
        <w:rPr>
          <w:spacing w:val="-3"/>
        </w:rPr>
        <w:t>till att förebygga felaktiga beslut och underlätta för kommuner att navigera i frågor</w:t>
      </w:r>
      <w:r>
        <w:t xml:space="preserve"> som har potenti</w:t>
      </w:r>
      <w:r w:rsidR="001015B7">
        <w:t>al att ha en</w:t>
      </w:r>
      <w:r>
        <w:t xml:space="preserve"> internationell påverkan.</w:t>
      </w:r>
    </w:p>
    <w:p w:rsidR="006953BE" w:rsidP="00D2089F" w:rsidRDefault="006953BE" w14:paraId="74FCA780" w14:textId="12CCDF89">
      <w:r w:rsidRPr="00D2089F">
        <w:rPr>
          <w:spacing w:val="-3"/>
        </w:rPr>
        <w:t xml:space="preserve">Slutligen är det </w:t>
      </w:r>
      <w:r w:rsidRPr="00D2089F" w:rsidR="001015B7">
        <w:rPr>
          <w:spacing w:val="-3"/>
        </w:rPr>
        <w:t xml:space="preserve">även </w:t>
      </w:r>
      <w:r w:rsidRPr="00D2089F">
        <w:rPr>
          <w:spacing w:val="-3"/>
        </w:rPr>
        <w:t>viktigt att praxis från rättsfall som berör kommunernas agerande</w:t>
      </w:r>
      <w:r>
        <w:t xml:space="preserve"> i utrikespolitiska frågor tydligt kommuniceras och sprids till kommunerna. Genom att sammanställa och dela vägledande rättsfall kan kommuner få en bättre förståelse för var </w:t>
      </w:r>
      <w:r w:rsidRPr="00D2089F">
        <w:rPr>
          <w:spacing w:val="-3"/>
        </w:rPr>
        <w:t xml:space="preserve">gränserna går för deras befogenheter. Detta skulle </w:t>
      </w:r>
      <w:r w:rsidRPr="00D2089F" w:rsidR="001015B7">
        <w:rPr>
          <w:spacing w:val="-3"/>
        </w:rPr>
        <w:t xml:space="preserve">såväl </w:t>
      </w:r>
      <w:r w:rsidRPr="00D2089F">
        <w:rPr>
          <w:spacing w:val="-3"/>
        </w:rPr>
        <w:t xml:space="preserve">minska osäkerheten </w:t>
      </w:r>
      <w:r w:rsidRPr="00D2089F" w:rsidR="001015B7">
        <w:rPr>
          <w:spacing w:val="-3"/>
        </w:rPr>
        <w:t>som</w:t>
      </w:r>
      <w:r w:rsidRPr="00D2089F" w:rsidR="00F82D7E">
        <w:rPr>
          <w:spacing w:val="-3"/>
        </w:rPr>
        <w:t xml:space="preserve"> </w:t>
      </w:r>
      <w:r w:rsidRPr="00D2089F">
        <w:rPr>
          <w:spacing w:val="-3"/>
        </w:rPr>
        <w:t xml:space="preserve">förhindra </w:t>
      </w:r>
      <w:r>
        <w:t>att felaktiga beslut fattas</w:t>
      </w:r>
      <w:r w:rsidR="00F82D7E">
        <w:t>.</w:t>
      </w:r>
    </w:p>
    <w:sdt>
      <w:sdtPr>
        <w:rPr>
          <w:i/>
          <w:noProof/>
        </w:rPr>
        <w:alias w:val="CC_Underskrifter"/>
        <w:tag w:val="CC_Underskrifter"/>
        <w:id w:val="583496634"/>
        <w:lock w:val="sdtContentLocked"/>
        <w:placeholder>
          <w:docPart w:val="3BFA6FA6F92F4BA2927CBDC50BC53C6E"/>
        </w:placeholder>
      </w:sdtPr>
      <w:sdtEndPr>
        <w:rPr>
          <w:i w:val="0"/>
          <w:noProof w:val="0"/>
        </w:rPr>
      </w:sdtEndPr>
      <w:sdtContent>
        <w:p w:rsidR="00F82D7E" w:rsidP="00546E14" w:rsidRDefault="00F82D7E" w14:paraId="36D9871D" w14:textId="77777777"/>
        <w:p w:rsidRPr="008E0FE2" w:rsidR="004801AC" w:rsidP="00546E14" w:rsidRDefault="00D2089F" w14:paraId="11400EBA" w14:textId="2C729968"/>
      </w:sdtContent>
    </w:sdt>
    <w:tbl>
      <w:tblPr>
        <w:tblW w:w="5000" w:type="pct"/>
        <w:tblLook w:val="04A0" w:firstRow="1" w:lastRow="0" w:firstColumn="1" w:lastColumn="0" w:noHBand="0" w:noVBand="1"/>
        <w:tblCaption w:val="underskrifter"/>
      </w:tblPr>
      <w:tblGrid>
        <w:gridCol w:w="4252"/>
        <w:gridCol w:w="4252"/>
      </w:tblGrid>
      <w:tr w:rsidR="006270FC" w14:paraId="73FDE7DC" w14:textId="77777777">
        <w:trPr>
          <w:cantSplit/>
        </w:trPr>
        <w:tc>
          <w:tcPr>
            <w:tcW w:w="50" w:type="pct"/>
            <w:vAlign w:val="bottom"/>
          </w:tcPr>
          <w:p w:rsidR="006270FC" w:rsidRDefault="00D7791A" w14:paraId="5CC9C3C0" w14:textId="77777777">
            <w:pPr>
              <w:pStyle w:val="Underskrifter"/>
              <w:spacing w:after="0"/>
            </w:pPr>
            <w:r>
              <w:t>Magnus Berntsson (KD)</w:t>
            </w:r>
          </w:p>
        </w:tc>
        <w:tc>
          <w:tcPr>
            <w:tcW w:w="50" w:type="pct"/>
            <w:vAlign w:val="bottom"/>
          </w:tcPr>
          <w:p w:rsidR="006270FC" w:rsidRDefault="006270FC" w14:paraId="43677B9C" w14:textId="77777777">
            <w:pPr>
              <w:pStyle w:val="Underskrifter"/>
              <w:spacing w:after="0"/>
            </w:pPr>
          </w:p>
        </w:tc>
      </w:tr>
    </w:tbl>
    <w:p w:rsidR="00D1058E" w:rsidRDefault="00D1058E" w14:paraId="21B936B5" w14:textId="77777777"/>
    <w:sectPr w:rsidR="00D105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505F" w14:textId="77777777" w:rsidR="003649A5" w:rsidRDefault="003649A5" w:rsidP="000C1CAD">
      <w:pPr>
        <w:spacing w:line="240" w:lineRule="auto"/>
      </w:pPr>
      <w:r>
        <w:separator/>
      </w:r>
    </w:p>
  </w:endnote>
  <w:endnote w:type="continuationSeparator" w:id="0">
    <w:p w14:paraId="7D65A528" w14:textId="77777777" w:rsidR="003649A5" w:rsidRDefault="00364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9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32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5D74" w14:textId="7BA43FB0" w:rsidR="00262EA3" w:rsidRPr="00546E14" w:rsidRDefault="00262EA3" w:rsidP="00546E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A0EC" w14:textId="77777777" w:rsidR="003649A5" w:rsidRDefault="003649A5" w:rsidP="000C1CAD">
      <w:pPr>
        <w:spacing w:line="240" w:lineRule="auto"/>
      </w:pPr>
      <w:r>
        <w:separator/>
      </w:r>
    </w:p>
  </w:footnote>
  <w:footnote w:type="continuationSeparator" w:id="0">
    <w:p w14:paraId="02D5E96C" w14:textId="77777777" w:rsidR="003649A5" w:rsidRDefault="003649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69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151FAD" wp14:editId="426CEC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A0D2A" w14:textId="7FA9A397" w:rsidR="00262EA3" w:rsidRDefault="00D2089F" w:rsidP="008103B5">
                          <w:pPr>
                            <w:jc w:val="right"/>
                          </w:pPr>
                          <w:sdt>
                            <w:sdtPr>
                              <w:alias w:val="CC_Noformat_Partikod"/>
                              <w:tag w:val="CC_Noformat_Partikod"/>
                              <w:id w:val="-53464382"/>
                              <w:text/>
                            </w:sdtPr>
                            <w:sdtEndPr/>
                            <w:sdtContent>
                              <w:r w:rsidR="006953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51F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A0D2A" w14:textId="7FA9A397" w:rsidR="00262EA3" w:rsidRDefault="00D2089F" w:rsidP="008103B5">
                    <w:pPr>
                      <w:jc w:val="right"/>
                    </w:pPr>
                    <w:sdt>
                      <w:sdtPr>
                        <w:alias w:val="CC_Noformat_Partikod"/>
                        <w:tag w:val="CC_Noformat_Partikod"/>
                        <w:id w:val="-53464382"/>
                        <w:text/>
                      </w:sdtPr>
                      <w:sdtEndPr/>
                      <w:sdtContent>
                        <w:r w:rsidR="006953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6F93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6D95" w14:textId="77777777" w:rsidR="00262EA3" w:rsidRDefault="00262EA3" w:rsidP="008563AC">
    <w:pPr>
      <w:jc w:val="right"/>
    </w:pPr>
  </w:p>
  <w:p w14:paraId="0F15DB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E0A2" w14:textId="77777777" w:rsidR="00262EA3" w:rsidRDefault="00D208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BB48EA" wp14:editId="16E93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D76FC3" w14:textId="550764DF" w:rsidR="00262EA3" w:rsidRDefault="00D2089F" w:rsidP="00A314CF">
    <w:pPr>
      <w:pStyle w:val="FSHNormal"/>
      <w:spacing w:before="40"/>
    </w:pPr>
    <w:sdt>
      <w:sdtPr>
        <w:alias w:val="CC_Noformat_Motionstyp"/>
        <w:tag w:val="CC_Noformat_Motionstyp"/>
        <w:id w:val="1162973129"/>
        <w:lock w:val="sdtContentLocked"/>
        <w15:appearance w15:val="hidden"/>
        <w:text/>
      </w:sdtPr>
      <w:sdtEndPr/>
      <w:sdtContent>
        <w:r w:rsidR="00546E14">
          <w:t>Enskild motion</w:t>
        </w:r>
      </w:sdtContent>
    </w:sdt>
    <w:r w:rsidR="00821B36">
      <w:t xml:space="preserve"> </w:t>
    </w:r>
    <w:sdt>
      <w:sdtPr>
        <w:alias w:val="CC_Noformat_Partikod"/>
        <w:tag w:val="CC_Noformat_Partikod"/>
        <w:id w:val="1471015553"/>
        <w:lock w:val="contentLocked"/>
        <w:text/>
      </w:sdtPr>
      <w:sdtEndPr/>
      <w:sdtContent>
        <w:r w:rsidR="006953BE">
          <w:t>KD</w:t>
        </w:r>
      </w:sdtContent>
    </w:sdt>
    <w:sdt>
      <w:sdtPr>
        <w:alias w:val="CC_Noformat_Partinummer"/>
        <w:tag w:val="CC_Noformat_Partinummer"/>
        <w:id w:val="-2014525982"/>
        <w:lock w:val="contentLocked"/>
        <w:showingPlcHdr/>
        <w:text/>
      </w:sdtPr>
      <w:sdtEndPr/>
      <w:sdtContent>
        <w:r w:rsidR="00821B36">
          <w:t xml:space="preserve"> </w:t>
        </w:r>
      </w:sdtContent>
    </w:sdt>
  </w:p>
  <w:p w14:paraId="79E73532" w14:textId="77777777" w:rsidR="00262EA3" w:rsidRPr="008227B3" w:rsidRDefault="00D208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F0C98F" w14:textId="3720899F" w:rsidR="00262EA3" w:rsidRPr="008227B3" w:rsidRDefault="00D208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E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E14">
          <w:t>:1043</w:t>
        </w:r>
      </w:sdtContent>
    </w:sdt>
  </w:p>
  <w:p w14:paraId="7171394E" w14:textId="54572367" w:rsidR="00262EA3" w:rsidRDefault="00D2089F" w:rsidP="00E03A3D">
    <w:pPr>
      <w:pStyle w:val="Motionr"/>
    </w:pPr>
    <w:sdt>
      <w:sdtPr>
        <w:alias w:val="CC_Noformat_Avtext"/>
        <w:tag w:val="CC_Noformat_Avtext"/>
        <w:id w:val="-2020768203"/>
        <w:lock w:val="sdtContentLocked"/>
        <w15:appearance w15:val="hidden"/>
        <w:text/>
      </w:sdtPr>
      <w:sdtEndPr/>
      <w:sdtContent>
        <w:r w:rsidR="00546E14">
          <w:t>av Magnus Berntsson (KD)</w:t>
        </w:r>
      </w:sdtContent>
    </w:sdt>
  </w:p>
  <w:sdt>
    <w:sdtPr>
      <w:alias w:val="CC_Noformat_Rubtext"/>
      <w:tag w:val="CC_Noformat_Rubtext"/>
      <w:id w:val="-218060500"/>
      <w:lock w:val="sdtLocked"/>
      <w:text/>
    </w:sdtPr>
    <w:sdtEndPr/>
    <w:sdtContent>
      <w:p w14:paraId="1FB054AF" w14:textId="554D2B89" w:rsidR="00262EA3" w:rsidRDefault="00E760DA" w:rsidP="00283E0F">
        <w:pPr>
          <w:pStyle w:val="FSHRub2"/>
        </w:pPr>
        <w:r>
          <w:t>Åtgärder mot kommunalt befogenhetsöverskridande i utrikespolitiska frågor</w:t>
        </w:r>
      </w:p>
    </w:sdtContent>
  </w:sdt>
  <w:sdt>
    <w:sdtPr>
      <w:alias w:val="CC_Boilerplate_3"/>
      <w:tag w:val="CC_Boilerplate_3"/>
      <w:id w:val="1606463544"/>
      <w:lock w:val="sdtContentLocked"/>
      <w15:appearance w15:val="hidden"/>
      <w:text w:multiLine="1"/>
    </w:sdtPr>
    <w:sdtEndPr/>
    <w:sdtContent>
      <w:p w14:paraId="4AAD6E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5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5B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5A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FA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A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42"/>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E1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5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F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57"/>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BE"/>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93"/>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07"/>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E4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9A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286"/>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58E"/>
    <w:rsid w:val="00D10C57"/>
    <w:rsid w:val="00D12A28"/>
    <w:rsid w:val="00D12A78"/>
    <w:rsid w:val="00D12B31"/>
    <w:rsid w:val="00D131C0"/>
    <w:rsid w:val="00D15504"/>
    <w:rsid w:val="00D15950"/>
    <w:rsid w:val="00D16F80"/>
    <w:rsid w:val="00D170BE"/>
    <w:rsid w:val="00D17F21"/>
    <w:rsid w:val="00D2089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1A"/>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D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7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D85C1"/>
  <w15:chartTrackingRefBased/>
  <w15:docId w15:val="{DC08D09A-BE8F-4D52-B308-E14D658C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12327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76F1DC4A54B318E486DEB11A48C7A"/>
        <w:category>
          <w:name w:val="Allmänt"/>
          <w:gallery w:val="placeholder"/>
        </w:category>
        <w:types>
          <w:type w:val="bbPlcHdr"/>
        </w:types>
        <w:behaviors>
          <w:behavior w:val="content"/>
        </w:behaviors>
        <w:guid w:val="{C2891FB1-03F4-440F-A11B-CF5689535D3D}"/>
      </w:docPartPr>
      <w:docPartBody>
        <w:p w:rsidR="005E0D1D" w:rsidRDefault="000D1F54">
          <w:pPr>
            <w:pStyle w:val="C0276F1DC4A54B318E486DEB11A48C7A"/>
          </w:pPr>
          <w:r w:rsidRPr="005A0A93">
            <w:rPr>
              <w:rStyle w:val="Platshllartext"/>
            </w:rPr>
            <w:t>Förslag till riksdagsbeslut</w:t>
          </w:r>
        </w:p>
      </w:docPartBody>
    </w:docPart>
    <w:docPart>
      <w:docPartPr>
        <w:name w:val="48195FBC7AC2479ABE8919B7120496C9"/>
        <w:category>
          <w:name w:val="Allmänt"/>
          <w:gallery w:val="placeholder"/>
        </w:category>
        <w:types>
          <w:type w:val="bbPlcHdr"/>
        </w:types>
        <w:behaviors>
          <w:behavior w:val="content"/>
        </w:behaviors>
        <w:guid w:val="{9BB34047-2604-411B-A7C4-1664FFC0E56E}"/>
      </w:docPartPr>
      <w:docPartBody>
        <w:p w:rsidR="005E0D1D" w:rsidRDefault="000D1F54">
          <w:pPr>
            <w:pStyle w:val="48195FBC7AC2479ABE8919B7120496C9"/>
          </w:pPr>
          <w:r w:rsidRPr="005A0A93">
            <w:rPr>
              <w:rStyle w:val="Platshllartext"/>
            </w:rPr>
            <w:t>Motivering</w:t>
          </w:r>
        </w:p>
      </w:docPartBody>
    </w:docPart>
    <w:docPart>
      <w:docPartPr>
        <w:name w:val="3BFA6FA6F92F4BA2927CBDC50BC53C6E"/>
        <w:category>
          <w:name w:val="Allmänt"/>
          <w:gallery w:val="placeholder"/>
        </w:category>
        <w:types>
          <w:type w:val="bbPlcHdr"/>
        </w:types>
        <w:behaviors>
          <w:behavior w:val="content"/>
        </w:behaviors>
        <w:guid w:val="{DC06EC52-3B6D-442E-9931-C7710F243798}"/>
      </w:docPartPr>
      <w:docPartBody>
        <w:p w:rsidR="005B4188" w:rsidRDefault="005B41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1D"/>
    <w:rsid w:val="000D1F54"/>
    <w:rsid w:val="0011503B"/>
    <w:rsid w:val="005B4188"/>
    <w:rsid w:val="005E0D1D"/>
    <w:rsid w:val="009556A1"/>
    <w:rsid w:val="00DB2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276F1DC4A54B318E486DEB11A48C7A">
    <w:name w:val="C0276F1DC4A54B318E486DEB11A48C7A"/>
  </w:style>
  <w:style w:type="paragraph" w:customStyle="1" w:styleId="48195FBC7AC2479ABE8919B7120496C9">
    <w:name w:val="48195FBC7AC2479ABE8919B712049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63C89-2E36-4DB9-8E4F-784474E8BB08}"/>
</file>

<file path=customXml/itemProps2.xml><?xml version="1.0" encoding="utf-8"?>
<ds:datastoreItem xmlns:ds="http://schemas.openxmlformats.org/officeDocument/2006/customXml" ds:itemID="{4027D3E9-6665-4135-88FC-8ED65E28B493}"/>
</file>

<file path=customXml/itemProps3.xml><?xml version="1.0" encoding="utf-8"?>
<ds:datastoreItem xmlns:ds="http://schemas.openxmlformats.org/officeDocument/2006/customXml" ds:itemID="{F6B7E92A-0BE8-49FE-807A-769714CCD7B5}"/>
</file>

<file path=docProps/app.xml><?xml version="1.0" encoding="utf-8"?>
<Properties xmlns="http://schemas.openxmlformats.org/officeDocument/2006/extended-properties" xmlns:vt="http://schemas.openxmlformats.org/officeDocument/2006/docPropsVTypes">
  <Template>Normal</Template>
  <TotalTime>39</TotalTime>
  <Pages>2</Pages>
  <Words>426</Words>
  <Characters>2692</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mot kommunalt befogenhetsöverskridande i utrikespolitiska frågor</vt:lpstr>
      <vt:lpstr>
      </vt:lpstr>
    </vt:vector>
  </TitlesOfParts>
  <Company>Sveriges riksdag</Company>
  <LinksUpToDate>false</LinksUpToDate>
  <CharactersWithSpaces>3108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