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1B9E" w:rsidRPr="00D633FB" w:rsidRDefault="008454B4">
      <w:pPr>
        <w:pStyle w:val="Hemstlrubrik"/>
        <w:shd w:val="clear" w:color="000000" w:fill="auto"/>
      </w:pPr>
      <w:r w:rsidRPr="00D633FB">
        <w:t>Förslag till riksdagsbeslut</w:t>
      </w:r>
    </w:p>
    <w:p w:rsidR="006A03AF" w:rsidRPr="00D633FB" w:rsidRDefault="006A03AF">
      <w:pPr>
        <w:pStyle w:val="Hemstlatt"/>
        <w:shd w:val="clear" w:color="000000" w:fill="auto"/>
        <w:ind w:left="0"/>
      </w:pPr>
      <w:r w:rsidRPr="00D633FB">
        <w:t>Riksdagen anvisar med följande ändringar i förhålla</w:t>
      </w:r>
      <w:r w:rsidRPr="00D633FB">
        <w:t>n</w:t>
      </w:r>
      <w:r w:rsidRPr="00D633FB">
        <w:t>de till regeringens förslag anslagen under utgiftsområde 4 Rättsväsendet e</w:t>
      </w:r>
      <w:r w:rsidRPr="00D633FB">
        <w:t>n</w:t>
      </w:r>
      <w:r w:rsidRPr="00D633FB">
        <w:t>ligt uppställning:</w:t>
      </w:r>
    </w:p>
    <w:tbl>
      <w:tblPr>
        <w:tblW w:w="5897" w:type="dxa"/>
        <w:tblInd w:w="70" w:type="dxa"/>
        <w:tblLayout w:type="fixed"/>
        <w:tblCellMar>
          <w:left w:w="70" w:type="dxa"/>
          <w:right w:w="70" w:type="dxa"/>
        </w:tblCellMar>
        <w:tblLook w:val="0000" w:firstRow="0" w:lastRow="0" w:firstColumn="0" w:lastColumn="0" w:noHBand="0" w:noVBand="0"/>
      </w:tblPr>
      <w:tblGrid>
        <w:gridCol w:w="700"/>
        <w:gridCol w:w="1889"/>
        <w:gridCol w:w="1908"/>
        <w:gridCol w:w="1400"/>
      </w:tblGrid>
      <w:tr w:rsidR="005000A3" w:rsidRPr="00D633FB">
        <w:tc>
          <w:tcPr>
            <w:tcW w:w="666" w:type="dxa"/>
            <w:tcBorders>
              <w:top w:val="single" w:sz="4" w:space="0" w:color="auto"/>
              <w:left w:val="nil"/>
              <w:bottom w:val="single" w:sz="8" w:space="0" w:color="000000"/>
              <w:right w:val="nil"/>
            </w:tcBorders>
          </w:tcPr>
          <w:p w:rsidR="006A03AF" w:rsidRPr="00D633FB" w:rsidRDefault="006A03AF">
            <w:pPr>
              <w:shd w:val="clear" w:color="000000" w:fill="auto"/>
              <w:spacing w:line="200" w:lineRule="exact"/>
              <w:rPr>
                <w:b/>
                <w:bCs/>
                <w:color w:val="000000"/>
                <w:sz w:val="16"/>
                <w:szCs w:val="16"/>
              </w:rPr>
            </w:pPr>
            <w:r w:rsidRPr="00D633FB">
              <w:rPr>
                <w:b/>
                <w:bCs/>
                <w:color w:val="000000"/>
                <w:sz w:val="16"/>
                <w:szCs w:val="16"/>
              </w:rPr>
              <w:t>UO 4</w:t>
            </w:r>
          </w:p>
        </w:tc>
        <w:tc>
          <w:tcPr>
            <w:tcW w:w="1798" w:type="dxa"/>
            <w:tcBorders>
              <w:top w:val="single" w:sz="4" w:space="0" w:color="auto"/>
              <w:left w:val="nil"/>
              <w:bottom w:val="single" w:sz="8" w:space="0" w:color="000000"/>
              <w:right w:val="nil"/>
            </w:tcBorders>
          </w:tcPr>
          <w:p w:rsidR="006A03AF" w:rsidRPr="00D633FB" w:rsidRDefault="006A03AF">
            <w:pPr>
              <w:shd w:val="clear" w:color="000000" w:fill="auto"/>
              <w:spacing w:line="200" w:lineRule="exact"/>
              <w:rPr>
                <w:b/>
                <w:bCs/>
                <w:color w:val="000000"/>
                <w:sz w:val="16"/>
                <w:szCs w:val="16"/>
              </w:rPr>
            </w:pPr>
            <w:r w:rsidRPr="00D633FB">
              <w:rPr>
                <w:b/>
                <w:bCs/>
                <w:color w:val="000000"/>
                <w:sz w:val="16"/>
                <w:szCs w:val="16"/>
              </w:rPr>
              <w:t>Rättsväsendet</w:t>
            </w:r>
          </w:p>
        </w:tc>
        <w:tc>
          <w:tcPr>
            <w:tcW w:w="1816" w:type="dxa"/>
            <w:tcBorders>
              <w:top w:val="single" w:sz="4" w:space="0" w:color="auto"/>
              <w:left w:val="nil"/>
              <w:bottom w:val="single" w:sz="8" w:space="0" w:color="000000"/>
              <w:right w:val="nil"/>
            </w:tcBorders>
          </w:tcPr>
          <w:p w:rsidR="006A03AF" w:rsidRPr="00D633FB" w:rsidRDefault="006A03AF">
            <w:pPr>
              <w:shd w:val="clear" w:color="000000" w:fill="auto"/>
              <w:spacing w:line="200" w:lineRule="exact"/>
              <w:rPr>
                <w:b/>
                <w:bCs/>
                <w:color w:val="000000"/>
                <w:spacing w:val="-4"/>
                <w:sz w:val="16"/>
                <w:szCs w:val="16"/>
              </w:rPr>
            </w:pPr>
            <w:r w:rsidRPr="00D633FB">
              <w:rPr>
                <w:b/>
                <w:bCs/>
                <w:color w:val="000000"/>
                <w:spacing w:val="-4"/>
                <w:sz w:val="16"/>
                <w:szCs w:val="16"/>
              </w:rPr>
              <w:t xml:space="preserve">Regeringens förslag </w:t>
            </w:r>
            <w:r w:rsidRPr="00D633FB">
              <w:rPr>
                <w:b/>
                <w:spacing w:val="-4"/>
                <w:sz w:val="16"/>
                <w:szCs w:val="16"/>
              </w:rPr>
              <w:t>(tkr)</w:t>
            </w:r>
          </w:p>
        </w:tc>
        <w:tc>
          <w:tcPr>
            <w:tcW w:w="1333" w:type="dxa"/>
            <w:tcBorders>
              <w:top w:val="single" w:sz="4" w:space="0" w:color="auto"/>
              <w:left w:val="nil"/>
              <w:bottom w:val="single" w:sz="8" w:space="0" w:color="000000"/>
              <w:right w:val="nil"/>
            </w:tcBorders>
          </w:tcPr>
          <w:p w:rsidR="006A03AF" w:rsidRPr="00D633FB" w:rsidRDefault="006A03AF">
            <w:pPr>
              <w:shd w:val="clear" w:color="000000" w:fill="auto"/>
              <w:spacing w:line="200" w:lineRule="exact"/>
              <w:rPr>
                <w:b/>
                <w:bCs/>
                <w:color w:val="000000"/>
                <w:sz w:val="16"/>
                <w:szCs w:val="16"/>
              </w:rPr>
            </w:pPr>
            <w:r w:rsidRPr="00D633FB">
              <w:rPr>
                <w:b/>
                <w:bCs/>
                <w:color w:val="000000"/>
                <w:sz w:val="16"/>
                <w:szCs w:val="16"/>
              </w:rPr>
              <w:t xml:space="preserve">Förändring </w:t>
            </w:r>
            <w:r w:rsidRPr="00D633FB">
              <w:rPr>
                <w:b/>
                <w:sz w:val="16"/>
                <w:szCs w:val="16"/>
              </w:rPr>
              <w:t>(tkr)</w:t>
            </w:r>
          </w:p>
        </w:tc>
      </w:tr>
      <w:tr w:rsidR="005000A3" w:rsidRPr="00D633FB">
        <w:tc>
          <w:tcPr>
            <w:tcW w:w="666"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4:1</w:t>
            </w:r>
          </w:p>
        </w:tc>
        <w:tc>
          <w:tcPr>
            <w:tcW w:w="1798"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Polisorganisationen</w:t>
            </w:r>
          </w:p>
        </w:tc>
        <w:tc>
          <w:tcPr>
            <w:tcW w:w="1816"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16 728 635</w:t>
            </w:r>
          </w:p>
        </w:tc>
        <w:tc>
          <w:tcPr>
            <w:tcW w:w="1333"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–155 000</w:t>
            </w:r>
          </w:p>
        </w:tc>
      </w:tr>
      <w:tr w:rsidR="005000A3" w:rsidRPr="00D633FB">
        <w:tc>
          <w:tcPr>
            <w:tcW w:w="666"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4:2</w:t>
            </w:r>
          </w:p>
        </w:tc>
        <w:tc>
          <w:tcPr>
            <w:tcW w:w="1798"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Säkerhetspolisen</w:t>
            </w:r>
          </w:p>
        </w:tc>
        <w:tc>
          <w:tcPr>
            <w:tcW w:w="1816"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783 623</w:t>
            </w:r>
          </w:p>
        </w:tc>
        <w:tc>
          <w:tcPr>
            <w:tcW w:w="1333"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–75 000</w:t>
            </w:r>
          </w:p>
        </w:tc>
      </w:tr>
      <w:tr w:rsidR="005000A3" w:rsidRPr="00D633FB">
        <w:tc>
          <w:tcPr>
            <w:tcW w:w="666"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4:3</w:t>
            </w:r>
          </w:p>
        </w:tc>
        <w:tc>
          <w:tcPr>
            <w:tcW w:w="1798"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Åklagarmyndigheten</w:t>
            </w:r>
          </w:p>
        </w:tc>
        <w:tc>
          <w:tcPr>
            <w:tcW w:w="1816"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897 050</w:t>
            </w:r>
          </w:p>
        </w:tc>
        <w:tc>
          <w:tcPr>
            <w:tcW w:w="1333"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2 000</w:t>
            </w:r>
          </w:p>
        </w:tc>
      </w:tr>
      <w:tr w:rsidR="005000A3" w:rsidRPr="00D633FB">
        <w:tc>
          <w:tcPr>
            <w:tcW w:w="666"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4:4</w:t>
            </w:r>
          </w:p>
        </w:tc>
        <w:tc>
          <w:tcPr>
            <w:tcW w:w="1798"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Ekobrottsmyndigheten</w:t>
            </w:r>
          </w:p>
        </w:tc>
        <w:tc>
          <w:tcPr>
            <w:tcW w:w="1816"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362 647</w:t>
            </w:r>
          </w:p>
        </w:tc>
        <w:tc>
          <w:tcPr>
            <w:tcW w:w="1333"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13 000</w:t>
            </w:r>
          </w:p>
        </w:tc>
      </w:tr>
      <w:tr w:rsidR="005000A3" w:rsidRPr="00D633FB">
        <w:tc>
          <w:tcPr>
            <w:tcW w:w="666"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4:5</w:t>
            </w:r>
          </w:p>
        </w:tc>
        <w:tc>
          <w:tcPr>
            <w:tcW w:w="1798"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Sveriges domstolar</w:t>
            </w:r>
          </w:p>
        </w:tc>
        <w:tc>
          <w:tcPr>
            <w:tcW w:w="1816"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4 205 208</w:t>
            </w:r>
          </w:p>
        </w:tc>
        <w:tc>
          <w:tcPr>
            <w:tcW w:w="1333"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3 000</w:t>
            </w:r>
          </w:p>
        </w:tc>
      </w:tr>
      <w:tr w:rsidR="005000A3" w:rsidRPr="00D633FB">
        <w:tc>
          <w:tcPr>
            <w:tcW w:w="666"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4:6</w:t>
            </w:r>
          </w:p>
        </w:tc>
        <w:tc>
          <w:tcPr>
            <w:tcW w:w="1798"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Kriminalvården</w:t>
            </w:r>
          </w:p>
        </w:tc>
        <w:tc>
          <w:tcPr>
            <w:tcW w:w="1816"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6 088 454</w:t>
            </w:r>
          </w:p>
        </w:tc>
        <w:tc>
          <w:tcPr>
            <w:tcW w:w="1333"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67 000</w:t>
            </w:r>
          </w:p>
        </w:tc>
      </w:tr>
      <w:tr w:rsidR="005000A3" w:rsidRPr="00D633FB">
        <w:tc>
          <w:tcPr>
            <w:tcW w:w="666"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4:7</w:t>
            </w:r>
          </w:p>
        </w:tc>
        <w:tc>
          <w:tcPr>
            <w:tcW w:w="1798"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Brottsförebyggande rådet</w:t>
            </w:r>
          </w:p>
        </w:tc>
        <w:tc>
          <w:tcPr>
            <w:tcW w:w="1816"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60 263</w:t>
            </w:r>
          </w:p>
        </w:tc>
        <w:tc>
          <w:tcPr>
            <w:tcW w:w="1333"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6 000</w:t>
            </w:r>
          </w:p>
        </w:tc>
      </w:tr>
      <w:tr w:rsidR="005000A3" w:rsidRPr="00D633FB">
        <w:tc>
          <w:tcPr>
            <w:tcW w:w="666"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4:12</w:t>
            </w:r>
          </w:p>
        </w:tc>
        <w:tc>
          <w:tcPr>
            <w:tcW w:w="1798" w:type="dxa"/>
            <w:tcBorders>
              <w:top w:val="nil"/>
              <w:left w:val="nil"/>
              <w:bottom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Rättsliga biträden m.m.</w:t>
            </w:r>
          </w:p>
        </w:tc>
        <w:tc>
          <w:tcPr>
            <w:tcW w:w="1816"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1 225 657</w:t>
            </w:r>
          </w:p>
        </w:tc>
        <w:tc>
          <w:tcPr>
            <w:tcW w:w="1333" w:type="dxa"/>
            <w:tcBorders>
              <w:top w:val="nil"/>
              <w:left w:val="nil"/>
              <w:bottom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100 000</w:t>
            </w:r>
          </w:p>
        </w:tc>
      </w:tr>
      <w:tr w:rsidR="005000A3" w:rsidRPr="00D633FB">
        <w:tc>
          <w:tcPr>
            <w:tcW w:w="666" w:type="dxa"/>
            <w:tcBorders>
              <w:top w:val="nil"/>
              <w:left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4:16</w:t>
            </w:r>
          </w:p>
        </w:tc>
        <w:tc>
          <w:tcPr>
            <w:tcW w:w="1798" w:type="dxa"/>
            <w:tcBorders>
              <w:top w:val="nil"/>
              <w:left w:val="nil"/>
              <w:right w:val="nil"/>
            </w:tcBorders>
            <w:vAlign w:val="bottom"/>
          </w:tcPr>
          <w:p w:rsidR="006A03AF" w:rsidRPr="00D633FB" w:rsidRDefault="006A03AF">
            <w:pPr>
              <w:shd w:val="clear" w:color="000000" w:fill="auto"/>
              <w:spacing w:before="62" w:line="200" w:lineRule="exact"/>
              <w:rPr>
                <w:color w:val="000000"/>
                <w:sz w:val="16"/>
                <w:szCs w:val="16"/>
              </w:rPr>
            </w:pPr>
            <w:r w:rsidRPr="00D633FB">
              <w:rPr>
                <w:color w:val="000000"/>
                <w:sz w:val="16"/>
                <w:szCs w:val="16"/>
              </w:rPr>
              <w:t>Fångombudsmannen</w:t>
            </w:r>
          </w:p>
        </w:tc>
        <w:tc>
          <w:tcPr>
            <w:tcW w:w="1816" w:type="dxa"/>
            <w:tcBorders>
              <w:top w:val="nil"/>
              <w:left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0</w:t>
            </w:r>
          </w:p>
        </w:tc>
        <w:tc>
          <w:tcPr>
            <w:tcW w:w="1333" w:type="dxa"/>
            <w:tcBorders>
              <w:top w:val="nil"/>
              <w:left w:val="nil"/>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5 000</w:t>
            </w:r>
          </w:p>
        </w:tc>
      </w:tr>
      <w:tr w:rsidR="005000A3" w:rsidRPr="00D633FB">
        <w:tc>
          <w:tcPr>
            <w:tcW w:w="666" w:type="dxa"/>
            <w:tcBorders>
              <w:top w:val="nil"/>
              <w:left w:val="nil"/>
              <w:bottom w:val="single" w:sz="4" w:space="0" w:color="auto"/>
              <w:right w:val="nil"/>
            </w:tcBorders>
            <w:vAlign w:val="bottom"/>
          </w:tcPr>
          <w:p w:rsidR="006A03AF" w:rsidRPr="00D633FB" w:rsidRDefault="006A03AF">
            <w:pPr>
              <w:shd w:val="clear" w:color="000000" w:fill="auto"/>
              <w:spacing w:before="62" w:line="200" w:lineRule="exact"/>
              <w:rPr>
                <w:b/>
                <w:bCs/>
                <w:color w:val="000000"/>
                <w:sz w:val="16"/>
                <w:szCs w:val="16"/>
              </w:rPr>
            </w:pPr>
          </w:p>
        </w:tc>
        <w:tc>
          <w:tcPr>
            <w:tcW w:w="1798" w:type="dxa"/>
            <w:tcBorders>
              <w:top w:val="nil"/>
              <w:left w:val="nil"/>
              <w:bottom w:val="single" w:sz="4" w:space="0" w:color="auto"/>
              <w:right w:val="nil"/>
            </w:tcBorders>
            <w:vAlign w:val="bottom"/>
          </w:tcPr>
          <w:p w:rsidR="006A03AF" w:rsidRPr="00D633FB" w:rsidRDefault="006A03AF">
            <w:pPr>
              <w:shd w:val="clear" w:color="000000" w:fill="auto"/>
              <w:spacing w:before="62" w:line="200" w:lineRule="exact"/>
              <w:rPr>
                <w:b/>
                <w:bCs/>
                <w:color w:val="000000"/>
                <w:sz w:val="16"/>
                <w:szCs w:val="16"/>
              </w:rPr>
            </w:pPr>
            <w:r w:rsidRPr="00D633FB">
              <w:rPr>
                <w:b/>
                <w:bCs/>
                <w:color w:val="000000"/>
                <w:sz w:val="16"/>
                <w:szCs w:val="16"/>
              </w:rPr>
              <w:t>Summa för utgiftsomr</w:t>
            </w:r>
            <w:r w:rsidRPr="00D633FB">
              <w:rPr>
                <w:b/>
                <w:bCs/>
                <w:color w:val="000000"/>
                <w:sz w:val="16"/>
                <w:szCs w:val="16"/>
              </w:rPr>
              <w:t>å</w:t>
            </w:r>
            <w:r w:rsidRPr="00D633FB">
              <w:rPr>
                <w:b/>
                <w:bCs/>
                <w:color w:val="000000"/>
                <w:sz w:val="16"/>
                <w:szCs w:val="16"/>
              </w:rPr>
              <w:t>det:</w:t>
            </w:r>
          </w:p>
        </w:tc>
        <w:tc>
          <w:tcPr>
            <w:tcW w:w="1816" w:type="dxa"/>
            <w:tcBorders>
              <w:top w:val="nil"/>
              <w:left w:val="nil"/>
              <w:bottom w:val="single" w:sz="4" w:space="0" w:color="auto"/>
              <w:right w:val="nil"/>
            </w:tcBorders>
            <w:vAlign w:val="bottom"/>
          </w:tcPr>
          <w:p w:rsidR="006A03AF" w:rsidRPr="00D633FB" w:rsidRDefault="006A03AF">
            <w:pPr>
              <w:shd w:val="clear" w:color="000000" w:fill="auto"/>
              <w:spacing w:before="62" w:line="200" w:lineRule="exact"/>
              <w:jc w:val="right"/>
              <w:rPr>
                <w:b/>
                <w:bCs/>
                <w:color w:val="000000"/>
                <w:sz w:val="16"/>
                <w:szCs w:val="16"/>
              </w:rPr>
            </w:pPr>
          </w:p>
        </w:tc>
        <w:tc>
          <w:tcPr>
            <w:tcW w:w="1333" w:type="dxa"/>
            <w:tcBorders>
              <w:top w:val="nil"/>
              <w:left w:val="nil"/>
              <w:bottom w:val="single" w:sz="4" w:space="0" w:color="auto"/>
              <w:right w:val="nil"/>
            </w:tcBorders>
            <w:vAlign w:val="bottom"/>
          </w:tcPr>
          <w:p w:rsidR="006A03AF" w:rsidRPr="00D633FB" w:rsidRDefault="006A03AF">
            <w:pPr>
              <w:shd w:val="clear" w:color="000000" w:fill="auto"/>
              <w:spacing w:before="62" w:line="200" w:lineRule="exact"/>
              <w:jc w:val="right"/>
              <w:rPr>
                <w:color w:val="000000"/>
                <w:sz w:val="16"/>
                <w:szCs w:val="16"/>
              </w:rPr>
            </w:pPr>
            <w:r w:rsidRPr="00D633FB">
              <w:rPr>
                <w:color w:val="000000"/>
                <w:sz w:val="16"/>
                <w:szCs w:val="16"/>
              </w:rPr>
              <w:t>–34 000</w:t>
            </w:r>
          </w:p>
        </w:tc>
      </w:tr>
    </w:tbl>
    <w:p w:rsidR="006A03AF" w:rsidRPr="00D633FB" w:rsidRDefault="006A03AF">
      <w:pPr>
        <w:shd w:val="clear" w:color="000000" w:fill="auto"/>
      </w:pPr>
    </w:p>
    <w:p w:rsidR="008454B4" w:rsidRPr="00D633FB" w:rsidRDefault="006E24ED">
      <w:pPr>
        <w:pStyle w:val="Rubrik1"/>
        <w:shd w:val="clear" w:color="000000" w:fill="auto"/>
        <w:spacing w:before="360"/>
      </w:pPr>
      <w:r w:rsidRPr="00D633FB">
        <w:t>Sammanfattning</w:t>
      </w:r>
    </w:p>
    <w:p w:rsidR="008454B4" w:rsidRPr="00D633FB" w:rsidRDefault="00CA7B0E">
      <w:pPr>
        <w:shd w:val="clear" w:color="000000" w:fill="auto"/>
      </w:pPr>
      <w:r w:rsidRPr="00D633FB">
        <w:t xml:space="preserve">Hösten 2005 enades Vänsterpartiet, Socialdemokraterna och Miljöpartiet </w:t>
      </w:r>
      <w:r w:rsidR="00241052" w:rsidRPr="00D633FB">
        <w:t>bl.a.</w:t>
      </w:r>
      <w:r w:rsidRPr="00D633FB">
        <w:t xml:space="preserve"> om ramförstärkningar för UO4 för 2007 och 2008. </w:t>
      </w:r>
      <w:r w:rsidR="00071CED" w:rsidRPr="00D633FB">
        <w:t>Dessa förstärkningar b</w:t>
      </w:r>
      <w:r w:rsidR="00071CED" w:rsidRPr="00D633FB">
        <w:t>e</w:t>
      </w:r>
      <w:r w:rsidR="00071CED" w:rsidRPr="00D633FB">
        <w:t>hålls</w:t>
      </w:r>
      <w:r w:rsidR="00746EC3" w:rsidRPr="00D633FB">
        <w:t>, med få undantag</w:t>
      </w:r>
      <w:r w:rsidR="00071CED" w:rsidRPr="00D633FB">
        <w:t xml:space="preserve">. </w:t>
      </w:r>
      <w:r w:rsidR="007D0C98" w:rsidRPr="00D633FB">
        <w:t>Vidare föreslår Vänsterpartiet omfattande förstär</w:t>
      </w:r>
      <w:r w:rsidR="007D0C98" w:rsidRPr="00D633FB">
        <w:t>k</w:t>
      </w:r>
      <w:r w:rsidR="007D0C98" w:rsidRPr="00D633FB">
        <w:t xml:space="preserve">ningar av Kriminalvården, till största delen beroende på återinförd villkorlig halvtidsfrigivning. </w:t>
      </w:r>
      <w:r w:rsidR="005F2AA0" w:rsidRPr="00D633FB">
        <w:t xml:space="preserve">Även anslaget Rättsliga biträden m.m. förstärks betydligt. </w:t>
      </w:r>
      <w:r w:rsidR="00923814" w:rsidRPr="00D633FB">
        <w:t>Vi föreslår en större satsning på Ekobrottsmyndigheten än vad regeringen gör samt pengar till utbildningsinsatser kring sexualiserat våld inom Polisorgan</w:t>
      </w:r>
      <w:r w:rsidR="00923814" w:rsidRPr="00D633FB">
        <w:t>i</w:t>
      </w:r>
      <w:r w:rsidR="00923814" w:rsidRPr="00D633FB">
        <w:t>sationen, Åklagarmyndigheten och Sveriges Domstolar.</w:t>
      </w:r>
      <w:r w:rsidR="006C1EA7" w:rsidRPr="00D633FB">
        <w:t xml:space="preserve"> Fångombudsmannen införs som </w:t>
      </w:r>
      <w:r w:rsidR="007241B0" w:rsidRPr="00D633FB">
        <w:t xml:space="preserve">ett </w:t>
      </w:r>
      <w:r w:rsidR="006C1EA7" w:rsidRPr="00D633FB">
        <w:t>ny</w:t>
      </w:r>
      <w:r w:rsidR="007241B0" w:rsidRPr="00D633FB">
        <w:t>tt</w:t>
      </w:r>
      <w:r w:rsidR="006C1EA7" w:rsidRPr="00D633FB">
        <w:t xml:space="preserve"> anslag.</w:t>
      </w:r>
    </w:p>
    <w:p w:rsidR="00186B85" w:rsidRPr="00D633FB" w:rsidRDefault="00186B85">
      <w:pPr>
        <w:pStyle w:val="Rubrik1"/>
        <w:shd w:val="clear" w:color="000000" w:fill="auto"/>
      </w:pPr>
      <w:r w:rsidRPr="00D633FB">
        <w:lastRenderedPageBreak/>
        <w:t>Polisorganisationen</w:t>
      </w:r>
    </w:p>
    <w:p w:rsidR="00186B85" w:rsidRPr="00D633FB" w:rsidRDefault="00056399">
      <w:pPr>
        <w:shd w:val="clear" w:color="000000" w:fill="auto"/>
      </w:pPr>
      <w:r w:rsidRPr="00D633FB">
        <w:t xml:space="preserve">Vänsterpartiet vill fortsätta satsningen på ett ökat antal poliser, som främst behövs för att öka polisens synlighet i samhället, inte minst </w:t>
      </w:r>
      <w:r w:rsidR="00C229EF" w:rsidRPr="00D633FB">
        <w:t>på landsbygden</w:t>
      </w:r>
      <w:r w:rsidRPr="00D633FB">
        <w:t xml:space="preserve">. </w:t>
      </w:r>
      <w:r w:rsidR="00A07C8B" w:rsidRPr="00D633FB">
        <w:t>Därför enades vi med Socialdemokraterna och Miljöpartiet om</w:t>
      </w:r>
      <w:r w:rsidR="00241052" w:rsidRPr="00D633FB">
        <w:t xml:space="preserve"> att förstärka anslaget med 700 </w:t>
      </w:r>
      <w:r w:rsidR="00A07C8B" w:rsidRPr="00D633FB">
        <w:t xml:space="preserve">miljoner </w:t>
      </w:r>
      <w:r w:rsidR="00C7403C" w:rsidRPr="00D633FB">
        <w:t xml:space="preserve">från </w:t>
      </w:r>
      <w:r w:rsidR="00FD159B" w:rsidRPr="00D633FB">
        <w:t>2007</w:t>
      </w:r>
      <w:r w:rsidR="00A07C8B" w:rsidRPr="00D633FB">
        <w:t>. Denna ökning ligger fast</w:t>
      </w:r>
      <w:r w:rsidR="00C96086" w:rsidRPr="00D633FB">
        <w:t xml:space="preserve"> och är vår utgångspunkt</w:t>
      </w:r>
      <w:r w:rsidR="00A07C8B" w:rsidRPr="00D633FB">
        <w:t xml:space="preserve">. </w:t>
      </w:r>
      <w:r w:rsidR="00C95FAB" w:rsidRPr="00D633FB">
        <w:t xml:space="preserve">Vi vill dock understryka att åtgärder för att göra polisen mer synlig i första hand måste fokusera på annat än ytterligare resurser. </w:t>
      </w:r>
      <w:r w:rsidR="005842DF" w:rsidRPr="00D633FB">
        <w:t>Vänste</w:t>
      </w:r>
      <w:r w:rsidR="005842DF" w:rsidRPr="00D633FB">
        <w:t>r</w:t>
      </w:r>
      <w:r w:rsidR="005842DF" w:rsidRPr="00D633FB">
        <w:t>partiet föreslår i motion</w:t>
      </w:r>
      <w:r w:rsidR="000D74C2" w:rsidRPr="00D633FB">
        <w:t>en ”Polisen”</w:t>
      </w:r>
      <w:r w:rsidR="00164A33" w:rsidRPr="00D633FB">
        <w:t xml:space="preserve"> (2006/07:</w:t>
      </w:r>
      <w:r w:rsidR="0054592B" w:rsidRPr="00D633FB">
        <w:t>Ju343</w:t>
      </w:r>
      <w:r w:rsidR="00241052" w:rsidRPr="00D633FB">
        <w:t xml:space="preserve">) </w:t>
      </w:r>
      <w:r w:rsidR="005842DF" w:rsidRPr="00D633FB">
        <w:t>en helhetsöversyn över polisorganisationen med fokus på effektivt resursutnyttjande.</w:t>
      </w:r>
    </w:p>
    <w:p w:rsidR="00331410" w:rsidRPr="00D633FB" w:rsidRDefault="00241052">
      <w:pPr>
        <w:pStyle w:val="Normaltindrag"/>
        <w:shd w:val="clear" w:color="000000" w:fill="auto"/>
      </w:pPr>
      <w:r w:rsidRPr="00D633FB">
        <w:t>Vänsterpartiet vill öronmärka 7 </w:t>
      </w:r>
      <w:r w:rsidR="0054592B" w:rsidRPr="00D633FB">
        <w:t xml:space="preserve">miljoner </w:t>
      </w:r>
      <w:r w:rsidR="005B0813" w:rsidRPr="00D633FB">
        <w:t>av</w:t>
      </w:r>
      <w:r w:rsidR="00331410" w:rsidRPr="00D633FB">
        <w:t xml:space="preserve"> tillskottet till polisens budget för att förstärka arbetet mot miljöbrott.</w:t>
      </w:r>
    </w:p>
    <w:p w:rsidR="00E860AA" w:rsidRPr="00D633FB" w:rsidRDefault="00216B8C">
      <w:pPr>
        <w:pStyle w:val="Normaltindrag"/>
        <w:shd w:val="clear" w:color="000000" w:fill="auto"/>
      </w:pPr>
      <w:r w:rsidRPr="00D633FB">
        <w:t xml:space="preserve">Anslaget ökas med </w:t>
      </w:r>
      <w:r w:rsidR="00241052" w:rsidRPr="00D633FB">
        <w:t>5 </w:t>
      </w:r>
      <w:r w:rsidR="00E860AA" w:rsidRPr="00D633FB">
        <w:t>miljoner användas för att inrätta en nationell haver</w:t>
      </w:r>
      <w:r w:rsidR="00E860AA" w:rsidRPr="00D633FB">
        <w:t>i</w:t>
      </w:r>
      <w:r w:rsidR="00E860AA" w:rsidRPr="00D633FB">
        <w:t>kommission kring mord på kvinnor som utförs av närstående män.</w:t>
      </w:r>
      <w:r w:rsidR="00887D79" w:rsidRPr="00D633FB">
        <w:t xml:space="preserve"> Detta anslag ska även täcka kostnader för andra inblandade än polisen.</w:t>
      </w:r>
    </w:p>
    <w:p w:rsidR="007F4AC1" w:rsidRPr="00D633FB" w:rsidRDefault="00241052">
      <w:pPr>
        <w:pStyle w:val="Normaltindrag"/>
        <w:shd w:val="clear" w:color="000000" w:fill="auto"/>
      </w:pPr>
      <w:r w:rsidRPr="00D633FB">
        <w:t>Vidare ökas anslaget med 15 </w:t>
      </w:r>
      <w:r w:rsidR="007F4AC1" w:rsidRPr="00D633FB">
        <w:t>miljoner för utbildningsinsatser när det gäller sexualiserat våld.</w:t>
      </w:r>
    </w:p>
    <w:p w:rsidR="003256C2" w:rsidRPr="00D633FB" w:rsidRDefault="003256C2">
      <w:pPr>
        <w:pStyle w:val="Normaltindrag"/>
        <w:shd w:val="clear" w:color="000000" w:fill="auto"/>
      </w:pPr>
      <w:r w:rsidRPr="00D633FB">
        <w:t xml:space="preserve">Sammantaget gör detta att vi jämfört med regeringens förslag föreslår en minskning av anslaget med </w:t>
      </w:r>
      <w:r w:rsidR="00005E99" w:rsidRPr="00D633FB">
        <w:t>1</w:t>
      </w:r>
      <w:r w:rsidR="003273AF" w:rsidRPr="00D633FB">
        <w:t>55</w:t>
      </w:r>
      <w:r w:rsidR="00241052" w:rsidRPr="00D633FB">
        <w:t> </w:t>
      </w:r>
      <w:r w:rsidRPr="00D633FB">
        <w:t>miljoner för 2007</w:t>
      </w:r>
      <w:r w:rsidR="009A1F07" w:rsidRPr="00D633FB">
        <w:t>. För 2008 och 2009 plan</w:t>
      </w:r>
      <w:r w:rsidR="009A1F07" w:rsidRPr="00D633FB">
        <w:t>e</w:t>
      </w:r>
      <w:r w:rsidR="009A1F07" w:rsidRPr="00D633FB">
        <w:t>rar vi med minskningar av anslaget</w:t>
      </w:r>
      <w:r w:rsidRPr="00D633FB">
        <w:t xml:space="preserve"> med </w:t>
      </w:r>
      <w:r w:rsidR="00005E99" w:rsidRPr="00D633FB">
        <w:t>6</w:t>
      </w:r>
      <w:r w:rsidR="003273AF" w:rsidRPr="00D633FB">
        <w:t>50</w:t>
      </w:r>
      <w:r w:rsidR="00241052" w:rsidRPr="00D633FB">
        <w:t> </w:t>
      </w:r>
      <w:r w:rsidRPr="00D633FB">
        <w:t xml:space="preserve">miljoner </w:t>
      </w:r>
      <w:r w:rsidR="009A1F07" w:rsidRPr="00D633FB">
        <w:t>jämfört med vad rege</w:t>
      </w:r>
      <w:r w:rsidR="009A1F07" w:rsidRPr="00D633FB">
        <w:t>r</w:t>
      </w:r>
      <w:r w:rsidR="009A1F07" w:rsidRPr="00D633FB">
        <w:t>ingen föreslår.</w:t>
      </w:r>
    </w:p>
    <w:p w:rsidR="009C7E74" w:rsidRPr="00D633FB" w:rsidRDefault="00636AC2">
      <w:pPr>
        <w:pStyle w:val="Normaltindrag"/>
        <w:shd w:val="clear" w:color="000000" w:fill="auto"/>
      </w:pPr>
      <w:r w:rsidRPr="00D633FB">
        <w:t xml:space="preserve">Se även motionerna </w:t>
      </w:r>
      <w:r w:rsidR="009C7E74" w:rsidRPr="00D633FB">
        <w:t>”Pol</w:t>
      </w:r>
      <w:r w:rsidR="00241052" w:rsidRPr="00D633FB">
        <w:t>isen” (</w:t>
      </w:r>
      <w:r w:rsidR="0054592B" w:rsidRPr="00D633FB">
        <w:t>2006/07:Ju3</w:t>
      </w:r>
      <w:r w:rsidR="00ED45E9" w:rsidRPr="00D633FB">
        <w:t>43), ”Sexualiserat våld” (2006/07</w:t>
      </w:r>
      <w:r w:rsidR="0054592B" w:rsidRPr="00D633FB">
        <w:t>:Ju341</w:t>
      </w:r>
      <w:r w:rsidR="00241052" w:rsidRPr="00D633FB">
        <w:t>) och ”Miljöbrott” (</w:t>
      </w:r>
      <w:r w:rsidR="0054592B" w:rsidRPr="00D633FB">
        <w:t>2006/07:MJ334</w:t>
      </w:r>
      <w:r w:rsidR="00241052" w:rsidRPr="00D633FB">
        <w:t>)</w:t>
      </w:r>
      <w:r w:rsidRPr="00D633FB">
        <w:t>.</w:t>
      </w:r>
    </w:p>
    <w:p w:rsidR="00675475" w:rsidRPr="00D633FB" w:rsidRDefault="00675475">
      <w:pPr>
        <w:pStyle w:val="Rubrik1"/>
        <w:shd w:val="clear" w:color="000000" w:fill="auto"/>
      </w:pPr>
      <w:r w:rsidRPr="00D633FB">
        <w:t>Säkerhetspolisen</w:t>
      </w:r>
    </w:p>
    <w:p w:rsidR="00675475" w:rsidRPr="00D633FB" w:rsidRDefault="006663D0">
      <w:pPr>
        <w:shd w:val="clear" w:color="000000" w:fill="auto"/>
      </w:pPr>
      <w:r w:rsidRPr="00D633FB">
        <w:t xml:space="preserve">Enligt tidigare överenskommelse </w:t>
      </w:r>
      <w:r w:rsidR="00241052" w:rsidRPr="00D633FB">
        <w:t>vill vi öka Säpos anslag med 25 </w:t>
      </w:r>
      <w:r w:rsidRPr="00D633FB">
        <w:t>miljoner från 2007. Detta för att klara en ökad omfattning av personskyddsverksamh</w:t>
      </w:r>
      <w:r w:rsidRPr="00D633FB">
        <w:t>e</w:t>
      </w:r>
      <w:r w:rsidRPr="00D633FB">
        <w:t xml:space="preserve">ten. </w:t>
      </w:r>
      <w:r w:rsidR="00D51BE5" w:rsidRPr="00D633FB">
        <w:t>Vi är dock inte eniga med regeringen om att ans</w:t>
      </w:r>
      <w:r w:rsidR="00241052" w:rsidRPr="00D633FB">
        <w:t>laget därutöver ska ökas med 75 </w:t>
      </w:r>
      <w:r w:rsidR="00D51BE5" w:rsidRPr="00D633FB">
        <w:t>miljoner för att främst utveckla verksamhet kring terrorismbekäm</w:t>
      </w:r>
      <w:r w:rsidR="00D51BE5" w:rsidRPr="00D633FB">
        <w:t>p</w:t>
      </w:r>
      <w:r w:rsidR="00D51BE5" w:rsidRPr="00D633FB">
        <w:t xml:space="preserve">ning. </w:t>
      </w:r>
      <w:r w:rsidR="00D876DF" w:rsidRPr="00D633FB">
        <w:t xml:space="preserve">Därför föreslår vi, jämfört med regeringens förslag, </w:t>
      </w:r>
      <w:r w:rsidR="00241052" w:rsidRPr="00D633FB">
        <w:t>en minskning av anslaget med 75 </w:t>
      </w:r>
      <w:r w:rsidR="00D876DF" w:rsidRPr="00D633FB">
        <w:t>miljoner för 2007</w:t>
      </w:r>
      <w:r w:rsidR="0054592B" w:rsidRPr="00D633FB">
        <w:t>–</w:t>
      </w:r>
      <w:r w:rsidR="00D876DF" w:rsidRPr="00D633FB">
        <w:t>2009.</w:t>
      </w:r>
    </w:p>
    <w:p w:rsidR="00D876DF" w:rsidRPr="00D633FB" w:rsidRDefault="00D876DF">
      <w:pPr>
        <w:pStyle w:val="Normaltindrag"/>
        <w:shd w:val="clear" w:color="000000" w:fill="auto"/>
      </w:pPr>
      <w:r w:rsidRPr="00D633FB">
        <w:t xml:space="preserve">Vi vill </w:t>
      </w:r>
      <w:r w:rsidR="004B1B07" w:rsidRPr="00D633FB">
        <w:t xml:space="preserve">samtidigt </w:t>
      </w:r>
      <w:r w:rsidRPr="00D633FB">
        <w:t xml:space="preserve">utdela kritik mot att </w:t>
      </w:r>
      <w:r w:rsidR="004B1B07" w:rsidRPr="00D633FB">
        <w:t xml:space="preserve">riksdagen inte har </w:t>
      </w:r>
      <w:r w:rsidR="00981ADE" w:rsidRPr="00D633FB">
        <w:t xml:space="preserve">tillgång till rimlig </w:t>
      </w:r>
      <w:r w:rsidR="004B1B07" w:rsidRPr="00D633FB">
        <w:t>insyn i Säkerhetspolisens användning av an</w:t>
      </w:r>
      <w:r w:rsidR="00803044" w:rsidRPr="00D633FB">
        <w:t xml:space="preserve">slaget. </w:t>
      </w:r>
      <w:r w:rsidR="00EF04BC" w:rsidRPr="00D633FB">
        <w:t>Detta är ett demokratiskt problem eftersom det är riksdagen som ska besluta om Säkerhetspolisens resurser.</w:t>
      </w:r>
    </w:p>
    <w:p w:rsidR="00803044" w:rsidRPr="00D633FB" w:rsidRDefault="00CA0A91">
      <w:pPr>
        <w:pStyle w:val="Rubrik1"/>
        <w:shd w:val="clear" w:color="000000" w:fill="auto"/>
      </w:pPr>
      <w:r w:rsidRPr="00D633FB">
        <w:t>Åklagarmyndigheten</w:t>
      </w:r>
    </w:p>
    <w:p w:rsidR="00837C35" w:rsidRPr="00D633FB" w:rsidRDefault="00FC3D4A">
      <w:pPr>
        <w:shd w:val="clear" w:color="000000" w:fill="auto"/>
      </w:pPr>
      <w:r w:rsidRPr="00D633FB">
        <w:t>Jämfört med tidigare överenskommelser mellan Vänsterpartiet, Socialdem</w:t>
      </w:r>
      <w:r w:rsidRPr="00D633FB">
        <w:t>o</w:t>
      </w:r>
      <w:r w:rsidRPr="00D633FB">
        <w:t>kraterna och Miljöpartiet föreslår den nuvarande regeringen inga förstär</w:t>
      </w:r>
      <w:r w:rsidRPr="00D633FB">
        <w:t>k</w:t>
      </w:r>
      <w:r w:rsidRPr="00D633FB">
        <w:t xml:space="preserve">ningar av anslaget till </w:t>
      </w:r>
      <w:r w:rsidR="00CA0A91" w:rsidRPr="00D633FB">
        <w:t>Åklagarmyndigheten</w:t>
      </w:r>
      <w:r w:rsidRPr="00D633FB">
        <w:t>.</w:t>
      </w:r>
    </w:p>
    <w:p w:rsidR="00837C35" w:rsidRPr="00D633FB" w:rsidRDefault="00837C35">
      <w:pPr>
        <w:pStyle w:val="Normaltindrag"/>
        <w:shd w:val="clear" w:color="000000" w:fill="auto"/>
      </w:pPr>
      <w:r w:rsidRPr="00D633FB">
        <w:t>Vänsterpartiet föreslår en</w:t>
      </w:r>
      <w:r w:rsidR="00241052" w:rsidRPr="00D633FB">
        <w:t xml:space="preserve"> förstärkning av anslaget med 2 </w:t>
      </w:r>
      <w:r w:rsidRPr="00D633FB">
        <w:t>miljoner kronor från 2007 för utbildningsinsatser när det gäller sexualiserat våld.</w:t>
      </w:r>
    </w:p>
    <w:p w:rsidR="00240CF7" w:rsidRPr="00D633FB" w:rsidRDefault="00241052">
      <w:pPr>
        <w:pStyle w:val="Normaltindrag"/>
        <w:shd w:val="clear" w:color="000000" w:fill="auto"/>
      </w:pPr>
      <w:r w:rsidRPr="00D633FB">
        <w:t xml:space="preserve">Vidare </w:t>
      </w:r>
      <w:r w:rsidR="00FC3D4A" w:rsidRPr="00D633FB">
        <w:t xml:space="preserve">anser </w:t>
      </w:r>
      <w:r w:rsidR="00837C35" w:rsidRPr="00D633FB">
        <w:t xml:space="preserve">vi </w:t>
      </w:r>
      <w:r w:rsidR="00FC3D4A" w:rsidRPr="00D633FB">
        <w:t>att förstärkt åklagarkompetens behövs främst på</w:t>
      </w:r>
      <w:r w:rsidR="00962D29" w:rsidRPr="00D633FB">
        <w:t xml:space="preserve"> området mäns våld mot kvinnor och barn. Detta inkluderar satsningar på familjevåld</w:t>
      </w:r>
      <w:r w:rsidR="00962D29" w:rsidRPr="00D633FB">
        <w:t>s</w:t>
      </w:r>
      <w:r w:rsidR="00962D29" w:rsidRPr="00D633FB">
        <w:t>enheter och bekämpning av människohandel</w:t>
      </w:r>
      <w:r w:rsidR="0003655D" w:rsidRPr="00D633FB">
        <w:t xml:space="preserve">. </w:t>
      </w:r>
      <w:r w:rsidR="004326BC" w:rsidRPr="00D633FB">
        <w:t xml:space="preserve">Även fler miljöåklagare behövs, även om de största problemen på området finns inom polisen. Jämfört med regeringens förslag </w:t>
      </w:r>
      <w:r w:rsidR="00BC688D" w:rsidRPr="00D633FB">
        <w:t xml:space="preserve">planerar </w:t>
      </w:r>
      <w:r w:rsidR="004326BC" w:rsidRPr="00D633FB">
        <w:t xml:space="preserve">vi </w:t>
      </w:r>
      <w:r w:rsidR="000F1CD5" w:rsidRPr="00D633FB">
        <w:t xml:space="preserve">därför </w:t>
      </w:r>
      <w:r w:rsidR="00BC688D" w:rsidRPr="00D633FB">
        <w:t xml:space="preserve">för </w:t>
      </w:r>
      <w:r w:rsidR="004326BC" w:rsidRPr="00D633FB">
        <w:t xml:space="preserve">en ökning av anslaget med </w:t>
      </w:r>
      <w:r w:rsidR="00AC23AE" w:rsidRPr="00D633FB">
        <w:t>2</w:t>
      </w:r>
      <w:r w:rsidR="000C19AE" w:rsidRPr="00D633FB">
        <w:t>7</w:t>
      </w:r>
      <w:r w:rsidRPr="00D633FB">
        <w:t> </w:t>
      </w:r>
      <w:r w:rsidR="004326BC" w:rsidRPr="00D633FB">
        <w:t>miljoner för 2008 och 2009.</w:t>
      </w:r>
    </w:p>
    <w:p w:rsidR="009B1BA3" w:rsidRPr="00D633FB" w:rsidRDefault="009B1BA3">
      <w:pPr>
        <w:pStyle w:val="Normaltindrag"/>
        <w:shd w:val="clear" w:color="000000" w:fill="auto"/>
      </w:pPr>
      <w:r w:rsidRPr="00D633FB">
        <w:t>Se även motionen ”Sexualiserat våld</w:t>
      </w:r>
      <w:r w:rsidR="00241052" w:rsidRPr="00D633FB">
        <w:t>” (</w:t>
      </w:r>
      <w:r w:rsidR="0054592B" w:rsidRPr="00D633FB">
        <w:t>2006/07:Ju341</w:t>
      </w:r>
      <w:r w:rsidR="00241052" w:rsidRPr="00D633FB">
        <w:t>)</w:t>
      </w:r>
      <w:r w:rsidRPr="00D633FB">
        <w:t>.</w:t>
      </w:r>
    </w:p>
    <w:p w:rsidR="00A22CC3" w:rsidRPr="00D633FB" w:rsidRDefault="004725CA">
      <w:pPr>
        <w:pStyle w:val="Rubrik1"/>
        <w:shd w:val="clear" w:color="000000" w:fill="auto"/>
      </w:pPr>
      <w:r w:rsidRPr="00D633FB">
        <w:t>Ekobrottsmyndigheten</w:t>
      </w:r>
    </w:p>
    <w:p w:rsidR="004725CA" w:rsidRPr="00D633FB" w:rsidRDefault="000B57F3">
      <w:pPr>
        <w:shd w:val="clear" w:color="000000" w:fill="auto"/>
      </w:pPr>
      <w:r w:rsidRPr="00D633FB">
        <w:t xml:space="preserve">Alla typer av brott måste bekämpas. </w:t>
      </w:r>
      <w:r w:rsidR="00CE66B7" w:rsidRPr="00D633FB">
        <w:t xml:space="preserve">Den ekonomiska brottsligheten omfattar </w:t>
      </w:r>
      <w:r w:rsidR="00241052" w:rsidRPr="00D633FB">
        <w:t>ca</w:t>
      </w:r>
      <w:r w:rsidR="00CE66B7" w:rsidRPr="00D633FB">
        <w:t xml:space="preserve"> 1</w:t>
      </w:r>
      <w:r w:rsidR="00241052" w:rsidRPr="00D633FB">
        <w:t>50 miljarder om året, varav 100 </w:t>
      </w:r>
      <w:r w:rsidR="00CE66B7" w:rsidRPr="00D633FB">
        <w:t xml:space="preserve">miljarder är skatter och avgifter som undanhålls samhället och som skulle kunna användas till att finansiera den allmänna välfärden. </w:t>
      </w:r>
      <w:r w:rsidR="00D64430" w:rsidRPr="00D633FB">
        <w:t>Insatserna för att bekämpa den växande svarta sektorn måste ökas. Ekobrottsbekämpningens kopplingar till bekämpandet av den organiserade brottsligheten är tydliga och denna kunskap måste utnyttjas väl. Jämfört med regeringens förslag föreslår vi en ökning av anslaget med 1</w:t>
      </w:r>
      <w:r w:rsidR="00D53246" w:rsidRPr="00D633FB">
        <w:t>3</w:t>
      </w:r>
      <w:r w:rsidR="00241052" w:rsidRPr="00D633FB">
        <w:t> </w:t>
      </w:r>
      <w:r w:rsidR="00D64430" w:rsidRPr="00D633FB">
        <w:t>miljoner från 2007.</w:t>
      </w:r>
    </w:p>
    <w:p w:rsidR="00075A77" w:rsidRPr="00D633FB" w:rsidRDefault="00075A77">
      <w:pPr>
        <w:pStyle w:val="Normaltindrag"/>
        <w:shd w:val="clear" w:color="000000" w:fill="auto"/>
      </w:pPr>
      <w:r w:rsidRPr="00D633FB">
        <w:t>Se även mot</w:t>
      </w:r>
      <w:r w:rsidR="0054592B" w:rsidRPr="00D633FB">
        <w:t>ion</w:t>
      </w:r>
      <w:r w:rsidR="00241052" w:rsidRPr="00D633FB">
        <w:t xml:space="preserve"> ”Ekonomisk brottslighet” (</w:t>
      </w:r>
      <w:r w:rsidR="0054592B" w:rsidRPr="00D633FB">
        <w:t>2006/07:Ju254</w:t>
      </w:r>
      <w:r w:rsidR="00241052" w:rsidRPr="00D633FB">
        <w:t>)</w:t>
      </w:r>
      <w:r w:rsidRPr="00D633FB">
        <w:t>.</w:t>
      </w:r>
    </w:p>
    <w:p w:rsidR="00407D3D" w:rsidRPr="00D633FB" w:rsidRDefault="00407D3D">
      <w:pPr>
        <w:pStyle w:val="Rubrik1"/>
        <w:shd w:val="clear" w:color="000000" w:fill="auto"/>
      </w:pPr>
      <w:r w:rsidRPr="00D633FB">
        <w:t>Sveriges Domstolar</w:t>
      </w:r>
    </w:p>
    <w:p w:rsidR="00791D19" w:rsidRPr="00D633FB" w:rsidRDefault="00791D19">
      <w:pPr>
        <w:shd w:val="clear" w:color="000000" w:fill="auto"/>
      </w:pPr>
      <w:r w:rsidRPr="00D633FB">
        <w:t xml:space="preserve">Vänsterpartiet föreslår en förstärkning av anslaget med </w:t>
      </w:r>
      <w:r w:rsidR="00C214DC" w:rsidRPr="00D633FB">
        <w:t>3</w:t>
      </w:r>
      <w:r w:rsidR="00241052" w:rsidRPr="00D633FB">
        <w:t> </w:t>
      </w:r>
      <w:r w:rsidRPr="00D633FB">
        <w:t>miljoner kronor från 2007 för utbildningsinsatser när det gäller sexualiserat våld.</w:t>
      </w:r>
    </w:p>
    <w:p w:rsidR="00E439D2" w:rsidRPr="00D633FB" w:rsidRDefault="00E439D2">
      <w:pPr>
        <w:pStyle w:val="Normaltindrag"/>
        <w:shd w:val="clear" w:color="000000" w:fill="auto"/>
      </w:pPr>
      <w:r w:rsidRPr="00D633FB">
        <w:t>Se även motionen ”S</w:t>
      </w:r>
      <w:r w:rsidR="00241052" w:rsidRPr="00D633FB">
        <w:t>exualiserat våld” (</w:t>
      </w:r>
      <w:r w:rsidR="0054592B" w:rsidRPr="00D633FB">
        <w:t>2006/07:Ju341</w:t>
      </w:r>
      <w:r w:rsidR="00241052" w:rsidRPr="00D633FB">
        <w:t>)</w:t>
      </w:r>
      <w:r w:rsidR="008A6BE1" w:rsidRPr="00D633FB">
        <w:t>.</w:t>
      </w:r>
    </w:p>
    <w:p w:rsidR="00EF3502" w:rsidRPr="00D633FB" w:rsidRDefault="0063483C">
      <w:pPr>
        <w:pStyle w:val="Rubrik1"/>
        <w:shd w:val="clear" w:color="000000" w:fill="auto"/>
      </w:pPr>
      <w:r w:rsidRPr="00D633FB">
        <w:t>Kriminalvården</w:t>
      </w:r>
    </w:p>
    <w:p w:rsidR="005D3BE8" w:rsidRPr="00D633FB" w:rsidRDefault="005D3BE8">
      <w:pPr>
        <w:shd w:val="clear" w:color="000000" w:fill="auto"/>
      </w:pPr>
      <w:r w:rsidRPr="00D633FB">
        <w:t>Vänsterpartiet vi</w:t>
      </w:r>
      <w:r w:rsidR="00241052" w:rsidRPr="00D633FB">
        <w:t>dhåller den förstärkning på 350 </w:t>
      </w:r>
      <w:r w:rsidRPr="00D633FB">
        <w:t>miljoner</w:t>
      </w:r>
      <w:r w:rsidR="00715363" w:rsidRPr="00D633FB">
        <w:t xml:space="preserve"> kronor från 2007 som vi var överens om med Socialdemokraterna och Miljöpartiet. Vi vill dessutom göra omfattande ytterligare satsningar.</w:t>
      </w:r>
    </w:p>
    <w:p w:rsidR="00A67209" w:rsidRPr="00D633FB" w:rsidRDefault="00A67209">
      <w:pPr>
        <w:pStyle w:val="Normaltindrag"/>
        <w:shd w:val="clear" w:color="000000" w:fill="auto"/>
      </w:pPr>
      <w:r w:rsidRPr="00D633FB">
        <w:t xml:space="preserve">Regeringen föreslår att propositionen Ingripanden mot unga lagöverträdare 2007 och 2008 ska finansieras med medel från kriminalvården omfattande </w:t>
      </w:r>
      <w:r w:rsidR="00241052" w:rsidRPr="00D633FB">
        <w:t>62 </w:t>
      </w:r>
      <w:r w:rsidR="004447DA" w:rsidRPr="00D633FB">
        <w:t xml:space="preserve">respektive </w:t>
      </w:r>
      <w:r w:rsidR="00241052" w:rsidRPr="00D633FB">
        <w:t>76 </w:t>
      </w:r>
      <w:r w:rsidRPr="00D633FB">
        <w:t xml:space="preserve">miljoner kronor per år. Vi vill att dessa pengar stannar hos </w:t>
      </w:r>
      <w:r w:rsidR="00A72FEB" w:rsidRPr="00D633FB">
        <w:t>kriminalvården</w:t>
      </w:r>
      <w:r w:rsidRPr="00D633FB">
        <w:t xml:space="preserve">. </w:t>
      </w:r>
      <w:r w:rsidR="00837A19" w:rsidRPr="00D633FB">
        <w:t>3</w:t>
      </w:r>
      <w:r w:rsidR="00241052" w:rsidRPr="00D633FB">
        <w:t>0 </w:t>
      </w:r>
      <w:r w:rsidR="00DB31E5" w:rsidRPr="00D633FB">
        <w:t>miljoner av dessa medel ska användas för behandling av sexualbrottsdömda samt män som d</w:t>
      </w:r>
      <w:r w:rsidR="00710491" w:rsidRPr="00D633FB">
        <w:t xml:space="preserve">öms för våld i nära relationer, </w:t>
      </w:r>
      <w:r w:rsidR="00DF3583" w:rsidRPr="00D633FB">
        <w:t>vilket är 10</w:t>
      </w:r>
      <w:r w:rsidR="00241052" w:rsidRPr="00D633FB">
        <w:t> </w:t>
      </w:r>
      <w:r w:rsidR="00DF3583" w:rsidRPr="00D633FB">
        <w:t xml:space="preserve">miljoner mer än </w:t>
      </w:r>
      <w:r w:rsidR="009E0789" w:rsidRPr="00D633FB">
        <w:t>vad regeringen har föreslagit i budgetpropositionen.</w:t>
      </w:r>
    </w:p>
    <w:p w:rsidR="00966A21" w:rsidRPr="00D633FB" w:rsidRDefault="00767ED6">
      <w:pPr>
        <w:pStyle w:val="Normaltindrag"/>
        <w:shd w:val="clear" w:color="000000" w:fill="auto"/>
      </w:pPr>
      <w:r w:rsidRPr="00D633FB">
        <w:t xml:space="preserve">Vänsterpartiet vill </w:t>
      </w:r>
      <w:r w:rsidR="00D8619C" w:rsidRPr="00D633FB">
        <w:t xml:space="preserve">dessutom </w:t>
      </w:r>
      <w:r w:rsidRPr="00D633FB">
        <w:t>genomföra en reform där villkorlig halvtid</w:t>
      </w:r>
      <w:r w:rsidRPr="00D633FB">
        <w:t>s</w:t>
      </w:r>
      <w:r w:rsidRPr="00D633FB">
        <w:t>frigivning återinförs</w:t>
      </w:r>
      <w:r w:rsidR="0033247E" w:rsidRPr="00D633FB">
        <w:t xml:space="preserve"> från 1 juli 2007</w:t>
      </w:r>
      <w:r w:rsidRPr="00D633FB">
        <w:t xml:space="preserve">. </w:t>
      </w:r>
      <w:r w:rsidR="002A1764" w:rsidRPr="00D633FB">
        <w:t xml:space="preserve">Detta skulle frigöra </w:t>
      </w:r>
      <w:r w:rsidR="006769CB" w:rsidRPr="00D633FB">
        <w:t xml:space="preserve">cirka </w:t>
      </w:r>
      <w:r w:rsidR="00322BD2" w:rsidRPr="00D633FB">
        <w:t>900</w:t>
      </w:r>
      <w:r w:rsidR="00241052" w:rsidRPr="00D633FB">
        <w:t xml:space="preserve"> </w:t>
      </w:r>
      <w:r w:rsidR="00322BD2" w:rsidRPr="00D633FB">
        <w:t xml:space="preserve">miljoner </w:t>
      </w:r>
      <w:r w:rsidR="001B19F6" w:rsidRPr="00D633FB">
        <w:t>per år</w:t>
      </w:r>
      <w:r w:rsidR="00962E36" w:rsidRPr="00D633FB">
        <w:t xml:space="preserve">. Hälften av detta bör </w:t>
      </w:r>
      <w:r w:rsidR="002A1764" w:rsidRPr="00D633FB">
        <w:t>använda</w:t>
      </w:r>
      <w:r w:rsidR="00962E36" w:rsidRPr="00D633FB">
        <w:t>s</w:t>
      </w:r>
      <w:r w:rsidR="002A1764" w:rsidRPr="00D633FB">
        <w:t xml:space="preserve"> till satsningar på en förbättrad krimina</w:t>
      </w:r>
      <w:r w:rsidR="002A1764" w:rsidRPr="00D633FB">
        <w:t>l</w:t>
      </w:r>
      <w:r w:rsidR="002A1764" w:rsidRPr="00D633FB">
        <w:t xml:space="preserve">vård. </w:t>
      </w:r>
      <w:r w:rsidR="0065254D" w:rsidRPr="00D633FB">
        <w:t xml:space="preserve">Detta ska framförallt användas till satsningar på </w:t>
      </w:r>
      <w:r w:rsidR="00557F2D" w:rsidRPr="00D633FB">
        <w:t xml:space="preserve">frivården, </w:t>
      </w:r>
      <w:r w:rsidR="00D16DC2" w:rsidRPr="00D633FB">
        <w:t xml:space="preserve">förbättrad utbildning och behandling av de intagna, </w:t>
      </w:r>
      <w:r w:rsidR="00557F2D" w:rsidRPr="00D633FB">
        <w:t xml:space="preserve">särskilda satsningar för intagna kvinnor, </w:t>
      </w:r>
      <w:r w:rsidR="00D16DC2" w:rsidRPr="00D633FB">
        <w:t>pengar till vidareutbildning av personal, satsning på särskilda pers</w:t>
      </w:r>
      <w:r w:rsidR="00D16DC2" w:rsidRPr="00D633FB">
        <w:t>o</w:t>
      </w:r>
      <w:r w:rsidR="00D16DC2" w:rsidRPr="00D633FB">
        <w:t xml:space="preserve">nalkategorier och välbehövliga tillskott till frivården. </w:t>
      </w:r>
      <w:r w:rsidR="00241052" w:rsidRPr="00D633FB">
        <w:t>Resterande 450 </w:t>
      </w:r>
      <w:r w:rsidR="00962E36" w:rsidRPr="00D633FB">
        <w:t xml:space="preserve">miljoner </w:t>
      </w:r>
      <w:r w:rsidR="008F2276" w:rsidRPr="00D633FB">
        <w:t>bör</w:t>
      </w:r>
      <w:r w:rsidR="00962E36" w:rsidRPr="00D633FB">
        <w:t xml:space="preserve"> användas till förebyggande satsningar i kommunerna</w:t>
      </w:r>
      <w:r w:rsidR="00B9422C" w:rsidRPr="00D633FB">
        <w:t>, till missbruksvå</w:t>
      </w:r>
      <w:r w:rsidR="00B9422C" w:rsidRPr="00D633FB">
        <w:t>r</w:t>
      </w:r>
      <w:r w:rsidR="00B9422C" w:rsidRPr="00D633FB">
        <w:t>den och till psykiatrin</w:t>
      </w:r>
      <w:r w:rsidR="00962E36" w:rsidRPr="00D633FB">
        <w:t>. Detta gäller dock inte för 2</w:t>
      </w:r>
      <w:r w:rsidR="00241052" w:rsidRPr="00D633FB">
        <w:t>007, då reformen endast ger 450 </w:t>
      </w:r>
      <w:r w:rsidR="00962E36" w:rsidRPr="00D633FB">
        <w:t>miljoner som bör stanna inom anslaget till Kriminalvården.</w:t>
      </w:r>
    </w:p>
    <w:p w:rsidR="0063483C" w:rsidRPr="00D633FB" w:rsidRDefault="00F31E26">
      <w:pPr>
        <w:pStyle w:val="Normaltindrag"/>
        <w:shd w:val="clear" w:color="000000" w:fill="auto"/>
      </w:pPr>
      <w:r w:rsidRPr="00D633FB">
        <w:t xml:space="preserve">Fem miljoner </w:t>
      </w:r>
      <w:r w:rsidR="00731A5B" w:rsidRPr="00D633FB">
        <w:t xml:space="preserve">tas från kriminalvårdens anslag för att </w:t>
      </w:r>
      <w:r w:rsidRPr="00D633FB">
        <w:t>användas till att införa en fångombudsman.</w:t>
      </w:r>
    </w:p>
    <w:p w:rsidR="00AE599C" w:rsidRPr="00D633FB" w:rsidRDefault="00AE599C">
      <w:pPr>
        <w:pStyle w:val="Normaltindrag"/>
        <w:shd w:val="clear" w:color="000000" w:fill="auto"/>
      </w:pPr>
      <w:r w:rsidRPr="00D633FB">
        <w:t xml:space="preserve">Sammantaget innebär detta att vi, jämfört med regeringens förslag, vill förstärka anslaget med </w:t>
      </w:r>
      <w:r w:rsidR="00F4085A" w:rsidRPr="00D633FB">
        <w:t>57</w:t>
      </w:r>
      <w:r w:rsidR="00241052" w:rsidRPr="00D633FB">
        <w:t> </w:t>
      </w:r>
      <w:r w:rsidRPr="00D633FB">
        <w:t>miljoner 2007</w:t>
      </w:r>
      <w:r w:rsidR="00711682" w:rsidRPr="00D633FB">
        <w:t xml:space="preserve">. </w:t>
      </w:r>
      <w:r w:rsidR="00241052" w:rsidRPr="00D633FB">
        <w:t>Anslaget minskas med 379 </w:t>
      </w:r>
      <w:r w:rsidR="002339D7" w:rsidRPr="00D633FB">
        <w:t xml:space="preserve">miljoner </w:t>
      </w:r>
      <w:r w:rsidR="00420C59" w:rsidRPr="00D633FB">
        <w:t>2008 och 2009 jämfört med regeringens förslag.</w:t>
      </w:r>
    </w:p>
    <w:p w:rsidR="00075A77" w:rsidRPr="00D633FB" w:rsidRDefault="00075A77">
      <w:pPr>
        <w:pStyle w:val="Normaltindrag"/>
        <w:shd w:val="clear" w:color="000000" w:fill="auto"/>
      </w:pPr>
      <w:r w:rsidRPr="00D633FB">
        <w:t xml:space="preserve">Se </w:t>
      </w:r>
      <w:r w:rsidR="00241052" w:rsidRPr="00D633FB">
        <w:t>även motionen ”Kriminalvården” (</w:t>
      </w:r>
      <w:r w:rsidR="0054592B" w:rsidRPr="00D633FB">
        <w:t>2006/07:Ju262</w:t>
      </w:r>
      <w:r w:rsidR="00241052" w:rsidRPr="00D633FB">
        <w:t>)</w:t>
      </w:r>
      <w:r w:rsidRPr="00D633FB">
        <w:t>.</w:t>
      </w:r>
    </w:p>
    <w:p w:rsidR="009B3D53" w:rsidRPr="00D633FB" w:rsidRDefault="00863A35">
      <w:pPr>
        <w:pStyle w:val="Rubrik1"/>
        <w:shd w:val="clear" w:color="000000" w:fill="auto"/>
      </w:pPr>
      <w:r w:rsidRPr="00D633FB">
        <w:t>Brottsförebyggande rådet</w:t>
      </w:r>
    </w:p>
    <w:p w:rsidR="00863A35" w:rsidRPr="00D633FB" w:rsidRDefault="004C2750">
      <w:pPr>
        <w:shd w:val="clear" w:color="000000" w:fill="auto"/>
      </w:pPr>
      <w:r w:rsidRPr="00D633FB">
        <w:t>I vårens tilläggsbudget gjordes bedömningen att anslaget till Brottsföreby</w:t>
      </w:r>
      <w:r w:rsidRPr="00D633FB">
        <w:t>g</w:t>
      </w:r>
      <w:r w:rsidRPr="00D633FB">
        <w:t xml:space="preserve">gande rådet behövde förstärkas. </w:t>
      </w:r>
      <w:r w:rsidR="00E268B2" w:rsidRPr="00D633FB">
        <w:t xml:space="preserve">Regeringen drar i sitt budgetförslag tillbaka denna förstärkning. </w:t>
      </w:r>
      <w:r w:rsidR="008C0991" w:rsidRPr="00D633FB">
        <w:t xml:space="preserve">Vänsterpartiet sätter stort värde på </w:t>
      </w:r>
      <w:r w:rsidR="0054592B" w:rsidRPr="00D633FB">
        <w:t>Brå</w:t>
      </w:r>
      <w:r w:rsidR="008C0991" w:rsidRPr="00D633FB">
        <w:t>s arbete och vill därför förstärka anslaget, jämfört</w:t>
      </w:r>
      <w:r w:rsidR="00241052" w:rsidRPr="00D633FB">
        <w:t xml:space="preserve"> med regeringens förslag, med 6 </w:t>
      </w:r>
      <w:r w:rsidR="008C0991" w:rsidRPr="00D633FB">
        <w:t>miljoner från 2007.</w:t>
      </w:r>
    </w:p>
    <w:p w:rsidR="009B19A8" w:rsidRPr="00D633FB" w:rsidRDefault="008B7E73">
      <w:pPr>
        <w:pStyle w:val="Rubrik1"/>
        <w:shd w:val="clear" w:color="000000" w:fill="auto"/>
      </w:pPr>
      <w:r w:rsidRPr="00D633FB">
        <w:t>Brottsoffermyndigheten och 4:11 Ersättning för skador på grund av brott</w:t>
      </w:r>
    </w:p>
    <w:p w:rsidR="008B7E73" w:rsidRPr="00D633FB" w:rsidRDefault="00CC297A">
      <w:pPr>
        <w:shd w:val="clear" w:color="000000" w:fill="auto"/>
      </w:pPr>
      <w:r w:rsidRPr="00D633FB">
        <w:t xml:space="preserve">Brottsoffermyndigheten möter ett växande antal ärenden där ersättning begärs för skador på grund av brott. </w:t>
      </w:r>
      <w:r w:rsidR="00AB1C9C" w:rsidRPr="00D633FB">
        <w:t xml:space="preserve">För att möta detta </w:t>
      </w:r>
      <w:r w:rsidR="00D46FC1" w:rsidRPr="00D633FB">
        <w:t>planerar</w:t>
      </w:r>
      <w:r w:rsidR="00AB1C9C" w:rsidRPr="00D633FB">
        <w:t xml:space="preserve"> vi </w:t>
      </w:r>
      <w:r w:rsidR="00D46FC1" w:rsidRPr="00D633FB">
        <w:t xml:space="preserve">för </w:t>
      </w:r>
      <w:r w:rsidR="00AB1C9C" w:rsidRPr="00D633FB">
        <w:t>förstärk</w:t>
      </w:r>
      <w:r w:rsidR="007952E0" w:rsidRPr="00D633FB">
        <w:t>ningar av</w:t>
      </w:r>
      <w:r w:rsidR="00AB1C9C" w:rsidRPr="00D633FB">
        <w:t xml:space="preserve"> anslag 4:10 med </w:t>
      </w:r>
      <w:r w:rsidR="00241052" w:rsidRPr="00D633FB">
        <w:t>1 miljon samt anslag 4:11 med 3 </w:t>
      </w:r>
      <w:r w:rsidR="00AB1C9C" w:rsidRPr="00D633FB">
        <w:t>miljoner från 2008, jämfört med regeringens förslag.</w:t>
      </w:r>
    </w:p>
    <w:p w:rsidR="00075A77" w:rsidRPr="00D633FB" w:rsidRDefault="00075A77">
      <w:pPr>
        <w:pStyle w:val="Normaltindrag"/>
        <w:shd w:val="clear" w:color="000000" w:fill="auto"/>
      </w:pPr>
      <w:r w:rsidRPr="00D633FB">
        <w:t>Se även motionen ”Brottsoffer”</w:t>
      </w:r>
      <w:r w:rsidR="00241052" w:rsidRPr="00D633FB">
        <w:t xml:space="preserve"> </w:t>
      </w:r>
      <w:r w:rsidR="00ED45E9" w:rsidRPr="00D633FB">
        <w:t>2006/07:Ju312</w:t>
      </w:r>
      <w:r w:rsidRPr="00D633FB">
        <w:t>.</w:t>
      </w:r>
    </w:p>
    <w:p w:rsidR="00AB1C9C" w:rsidRPr="00D633FB" w:rsidRDefault="0037170E">
      <w:pPr>
        <w:pStyle w:val="Rubrik1"/>
        <w:shd w:val="clear" w:color="000000" w:fill="auto"/>
      </w:pPr>
      <w:r w:rsidRPr="00D633FB">
        <w:t xml:space="preserve">Rättsliga biträden </w:t>
      </w:r>
      <w:r w:rsidR="007909E5" w:rsidRPr="00D633FB">
        <w:t>m.m</w:t>
      </w:r>
      <w:r w:rsidR="00ED45E9" w:rsidRPr="00D633FB">
        <w:t>.</w:t>
      </w:r>
    </w:p>
    <w:p w:rsidR="0037170E" w:rsidRPr="00D633FB" w:rsidRDefault="00993317">
      <w:pPr>
        <w:shd w:val="clear" w:color="000000" w:fill="auto"/>
      </w:pPr>
      <w:r w:rsidRPr="00D633FB">
        <w:t xml:space="preserve">Inom anslaget ryms </w:t>
      </w:r>
      <w:r w:rsidR="00241052" w:rsidRPr="00D633FB">
        <w:t>bl.a.</w:t>
      </w:r>
      <w:r w:rsidRPr="00D633FB">
        <w:t xml:space="preserve"> olika typer av stödpersoner och hjälp </w:t>
      </w:r>
      <w:r w:rsidR="00587C5F" w:rsidRPr="00D633FB">
        <w:t xml:space="preserve">i juridiska processer </w:t>
      </w:r>
      <w:r w:rsidRPr="00D633FB">
        <w:t>som ges till privatpersoner, en verksamhet som växer, vilket vi ser positivt på.</w:t>
      </w:r>
    </w:p>
    <w:p w:rsidR="002E542E" w:rsidRPr="00D633FB" w:rsidRDefault="002E542E">
      <w:pPr>
        <w:pStyle w:val="Normaltindrag"/>
        <w:shd w:val="clear" w:color="000000" w:fill="auto"/>
      </w:pPr>
      <w:r w:rsidRPr="00D633FB">
        <w:t xml:space="preserve">Vi är dock djupt bekymrade över utvecklingen när det gäller rättshjälpen. </w:t>
      </w:r>
      <w:r w:rsidR="00BD1AB7" w:rsidRPr="00D633FB">
        <w:t xml:space="preserve">Genom att staten frånsade sig huvudansvaret för rättshjälpen från 1997 och överlät den åt försäkringsbolagen, en förändring som Vänsterpartiet var emot, har människor med låga och medelhöga inkomster fått allt svårare att hävda sig i rättsliga tvister. </w:t>
      </w:r>
      <w:r w:rsidR="00A971E9" w:rsidRPr="00D633FB">
        <w:t>Vi anser att rättshjälpen snarats ska återförstatligas.</w:t>
      </w:r>
      <w:r w:rsidR="002B62A5" w:rsidRPr="00D633FB">
        <w:t xml:space="preserve"> I väntan på att frågan blir utredd ser vi dock också att den rättshjälpsverksa</w:t>
      </w:r>
      <w:r w:rsidR="002B62A5" w:rsidRPr="00D633FB">
        <w:t>m</w:t>
      </w:r>
      <w:r w:rsidR="002B62A5" w:rsidRPr="00D633FB">
        <w:t xml:space="preserve">het som ändå finns kvar, för dem med allra minst ekonomiska marginaler, är underfinansierad enligt underlag från Domstolsverket. </w:t>
      </w:r>
      <w:r w:rsidR="0017787E" w:rsidRPr="00D633FB">
        <w:t>Regeringen vill fö</w:t>
      </w:r>
      <w:r w:rsidR="0017787E" w:rsidRPr="00D633FB">
        <w:t>r</w:t>
      </w:r>
      <w:r w:rsidR="0017787E" w:rsidRPr="00D633FB">
        <w:t>stärka anslaget med 160</w:t>
      </w:r>
      <w:r w:rsidR="00241052" w:rsidRPr="00D633FB">
        <w:t> </w:t>
      </w:r>
      <w:r w:rsidR="0017787E" w:rsidRPr="00D633FB">
        <w:t>miljoner i tilläggsbudget och vi instämmer i</w:t>
      </w:r>
      <w:r w:rsidR="004B14FE" w:rsidRPr="00D633FB">
        <w:t xml:space="preserve"> försl</w:t>
      </w:r>
      <w:r w:rsidR="004B14FE" w:rsidRPr="00D633FB">
        <w:t>a</w:t>
      </w:r>
      <w:r w:rsidR="004B14FE" w:rsidRPr="00D633FB">
        <w:t>get</w:t>
      </w:r>
      <w:r w:rsidR="0017787E" w:rsidRPr="00D633FB">
        <w:t xml:space="preserve">. När det gäller ramar för anslaget </w:t>
      </w:r>
      <w:r w:rsidR="009A60A5" w:rsidRPr="00D633FB">
        <w:t xml:space="preserve">föreslår vi en förstärkning med </w:t>
      </w:r>
      <w:r w:rsidR="00C15EAA" w:rsidRPr="00D633FB">
        <w:t>100</w:t>
      </w:r>
      <w:r w:rsidR="00241052" w:rsidRPr="00D633FB">
        <w:t> </w:t>
      </w:r>
      <w:r w:rsidR="00C15EAA" w:rsidRPr="00D633FB">
        <w:t>miljoner för 2007</w:t>
      </w:r>
      <w:r w:rsidR="009A60A5" w:rsidRPr="00D633FB">
        <w:t xml:space="preserve"> jämfört med regeringens förslag. För 2008 och 2009 planerar vi för förstärkningar på </w:t>
      </w:r>
      <w:r w:rsidR="00241052" w:rsidRPr="00D633FB">
        <w:t>150 </w:t>
      </w:r>
      <w:r w:rsidR="00C15EAA" w:rsidRPr="00D633FB">
        <w:t xml:space="preserve">miljoner </w:t>
      </w:r>
      <w:r w:rsidR="009A60A5" w:rsidRPr="00D633FB">
        <w:t>jämfört med regeringens fö</w:t>
      </w:r>
      <w:r w:rsidR="009A60A5" w:rsidRPr="00D633FB">
        <w:t>r</w:t>
      </w:r>
      <w:r w:rsidR="009A60A5" w:rsidRPr="00D633FB">
        <w:t>slag.</w:t>
      </w:r>
    </w:p>
    <w:p w:rsidR="009F76E2" w:rsidRPr="00D633FB" w:rsidRDefault="009F76E2">
      <w:pPr>
        <w:pStyle w:val="Normaltindrag"/>
        <w:shd w:val="clear" w:color="000000" w:fill="auto"/>
      </w:pPr>
      <w:r w:rsidRPr="00D633FB">
        <w:t>Se även mo</w:t>
      </w:r>
      <w:r w:rsidR="0054592B" w:rsidRPr="00D633FB">
        <w:t>tionen ”Kriminalpolitiken</w:t>
      </w:r>
      <w:r w:rsidR="00241052" w:rsidRPr="00D633FB">
        <w:t>” (</w:t>
      </w:r>
      <w:r w:rsidR="0054592B" w:rsidRPr="00D633FB">
        <w:t>2006/07:Ju313</w:t>
      </w:r>
      <w:r w:rsidR="00241052" w:rsidRPr="00D633FB">
        <w:t>)</w:t>
      </w:r>
      <w:r w:rsidRPr="00D633FB">
        <w:t>.</w:t>
      </w:r>
    </w:p>
    <w:p w:rsidR="00F31E26" w:rsidRPr="00D633FB" w:rsidRDefault="00F31E26">
      <w:pPr>
        <w:pStyle w:val="Rubrik1"/>
        <w:shd w:val="clear" w:color="000000" w:fill="auto"/>
      </w:pPr>
      <w:r w:rsidRPr="00D633FB">
        <w:t>Fångombudsman</w:t>
      </w:r>
      <w:r w:rsidR="00171C4C" w:rsidRPr="00D633FB">
        <w:t>nen</w:t>
      </w:r>
    </w:p>
    <w:p w:rsidR="00B77135" w:rsidRPr="00D633FB" w:rsidRDefault="00B77135">
      <w:pPr>
        <w:shd w:val="clear" w:color="000000" w:fill="auto"/>
      </w:pPr>
      <w:r w:rsidRPr="00D633FB">
        <w:t>Det behövs någon som aktivt kan arbeta för att mänskliga rättigheter upprät</w:t>
      </w:r>
      <w:r w:rsidRPr="00D633FB">
        <w:t>t</w:t>
      </w:r>
      <w:r w:rsidRPr="00D633FB">
        <w:t>hålls inom kriminalvården. I Storbritannien har det införts en fångombudsman som arbetar med dessa frågor. Det har fått mycket positiva effekter för inte</w:t>
      </w:r>
      <w:r w:rsidRPr="00D633FB">
        <w:t>r</w:t>
      </w:r>
      <w:r w:rsidRPr="00D633FB">
        <w:t>nerna, men även för anstaltsledningarna, och har bidragit till att få en bättre fungerande verksamhet för alla parter. En fångombudsman bör införas även i Sverige.</w:t>
      </w:r>
    </w:p>
    <w:p w:rsidR="00F31E26" w:rsidRPr="00D633FB" w:rsidRDefault="00224C56">
      <w:pPr>
        <w:pStyle w:val="Normaltindrag"/>
        <w:shd w:val="clear" w:color="000000" w:fill="auto"/>
      </w:pPr>
      <w:r w:rsidRPr="00D633FB">
        <w:t>För detta skapa</w:t>
      </w:r>
      <w:r w:rsidR="003C060C" w:rsidRPr="00D633FB">
        <w:t>r Vänsterpartiet</w:t>
      </w:r>
      <w:r w:rsidRPr="00D633FB">
        <w:t xml:space="preserve"> en ny anslagspost, där vi </w:t>
      </w:r>
      <w:r w:rsidR="003C060C" w:rsidRPr="00D633FB">
        <w:t xml:space="preserve">anslår </w:t>
      </w:r>
      <w:r w:rsidR="00241052" w:rsidRPr="00D633FB">
        <w:t>5 </w:t>
      </w:r>
      <w:r w:rsidRPr="00D633FB">
        <w:t xml:space="preserve">miljoner </w:t>
      </w:r>
      <w:r w:rsidR="00133B6A" w:rsidRPr="00D633FB">
        <w:t>kronor per år som tas från Kriminalvårdens anslag.</w:t>
      </w:r>
    </w:p>
    <w:p w:rsidR="006449A2" w:rsidRPr="00D633FB" w:rsidRDefault="006449A2">
      <w:pPr>
        <w:pStyle w:val="Normaltindrag"/>
        <w:shd w:val="clear" w:color="000000" w:fill="auto"/>
      </w:pPr>
      <w:r w:rsidRPr="00D633FB">
        <w:t xml:space="preserve">Se </w:t>
      </w:r>
      <w:r w:rsidR="00241052" w:rsidRPr="00D633FB">
        <w:t>även motionen ”Kriminalvården” (</w:t>
      </w:r>
      <w:r w:rsidR="0054592B" w:rsidRPr="00D633FB">
        <w:t>2006/07:Ju262</w:t>
      </w:r>
      <w:r w:rsidR="00241052" w:rsidRPr="00D633FB">
        <w:t>)</w:t>
      </w:r>
      <w:r w:rsidRPr="00D633F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33FB">
        <w:trPr>
          <w:cantSplit/>
        </w:trPr>
        <w:tc>
          <w:tcPr>
            <w:tcW w:w="3046" w:type="dxa"/>
          </w:tcPr>
          <w:p w:rsidR="006A03AF" w:rsidRPr="00D633FB" w:rsidRDefault="006A03AF">
            <w:pPr>
              <w:pStyle w:val="UnderskriftDatum"/>
              <w:shd w:val="clear" w:color="000000" w:fill="auto"/>
              <w:spacing w:before="240"/>
            </w:pPr>
            <w:r w:rsidRPr="00D633FB">
              <w:t>Stockholm den 26 oktober 2006</w:t>
            </w:r>
          </w:p>
        </w:tc>
        <w:tc>
          <w:tcPr>
            <w:tcW w:w="3047" w:type="dxa"/>
          </w:tcPr>
          <w:p w:rsidR="006A03AF" w:rsidRPr="00D633FB" w:rsidRDefault="006A03AF">
            <w:pPr>
              <w:pStyle w:val="Underskrifter"/>
              <w:shd w:val="clear" w:color="000000" w:fill="auto"/>
              <w:spacing w:before="240"/>
            </w:pPr>
          </w:p>
        </w:tc>
      </w:tr>
      <w:tr w:rsidR="00000000" w:rsidRPr="00D633FB">
        <w:trPr>
          <w:cantSplit/>
        </w:trPr>
        <w:tc>
          <w:tcPr>
            <w:tcW w:w="3046" w:type="dxa"/>
          </w:tcPr>
          <w:p w:rsidR="006A03AF" w:rsidRPr="00D633FB" w:rsidRDefault="006A03AF">
            <w:pPr>
              <w:pStyle w:val="Underskrifter"/>
              <w:shd w:val="clear" w:color="000000" w:fill="auto"/>
            </w:pPr>
            <w:r w:rsidRPr="00D633FB">
              <w:t>Lars Ohly (v)</w:t>
            </w:r>
          </w:p>
        </w:tc>
        <w:tc>
          <w:tcPr>
            <w:tcW w:w="3046" w:type="dxa"/>
          </w:tcPr>
          <w:p w:rsidR="006A03AF" w:rsidRPr="00D633FB" w:rsidRDefault="006A03AF">
            <w:pPr>
              <w:pStyle w:val="Underskrifter"/>
              <w:shd w:val="clear" w:color="000000" w:fill="auto"/>
            </w:pPr>
          </w:p>
        </w:tc>
      </w:tr>
      <w:tr w:rsidR="00000000" w:rsidRPr="00D633FB">
        <w:trPr>
          <w:cantSplit/>
        </w:trPr>
        <w:tc>
          <w:tcPr>
            <w:tcW w:w="3046" w:type="dxa"/>
          </w:tcPr>
          <w:p w:rsidR="006A03AF" w:rsidRPr="00D633FB" w:rsidRDefault="006A03AF">
            <w:pPr>
              <w:pStyle w:val="Underskrifter"/>
              <w:shd w:val="clear" w:color="000000" w:fill="auto"/>
            </w:pPr>
            <w:r w:rsidRPr="00D633FB">
              <w:t>Marie Engström (v)</w:t>
            </w:r>
          </w:p>
        </w:tc>
        <w:tc>
          <w:tcPr>
            <w:tcW w:w="3046" w:type="dxa"/>
          </w:tcPr>
          <w:p w:rsidR="006A03AF" w:rsidRPr="00D633FB" w:rsidRDefault="006A03AF">
            <w:pPr>
              <w:pStyle w:val="Underskrifter"/>
              <w:shd w:val="clear" w:color="000000" w:fill="auto"/>
            </w:pPr>
            <w:r w:rsidRPr="00D633FB">
              <w:t>Wiwi-Anne Johansson (v)</w:t>
            </w:r>
          </w:p>
        </w:tc>
      </w:tr>
      <w:tr w:rsidR="00000000" w:rsidRPr="00D633FB">
        <w:trPr>
          <w:cantSplit/>
        </w:trPr>
        <w:tc>
          <w:tcPr>
            <w:tcW w:w="3046" w:type="dxa"/>
          </w:tcPr>
          <w:p w:rsidR="006A03AF" w:rsidRPr="00D633FB" w:rsidRDefault="006A03AF">
            <w:pPr>
              <w:pStyle w:val="Underskrifter"/>
              <w:shd w:val="clear" w:color="000000" w:fill="auto"/>
            </w:pPr>
            <w:r w:rsidRPr="00D633FB">
              <w:t>Elina Linna (v)</w:t>
            </w:r>
          </w:p>
        </w:tc>
        <w:tc>
          <w:tcPr>
            <w:tcW w:w="3046" w:type="dxa"/>
          </w:tcPr>
          <w:p w:rsidR="006A03AF" w:rsidRPr="00D633FB" w:rsidRDefault="006A03AF">
            <w:pPr>
              <w:pStyle w:val="Underskrifter"/>
              <w:shd w:val="clear" w:color="000000" w:fill="auto"/>
            </w:pPr>
            <w:r w:rsidRPr="00D633FB">
              <w:t>Peter Pedersen (v)</w:t>
            </w:r>
          </w:p>
        </w:tc>
      </w:tr>
      <w:tr w:rsidR="00000000" w:rsidRPr="00D633FB">
        <w:trPr>
          <w:cantSplit/>
        </w:trPr>
        <w:tc>
          <w:tcPr>
            <w:tcW w:w="3046" w:type="dxa"/>
          </w:tcPr>
          <w:p w:rsidR="006A03AF" w:rsidRPr="00D633FB" w:rsidRDefault="006A03AF">
            <w:pPr>
              <w:pStyle w:val="Underskrifter"/>
              <w:shd w:val="clear" w:color="000000" w:fill="auto"/>
            </w:pPr>
            <w:r w:rsidRPr="00D633FB">
              <w:t>Kent Persson (v)</w:t>
            </w:r>
          </w:p>
        </w:tc>
        <w:tc>
          <w:tcPr>
            <w:tcW w:w="3046" w:type="dxa"/>
          </w:tcPr>
          <w:p w:rsidR="006A03AF" w:rsidRPr="00D633FB" w:rsidRDefault="006A03AF">
            <w:pPr>
              <w:pStyle w:val="Underskrifter"/>
              <w:shd w:val="clear" w:color="000000" w:fill="auto"/>
            </w:pPr>
            <w:r w:rsidRPr="00D633FB">
              <w:t>Alice Åström (v)</w:t>
            </w:r>
          </w:p>
        </w:tc>
      </w:tr>
      <w:tr w:rsidR="00000000" w:rsidRPr="00D633FB">
        <w:trPr>
          <w:cantSplit/>
        </w:trPr>
        <w:tc>
          <w:tcPr>
            <w:tcW w:w="3046" w:type="dxa"/>
          </w:tcPr>
          <w:p w:rsidR="006A03AF" w:rsidRPr="00D633FB" w:rsidRDefault="006A03AF">
            <w:pPr>
              <w:pStyle w:val="Underskrifter"/>
              <w:shd w:val="clear" w:color="000000" w:fill="auto"/>
            </w:pPr>
            <w:r w:rsidRPr="00D633FB">
              <w:t>Lena Olsson (v)</w:t>
            </w:r>
          </w:p>
        </w:tc>
        <w:tc>
          <w:tcPr>
            <w:tcW w:w="3046" w:type="dxa"/>
          </w:tcPr>
          <w:p w:rsidR="006A03AF" w:rsidRPr="00D633FB" w:rsidRDefault="006A03AF">
            <w:pPr>
              <w:pStyle w:val="Underskrifter"/>
              <w:shd w:val="clear" w:color="000000" w:fill="auto"/>
            </w:pPr>
          </w:p>
        </w:tc>
      </w:tr>
    </w:tbl>
    <w:p w:rsidR="00043C5C" w:rsidRPr="00D633FB" w:rsidRDefault="00043C5C">
      <w:pPr>
        <w:pStyle w:val="Normaltindrag"/>
        <w:shd w:val="clear" w:color="000000" w:fill="auto"/>
      </w:pPr>
    </w:p>
    <w:sectPr w:rsidR="00043C5C" w:rsidRPr="00D633FB" w:rsidSect="005C53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03AF" w:rsidRPr="00D633FB" w:rsidRDefault="006A03AF">
      <w:r w:rsidRPr="00D633FB">
        <w:separator/>
      </w:r>
    </w:p>
  </w:endnote>
  <w:endnote w:type="continuationSeparator" w:id="0">
    <w:p w:rsidR="006A03AF" w:rsidRPr="00D633FB" w:rsidRDefault="006A03AF">
      <w:r w:rsidRPr="00D633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7BE" w:rsidRPr="00D633FB" w:rsidRDefault="00D633FB" w:rsidP="005C5306">
    <w:pPr>
      <w:pStyle w:val="Sidfot"/>
    </w:pPr>
    <w:r w:rsidRPr="00D633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707527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306" w:rsidRDefault="006A03AF">
                          <w:pPr>
                            <w:pStyle w:val="NormalS5sidnrV"/>
                          </w:pPr>
                          <w:r>
                            <w:fldChar w:fldCharType="begin"/>
                          </w:r>
                          <w:r w:rsidR="005C53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5306" w:rsidRDefault="006A03AF">
                    <w:pPr>
                      <w:pStyle w:val="NormalS5sidnrV"/>
                    </w:pPr>
                    <w:r>
                      <w:fldChar w:fldCharType="begin"/>
                    </w:r>
                    <w:r w:rsidR="005C53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E5" w:rsidRPr="00D633FB" w:rsidRDefault="00D633FB" w:rsidP="005C5306">
    <w:pPr>
      <w:pStyle w:val="Sidfot"/>
    </w:pPr>
    <w:r w:rsidRPr="00D633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99009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306" w:rsidRDefault="006A03AF">
                          <w:pPr>
                            <w:pStyle w:val="NormalS5sidnrH"/>
                            <w:ind w:right="0"/>
                          </w:pPr>
                          <w:r>
                            <w:fldChar w:fldCharType="begin"/>
                          </w:r>
                          <w:r w:rsidR="005C5306">
                            <w:instrText xml:space="preserve"> PAGE *\charformat</w:instrText>
                          </w:r>
                          <w:r>
                            <w:fldChar w:fldCharType="separate"/>
                          </w:r>
                          <w:r w:rsidR="00ED2A3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5306" w:rsidRDefault="006A03AF">
                    <w:pPr>
                      <w:pStyle w:val="NormalS5sidnrH"/>
                      <w:ind w:right="0"/>
                    </w:pPr>
                    <w:r>
                      <w:fldChar w:fldCharType="begin"/>
                    </w:r>
                    <w:r w:rsidR="005C5306">
                      <w:instrText xml:space="preserve"> PAGE *\charformat</w:instrText>
                    </w:r>
                    <w:r>
                      <w:fldChar w:fldCharType="separate"/>
                    </w:r>
                    <w:r w:rsidR="00ED2A3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D0" w:rsidRPr="00D633FB" w:rsidRDefault="00D633FB" w:rsidP="005C5306">
    <w:pPr>
      <w:pStyle w:val="Sidfot"/>
    </w:pPr>
    <w:r w:rsidRPr="00D633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1064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306" w:rsidRDefault="006A03AF">
                          <w:pPr>
                            <w:pStyle w:val="NormalS5sidnrH"/>
                            <w:ind w:right="0"/>
                          </w:pPr>
                          <w:r>
                            <w:fldChar w:fldCharType="begin"/>
                          </w:r>
                          <w:r w:rsidR="005C53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5306" w:rsidRDefault="006A03AF">
                    <w:pPr>
                      <w:pStyle w:val="NormalS5sidnrH"/>
                      <w:ind w:right="0"/>
                    </w:pPr>
                    <w:r>
                      <w:fldChar w:fldCharType="begin"/>
                    </w:r>
                    <w:r w:rsidR="005C53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03AF" w:rsidRPr="00D633FB" w:rsidRDefault="006A03AF">
      <w:r w:rsidRPr="00D633FB">
        <w:separator/>
      </w:r>
    </w:p>
  </w:footnote>
  <w:footnote w:type="continuationSeparator" w:id="0">
    <w:p w:rsidR="006A03AF" w:rsidRPr="00D633FB" w:rsidRDefault="006A03AF">
      <w:r w:rsidRPr="00D633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67BE" w:rsidRPr="00D633FB" w:rsidRDefault="00D633FB" w:rsidP="005C5306">
    <w:pPr>
      <w:pStyle w:val="Sidhuvud"/>
    </w:pPr>
    <w:r w:rsidRPr="00D633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1723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306" w:rsidRDefault="006A03AF">
                          <w:pPr>
                            <w:pStyle w:val="KantRubrikS5V"/>
                          </w:pPr>
                          <w:r>
                            <w:fldChar w:fldCharType="begin"/>
                          </w:r>
                          <w:r w:rsidR="005C5306">
                            <w:instrText xml:space="preserve"> DOCPROPERTY "YearUser" *\charformat </w:instrText>
                          </w:r>
                          <w:r>
                            <w:fldChar w:fldCharType="separate"/>
                          </w:r>
                          <w:r w:rsidR="00ED45E9">
                            <w:t>2006/07</w:t>
                          </w:r>
                          <w:r>
                            <w:fldChar w:fldCharType="end"/>
                          </w:r>
                          <w:r w:rsidR="005C5306">
                            <w:t>:</w:t>
                          </w:r>
                          <w:r>
                            <w:fldChar w:fldCharType="begin"/>
                          </w:r>
                          <w:r w:rsidR="005C5306">
                            <w:instrText xml:space="preserve"> DOCPROPERTY "Motionsnummer" *\charformat </w:instrText>
                          </w:r>
                          <w:r>
                            <w:fldChar w:fldCharType="separate"/>
                          </w:r>
                          <w:r w:rsidR="00ED45E9">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5306" w:rsidRDefault="006A03AF">
                    <w:pPr>
                      <w:pStyle w:val="KantRubrikS5V"/>
                    </w:pPr>
                    <w:r>
                      <w:fldChar w:fldCharType="begin"/>
                    </w:r>
                    <w:r w:rsidR="005C5306">
                      <w:instrText xml:space="preserve"> DOCPROPERTY "YearUser" *\charformat </w:instrText>
                    </w:r>
                    <w:r>
                      <w:fldChar w:fldCharType="separate"/>
                    </w:r>
                    <w:r w:rsidR="00ED45E9">
                      <w:t>2006/07</w:t>
                    </w:r>
                    <w:r>
                      <w:fldChar w:fldCharType="end"/>
                    </w:r>
                    <w:r w:rsidR="005C5306">
                      <w:t>:</w:t>
                    </w:r>
                    <w:r>
                      <w:fldChar w:fldCharType="begin"/>
                    </w:r>
                    <w:r w:rsidR="005C5306">
                      <w:instrText xml:space="preserve"> DOCPROPERTY "Motionsnummer" *\charformat </w:instrText>
                    </w:r>
                    <w:r>
                      <w:fldChar w:fldCharType="separate"/>
                    </w:r>
                    <w:r w:rsidR="00ED45E9">
                      <w:t>Ju340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4CE5" w:rsidRPr="00D633FB" w:rsidRDefault="00D633FB" w:rsidP="005C5306">
    <w:pPr>
      <w:pStyle w:val="Sidhuvud"/>
    </w:pPr>
    <w:r w:rsidRPr="00D633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1509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5306" w:rsidRDefault="006A03AF">
                          <w:pPr>
                            <w:pStyle w:val="KantRubrikS5H"/>
                            <w:ind w:right="0"/>
                          </w:pPr>
                          <w:r>
                            <w:fldChar w:fldCharType="begin"/>
                          </w:r>
                          <w:r w:rsidR="005C5306">
                            <w:instrText xml:space="preserve"> DOCPROPERTY "YearUser" *\charformat </w:instrText>
                          </w:r>
                          <w:r>
                            <w:fldChar w:fldCharType="separate"/>
                          </w:r>
                          <w:r w:rsidR="00ED45E9">
                            <w:t>2006/07</w:t>
                          </w:r>
                          <w:r>
                            <w:fldChar w:fldCharType="end"/>
                          </w:r>
                          <w:r w:rsidR="005C5306">
                            <w:t>:</w:t>
                          </w:r>
                          <w:r>
                            <w:fldChar w:fldCharType="begin"/>
                          </w:r>
                          <w:r w:rsidR="005C5306">
                            <w:instrText xml:space="preserve"> DOCPROPERTY "Motionsnummer" *\charformat </w:instrText>
                          </w:r>
                          <w:r>
                            <w:fldChar w:fldCharType="separate"/>
                          </w:r>
                          <w:r w:rsidR="00ED45E9">
                            <w:t>Ju340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5306" w:rsidRDefault="006A03AF">
                    <w:pPr>
                      <w:pStyle w:val="KantRubrikS5H"/>
                      <w:ind w:right="0"/>
                    </w:pPr>
                    <w:r>
                      <w:fldChar w:fldCharType="begin"/>
                    </w:r>
                    <w:r w:rsidR="005C5306">
                      <w:instrText xml:space="preserve"> DOCPROPERTY "YearUser" *\charformat </w:instrText>
                    </w:r>
                    <w:r>
                      <w:fldChar w:fldCharType="separate"/>
                    </w:r>
                    <w:r w:rsidR="00ED45E9">
                      <w:t>2006/07</w:t>
                    </w:r>
                    <w:r>
                      <w:fldChar w:fldCharType="end"/>
                    </w:r>
                    <w:r w:rsidR="005C5306">
                      <w:t>:</w:t>
                    </w:r>
                    <w:r>
                      <w:fldChar w:fldCharType="begin"/>
                    </w:r>
                    <w:r w:rsidR="005C5306">
                      <w:instrText xml:space="preserve"> DOCPROPERTY "Motionsnummer" *\charformat </w:instrText>
                    </w:r>
                    <w:r>
                      <w:fldChar w:fldCharType="separate"/>
                    </w:r>
                    <w:r w:rsidR="00ED45E9">
                      <w:t>Ju340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03AF" w:rsidRPr="00D633FB" w:rsidRDefault="006A03AF">
    <w:pPr>
      <w:pStyle w:val="FSHNormal"/>
      <w:tabs>
        <w:tab w:val="right" w:pos="5840"/>
      </w:tabs>
    </w:pPr>
    <w:r w:rsidRPr="00D633FB">
      <w:br/>
    </w:r>
    <w:r w:rsidRPr="00D633FB">
      <w:fldChar w:fldCharType="begin" w:fldLock="1"/>
    </w:r>
    <w:r w:rsidRPr="00D633FB">
      <w:instrText xml:space="preserve"> DOCPROPERTY</w:instrText>
    </w:r>
    <w:r w:rsidRPr="00D633FB">
      <w:rPr>
        <w:sz w:val="18"/>
      </w:rPr>
      <w:instrText xml:space="preserve"> "YearUser" *\charformat </w:instrText>
    </w:r>
    <w:r w:rsidRPr="00D633FB">
      <w:fldChar w:fldCharType="separate"/>
    </w:r>
    <w:r w:rsidRPr="00D633FB">
      <w:t>2006/07</w:t>
    </w:r>
    <w:r w:rsidRPr="00D633FB">
      <w:fldChar w:fldCharType="end"/>
    </w:r>
    <w:r w:rsidRPr="00D633FB">
      <w:t xml:space="preserve"> </w:t>
    </w:r>
    <w:r w:rsidRPr="00D633FB">
      <w:tab/>
      <w:t xml:space="preserve">mnr: </w:t>
    </w:r>
    <w:r w:rsidRPr="00D633FB">
      <w:fldChar w:fldCharType="begin" w:fldLock="1"/>
    </w:r>
    <w:r w:rsidRPr="00D633FB">
      <w:instrText xml:space="preserve"> DOCPROPERTY</w:instrText>
    </w:r>
    <w:r w:rsidRPr="00D633FB">
      <w:rPr>
        <w:sz w:val="18"/>
      </w:rPr>
      <w:instrText xml:space="preserve"> "Motionsnummer" *\charformat </w:instrText>
    </w:r>
    <w:r w:rsidRPr="00D633FB">
      <w:fldChar w:fldCharType="separate"/>
    </w:r>
    <w:r w:rsidRPr="00D633FB">
      <w:t>Ju340</w:t>
    </w:r>
    <w:r w:rsidRPr="00D633FB">
      <w:fldChar w:fldCharType="end"/>
    </w:r>
    <w:r w:rsidRPr="00D633FB">
      <w:br/>
    </w:r>
    <w:r w:rsidRPr="00D633FB">
      <w:fldChar w:fldCharType="begin" w:fldLock="1"/>
    </w:r>
    <w:r w:rsidRPr="00D633FB">
      <w:instrText xml:space="preserve"> DOCPROPERTY</w:instrText>
    </w:r>
    <w:r w:rsidRPr="00D633FB">
      <w:rPr>
        <w:sz w:val="18"/>
      </w:rPr>
      <w:instrText xml:space="preserve"> "Samling" *\charformat </w:instrText>
    </w:r>
    <w:r w:rsidRPr="00D633FB">
      <w:fldChar w:fldCharType="end"/>
    </w:r>
    <w:r w:rsidRPr="00D633FB">
      <w:tab/>
      <w:t xml:space="preserve">pnr: </w:t>
    </w:r>
    <w:r w:rsidRPr="00D633FB">
      <w:fldChar w:fldCharType="begin" w:fldLock="1"/>
    </w:r>
    <w:r w:rsidRPr="00D633FB">
      <w:instrText xml:space="preserve"> DOCPROPERTY</w:instrText>
    </w:r>
    <w:r w:rsidRPr="00D633FB">
      <w:rPr>
        <w:sz w:val="18"/>
      </w:rPr>
      <w:instrText xml:space="preserve"> "Partinummer" *\charformat </w:instrText>
    </w:r>
    <w:r w:rsidRPr="00D633FB">
      <w:fldChar w:fldCharType="separate"/>
    </w:r>
    <w:r w:rsidRPr="00D633FB">
      <w:t>v901</w:t>
    </w:r>
    <w:r w:rsidRPr="00D633FB">
      <w:fldChar w:fldCharType="end"/>
    </w:r>
  </w:p>
  <w:p w:rsidR="006A03AF" w:rsidRPr="00D633FB" w:rsidRDefault="006A03AF">
    <w:pPr>
      <w:pStyle w:val="FSHRub1"/>
    </w:pPr>
    <w:r w:rsidRPr="00D633FB">
      <w:t>Motion till riksdagen</w:t>
    </w:r>
    <w:r w:rsidRPr="00D633FB">
      <w:br/>
    </w:r>
    <w:r w:rsidRPr="00D633FB">
      <w:fldChar w:fldCharType="begin" w:fldLock="1"/>
    </w:r>
    <w:r w:rsidRPr="00D633FB">
      <w:instrText xml:space="preserve"> DOCPROPERTY "YearUser" *\charformat </w:instrText>
    </w:r>
    <w:r w:rsidRPr="00D633FB">
      <w:fldChar w:fldCharType="separate"/>
    </w:r>
    <w:r w:rsidRPr="00D633FB">
      <w:t>2006/07</w:t>
    </w:r>
    <w:r w:rsidRPr="00D633FB">
      <w:fldChar w:fldCharType="end"/>
    </w:r>
    <w:r w:rsidRPr="00D633FB">
      <w:t>:</w:t>
    </w:r>
    <w:r w:rsidRPr="00D633FB">
      <w:fldChar w:fldCharType="begin" w:fldLock="1"/>
    </w:r>
    <w:r w:rsidRPr="00D633FB">
      <w:instrText xml:space="preserve"> DOCPROPERTY "Motionsnummer" *\charformat </w:instrText>
    </w:r>
    <w:r w:rsidRPr="00D633FB">
      <w:fldChar w:fldCharType="separate"/>
    </w:r>
    <w:r w:rsidRPr="00D633FB">
      <w:t>Ju340</w:t>
    </w:r>
    <w:r w:rsidRPr="00D633FB">
      <w:fldChar w:fldCharType="end"/>
    </w:r>
  </w:p>
  <w:p w:rsidR="006A03AF" w:rsidRPr="00D633FB" w:rsidRDefault="006A03AF">
    <w:pPr>
      <w:pStyle w:val="FSHNormalS5"/>
    </w:pPr>
    <w:r w:rsidRPr="00D633FB">
      <w:fldChar w:fldCharType="begin" w:fldLock="1"/>
    </w:r>
    <w:r w:rsidRPr="00D633FB">
      <w:instrText xml:space="preserve"> DOCPROPERTY "MotionarText" *\charformat </w:instrText>
    </w:r>
    <w:r w:rsidRPr="00D633FB">
      <w:fldChar w:fldCharType="separate"/>
    </w:r>
    <w:r w:rsidRPr="00D633FB">
      <w:t>av Lars Ohly m.fl. (v)</w:t>
    </w:r>
    <w:r w:rsidRPr="00D633FB">
      <w:fldChar w:fldCharType="end"/>
    </w:r>
    <w:r w:rsidRPr="00D633FB">
      <w:br/>
    </w:r>
    <w:r w:rsidRPr="00D633FB">
      <w:fldChar w:fldCharType="begin" w:fldLock="1"/>
    </w:r>
    <w:r w:rsidRPr="00D633FB">
      <w:instrText xml:space="preserve"> DOCPROPERTY "SvarFrasKort" *\charformat </w:instrText>
    </w:r>
    <w:r w:rsidRPr="00D633FB">
      <w:fldChar w:fldCharType="end"/>
    </w:r>
  </w:p>
  <w:p w:rsidR="006A03AF" w:rsidRPr="00D633FB" w:rsidRDefault="006A03AF">
    <w:pPr>
      <w:pStyle w:val="FSHTitel"/>
    </w:pPr>
    <w:r w:rsidRPr="00D633FB">
      <w:fldChar w:fldCharType="begin" w:fldLock="1"/>
    </w:r>
    <w:r w:rsidRPr="00D633FB">
      <w:instrText xml:space="preserve"> DOCPROPERTY</w:instrText>
    </w:r>
    <w:r w:rsidRPr="00D633FB">
      <w:rPr>
        <w:sz w:val="18"/>
      </w:rPr>
      <w:instrText xml:space="preserve"> "RubrikSvar" *\charformat </w:instrText>
    </w:r>
    <w:r w:rsidRPr="00D633FB">
      <w:fldChar w:fldCharType="separate"/>
    </w:r>
    <w:r w:rsidRPr="00D633FB">
      <w:t xml:space="preserve">Utgiftsområde 4 Rättsväsendet </w:t>
    </w:r>
    <w:r w:rsidRPr="00D633FB">
      <w:fldChar w:fldCharType="end"/>
    </w:r>
  </w:p>
  <w:p w:rsidR="006A03AF" w:rsidRPr="00D633FB" w:rsidRDefault="006A03AF">
    <w:pPr>
      <w:pStyle w:val="Normal00"/>
    </w:pPr>
  </w:p>
  <w:p w:rsidR="005C5306" w:rsidRPr="00D633FB" w:rsidRDefault="005C53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294C2F"/>
    <w:multiLevelType w:val="hybridMultilevel"/>
    <w:tmpl w:val="4E347966"/>
    <w:lvl w:ilvl="0" w:tplc="880CADF0">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F1955F3"/>
    <w:multiLevelType w:val="multilevel"/>
    <w:tmpl w:val="5016DD6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04821835">
    <w:abstractNumId w:val="14"/>
  </w:num>
  <w:num w:numId="2" w16cid:durableId="1429543076">
    <w:abstractNumId w:val="10"/>
  </w:num>
  <w:num w:numId="3" w16cid:durableId="2066947672">
    <w:abstractNumId w:val="12"/>
  </w:num>
  <w:num w:numId="4" w16cid:durableId="1303390174">
    <w:abstractNumId w:val="13"/>
  </w:num>
  <w:num w:numId="5" w16cid:durableId="951134293">
    <w:abstractNumId w:val="8"/>
  </w:num>
  <w:num w:numId="6" w16cid:durableId="1854109477">
    <w:abstractNumId w:val="3"/>
  </w:num>
  <w:num w:numId="7" w16cid:durableId="704598375">
    <w:abstractNumId w:val="2"/>
  </w:num>
  <w:num w:numId="8" w16cid:durableId="636882289">
    <w:abstractNumId w:val="1"/>
  </w:num>
  <w:num w:numId="9" w16cid:durableId="1332220188">
    <w:abstractNumId w:val="0"/>
  </w:num>
  <w:num w:numId="10" w16cid:durableId="267007754">
    <w:abstractNumId w:val="9"/>
  </w:num>
  <w:num w:numId="11" w16cid:durableId="818695527">
    <w:abstractNumId w:val="7"/>
  </w:num>
  <w:num w:numId="12" w16cid:durableId="498276668">
    <w:abstractNumId w:val="6"/>
  </w:num>
  <w:num w:numId="13" w16cid:durableId="1504466115">
    <w:abstractNumId w:val="5"/>
  </w:num>
  <w:num w:numId="14" w16cid:durableId="90592336">
    <w:abstractNumId w:val="4"/>
  </w:num>
  <w:num w:numId="15" w16cid:durableId="1107694934">
    <w:abstractNumId w:val="11"/>
  </w:num>
  <w:num w:numId="16" w16cid:durableId="11869902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F1A2565D-4D2F-4887-9B1D-3D7BE825DA8C},{494960E9-BA36-4AC1-BBDB-126FB51B6387},{93F71F64-B3B2-464F-BCC5-C49DA1B8F0E4},{8B923F15-4996-4696-A089-6A5BE8BF8E1B},{B0181D35-2F7D-4D23-BD15-5E0324552287},{CBCE2632-605E-484A-97AC-47C334EA7100},{7E0BF71E-CD03-4DBF-9F51-3B5B798F2741},{5E1F5B3E-DDB9-4605-85F6-1CAF1124E96C}"/>
  </w:docVars>
  <w:rsids>
    <w:rsidRoot w:val="00D633FB"/>
    <w:rsid w:val="00002742"/>
    <w:rsid w:val="00004CE5"/>
    <w:rsid w:val="00005E99"/>
    <w:rsid w:val="00015BF8"/>
    <w:rsid w:val="000220F8"/>
    <w:rsid w:val="00034058"/>
    <w:rsid w:val="0003655D"/>
    <w:rsid w:val="00037AC9"/>
    <w:rsid w:val="00040D14"/>
    <w:rsid w:val="0004381F"/>
    <w:rsid w:val="00043C5C"/>
    <w:rsid w:val="00051908"/>
    <w:rsid w:val="00056399"/>
    <w:rsid w:val="00064BC3"/>
    <w:rsid w:val="0006546A"/>
    <w:rsid w:val="000665E6"/>
    <w:rsid w:val="00066775"/>
    <w:rsid w:val="00071CED"/>
    <w:rsid w:val="00072FB9"/>
    <w:rsid w:val="0007598F"/>
    <w:rsid w:val="00075A77"/>
    <w:rsid w:val="000A0B96"/>
    <w:rsid w:val="000A738D"/>
    <w:rsid w:val="000B57F3"/>
    <w:rsid w:val="000C19AE"/>
    <w:rsid w:val="000D74C2"/>
    <w:rsid w:val="000E431D"/>
    <w:rsid w:val="000E48DA"/>
    <w:rsid w:val="000E7251"/>
    <w:rsid w:val="000F1CD5"/>
    <w:rsid w:val="000F5ADD"/>
    <w:rsid w:val="00100531"/>
    <w:rsid w:val="0010382E"/>
    <w:rsid w:val="0011713C"/>
    <w:rsid w:val="00133B6A"/>
    <w:rsid w:val="001344EC"/>
    <w:rsid w:val="00164A33"/>
    <w:rsid w:val="00166D90"/>
    <w:rsid w:val="00170803"/>
    <w:rsid w:val="00171C4C"/>
    <w:rsid w:val="0017787E"/>
    <w:rsid w:val="00177CC2"/>
    <w:rsid w:val="00183D4A"/>
    <w:rsid w:val="00185263"/>
    <w:rsid w:val="00186B85"/>
    <w:rsid w:val="001921C4"/>
    <w:rsid w:val="001923A4"/>
    <w:rsid w:val="001966FB"/>
    <w:rsid w:val="001A0817"/>
    <w:rsid w:val="001A25D5"/>
    <w:rsid w:val="001A7945"/>
    <w:rsid w:val="001B19F6"/>
    <w:rsid w:val="001D318B"/>
    <w:rsid w:val="001E0043"/>
    <w:rsid w:val="00201DFB"/>
    <w:rsid w:val="00204A63"/>
    <w:rsid w:val="00212FF1"/>
    <w:rsid w:val="00216B8C"/>
    <w:rsid w:val="00224C56"/>
    <w:rsid w:val="00230193"/>
    <w:rsid w:val="002339D7"/>
    <w:rsid w:val="00240CF7"/>
    <w:rsid w:val="00241052"/>
    <w:rsid w:val="0025068A"/>
    <w:rsid w:val="0025659A"/>
    <w:rsid w:val="002577CC"/>
    <w:rsid w:val="002642D8"/>
    <w:rsid w:val="002818D3"/>
    <w:rsid w:val="002943C8"/>
    <w:rsid w:val="00295E6D"/>
    <w:rsid w:val="002A1337"/>
    <w:rsid w:val="002A1764"/>
    <w:rsid w:val="002A5B8D"/>
    <w:rsid w:val="002B62A5"/>
    <w:rsid w:val="002C2373"/>
    <w:rsid w:val="002C6480"/>
    <w:rsid w:val="002D11A8"/>
    <w:rsid w:val="002E542E"/>
    <w:rsid w:val="00316AAA"/>
    <w:rsid w:val="0032051D"/>
    <w:rsid w:val="00322BD2"/>
    <w:rsid w:val="003256C2"/>
    <w:rsid w:val="003273AF"/>
    <w:rsid w:val="003303B5"/>
    <w:rsid w:val="00331410"/>
    <w:rsid w:val="0033247E"/>
    <w:rsid w:val="003366E9"/>
    <w:rsid w:val="0036065A"/>
    <w:rsid w:val="00362A7D"/>
    <w:rsid w:val="0037170E"/>
    <w:rsid w:val="00375BEC"/>
    <w:rsid w:val="00380000"/>
    <w:rsid w:val="003866EC"/>
    <w:rsid w:val="00391AF5"/>
    <w:rsid w:val="003974C1"/>
    <w:rsid w:val="003C060C"/>
    <w:rsid w:val="003C2520"/>
    <w:rsid w:val="003D4BA4"/>
    <w:rsid w:val="003F100A"/>
    <w:rsid w:val="00407D3D"/>
    <w:rsid w:val="00415D8C"/>
    <w:rsid w:val="00420C59"/>
    <w:rsid w:val="004326BC"/>
    <w:rsid w:val="004447DA"/>
    <w:rsid w:val="00444E27"/>
    <w:rsid w:val="00445271"/>
    <w:rsid w:val="00447A04"/>
    <w:rsid w:val="004527C3"/>
    <w:rsid w:val="004725CA"/>
    <w:rsid w:val="00485F68"/>
    <w:rsid w:val="00487F7A"/>
    <w:rsid w:val="004A0504"/>
    <w:rsid w:val="004A4049"/>
    <w:rsid w:val="004B14FE"/>
    <w:rsid w:val="004B1B07"/>
    <w:rsid w:val="004C2750"/>
    <w:rsid w:val="004C5769"/>
    <w:rsid w:val="004D2F65"/>
    <w:rsid w:val="004E38D9"/>
    <w:rsid w:val="004F1948"/>
    <w:rsid w:val="0051284C"/>
    <w:rsid w:val="00521B9E"/>
    <w:rsid w:val="00531020"/>
    <w:rsid w:val="005350C5"/>
    <w:rsid w:val="0053745B"/>
    <w:rsid w:val="00545150"/>
    <w:rsid w:val="00545421"/>
    <w:rsid w:val="0054592B"/>
    <w:rsid w:val="00545BB8"/>
    <w:rsid w:val="0055072A"/>
    <w:rsid w:val="005525A5"/>
    <w:rsid w:val="005544CE"/>
    <w:rsid w:val="00557F2D"/>
    <w:rsid w:val="00577F4F"/>
    <w:rsid w:val="00582042"/>
    <w:rsid w:val="005842DF"/>
    <w:rsid w:val="00587C5F"/>
    <w:rsid w:val="005B0813"/>
    <w:rsid w:val="005B145B"/>
    <w:rsid w:val="005B7AFE"/>
    <w:rsid w:val="005C116F"/>
    <w:rsid w:val="005C5306"/>
    <w:rsid w:val="005D3BE8"/>
    <w:rsid w:val="005F2AA0"/>
    <w:rsid w:val="005F5AA1"/>
    <w:rsid w:val="005F6775"/>
    <w:rsid w:val="00601C6D"/>
    <w:rsid w:val="00613FB1"/>
    <w:rsid w:val="0063483C"/>
    <w:rsid w:val="00636AC2"/>
    <w:rsid w:val="006449A2"/>
    <w:rsid w:val="0065254D"/>
    <w:rsid w:val="00665869"/>
    <w:rsid w:val="006663D0"/>
    <w:rsid w:val="006717AC"/>
    <w:rsid w:val="00675475"/>
    <w:rsid w:val="006769CB"/>
    <w:rsid w:val="006A03AF"/>
    <w:rsid w:val="006A2E90"/>
    <w:rsid w:val="006B6262"/>
    <w:rsid w:val="006C1EA7"/>
    <w:rsid w:val="006D3658"/>
    <w:rsid w:val="006E24ED"/>
    <w:rsid w:val="006E46B0"/>
    <w:rsid w:val="00710491"/>
    <w:rsid w:val="00710F44"/>
    <w:rsid w:val="00711682"/>
    <w:rsid w:val="00715363"/>
    <w:rsid w:val="007241B0"/>
    <w:rsid w:val="00727C6F"/>
    <w:rsid w:val="00730AAA"/>
    <w:rsid w:val="00731A5B"/>
    <w:rsid w:val="00740D6D"/>
    <w:rsid w:val="00742994"/>
    <w:rsid w:val="00743F76"/>
    <w:rsid w:val="00746EC3"/>
    <w:rsid w:val="00750998"/>
    <w:rsid w:val="00751C7C"/>
    <w:rsid w:val="00767ED6"/>
    <w:rsid w:val="007734CC"/>
    <w:rsid w:val="00774959"/>
    <w:rsid w:val="007909E5"/>
    <w:rsid w:val="00791D19"/>
    <w:rsid w:val="00794149"/>
    <w:rsid w:val="007952E0"/>
    <w:rsid w:val="007A0FA5"/>
    <w:rsid w:val="007B67A7"/>
    <w:rsid w:val="007C6092"/>
    <w:rsid w:val="007D0C98"/>
    <w:rsid w:val="007D7AFD"/>
    <w:rsid w:val="007E119E"/>
    <w:rsid w:val="007F4AC1"/>
    <w:rsid w:val="00802702"/>
    <w:rsid w:val="00803044"/>
    <w:rsid w:val="0082372A"/>
    <w:rsid w:val="00837A19"/>
    <w:rsid w:val="00837C35"/>
    <w:rsid w:val="008454B4"/>
    <w:rsid w:val="00846903"/>
    <w:rsid w:val="00863A35"/>
    <w:rsid w:val="00887D79"/>
    <w:rsid w:val="008A6BE1"/>
    <w:rsid w:val="008B7E73"/>
    <w:rsid w:val="008C0991"/>
    <w:rsid w:val="008D5F38"/>
    <w:rsid w:val="008D7576"/>
    <w:rsid w:val="008F0A96"/>
    <w:rsid w:val="008F2276"/>
    <w:rsid w:val="00923814"/>
    <w:rsid w:val="0092584C"/>
    <w:rsid w:val="00930FC9"/>
    <w:rsid w:val="009312E7"/>
    <w:rsid w:val="00937C54"/>
    <w:rsid w:val="009451E7"/>
    <w:rsid w:val="00957264"/>
    <w:rsid w:val="00962D29"/>
    <w:rsid w:val="00962E36"/>
    <w:rsid w:val="00962EDE"/>
    <w:rsid w:val="00966A21"/>
    <w:rsid w:val="009704E4"/>
    <w:rsid w:val="00971D70"/>
    <w:rsid w:val="009759EF"/>
    <w:rsid w:val="009767BE"/>
    <w:rsid w:val="00981ADE"/>
    <w:rsid w:val="00993317"/>
    <w:rsid w:val="009A1F07"/>
    <w:rsid w:val="009A4377"/>
    <w:rsid w:val="009A6043"/>
    <w:rsid w:val="009A60A5"/>
    <w:rsid w:val="009B19A8"/>
    <w:rsid w:val="009B1BA3"/>
    <w:rsid w:val="009B3D53"/>
    <w:rsid w:val="009C0F4B"/>
    <w:rsid w:val="009C7E74"/>
    <w:rsid w:val="009D5CBE"/>
    <w:rsid w:val="009E0789"/>
    <w:rsid w:val="009F08AE"/>
    <w:rsid w:val="009F76E2"/>
    <w:rsid w:val="00A053C6"/>
    <w:rsid w:val="00A055B3"/>
    <w:rsid w:val="00A07C8B"/>
    <w:rsid w:val="00A15D71"/>
    <w:rsid w:val="00A22CC3"/>
    <w:rsid w:val="00A309FC"/>
    <w:rsid w:val="00A67209"/>
    <w:rsid w:val="00A72FEB"/>
    <w:rsid w:val="00A736FF"/>
    <w:rsid w:val="00A877C5"/>
    <w:rsid w:val="00A971E9"/>
    <w:rsid w:val="00AB1C9C"/>
    <w:rsid w:val="00AB5000"/>
    <w:rsid w:val="00AC23AE"/>
    <w:rsid w:val="00AC63D9"/>
    <w:rsid w:val="00AE2EF8"/>
    <w:rsid w:val="00AE599C"/>
    <w:rsid w:val="00AF5881"/>
    <w:rsid w:val="00B110A4"/>
    <w:rsid w:val="00B13BF0"/>
    <w:rsid w:val="00B236D0"/>
    <w:rsid w:val="00B2562A"/>
    <w:rsid w:val="00B33C81"/>
    <w:rsid w:val="00B34666"/>
    <w:rsid w:val="00B67E5B"/>
    <w:rsid w:val="00B77135"/>
    <w:rsid w:val="00B77E86"/>
    <w:rsid w:val="00B9422C"/>
    <w:rsid w:val="00BA6BE0"/>
    <w:rsid w:val="00BB56BD"/>
    <w:rsid w:val="00BB6D75"/>
    <w:rsid w:val="00BC688D"/>
    <w:rsid w:val="00BD1AB7"/>
    <w:rsid w:val="00BD43A8"/>
    <w:rsid w:val="00C1285C"/>
    <w:rsid w:val="00C14FF7"/>
    <w:rsid w:val="00C15EAA"/>
    <w:rsid w:val="00C214DC"/>
    <w:rsid w:val="00C229EF"/>
    <w:rsid w:val="00C251D8"/>
    <w:rsid w:val="00C27B7D"/>
    <w:rsid w:val="00C32A06"/>
    <w:rsid w:val="00C533BA"/>
    <w:rsid w:val="00C7403C"/>
    <w:rsid w:val="00C82183"/>
    <w:rsid w:val="00C83CD6"/>
    <w:rsid w:val="00C860F1"/>
    <w:rsid w:val="00C902E9"/>
    <w:rsid w:val="00C93D00"/>
    <w:rsid w:val="00C95FAB"/>
    <w:rsid w:val="00C96086"/>
    <w:rsid w:val="00CA0A91"/>
    <w:rsid w:val="00CA7B0E"/>
    <w:rsid w:val="00CC297A"/>
    <w:rsid w:val="00CD418B"/>
    <w:rsid w:val="00CD4B2B"/>
    <w:rsid w:val="00CD527C"/>
    <w:rsid w:val="00CE3037"/>
    <w:rsid w:val="00CE66B7"/>
    <w:rsid w:val="00CF7A43"/>
    <w:rsid w:val="00D01775"/>
    <w:rsid w:val="00D1174F"/>
    <w:rsid w:val="00D1357D"/>
    <w:rsid w:val="00D16DC2"/>
    <w:rsid w:val="00D206E8"/>
    <w:rsid w:val="00D41A9C"/>
    <w:rsid w:val="00D46FC1"/>
    <w:rsid w:val="00D51BE5"/>
    <w:rsid w:val="00D52681"/>
    <w:rsid w:val="00D53246"/>
    <w:rsid w:val="00D53D04"/>
    <w:rsid w:val="00D55EF7"/>
    <w:rsid w:val="00D61C98"/>
    <w:rsid w:val="00D633FB"/>
    <w:rsid w:val="00D64430"/>
    <w:rsid w:val="00D86072"/>
    <w:rsid w:val="00D8619C"/>
    <w:rsid w:val="00D876DF"/>
    <w:rsid w:val="00DA2203"/>
    <w:rsid w:val="00DB31E5"/>
    <w:rsid w:val="00DB3F2A"/>
    <w:rsid w:val="00DC04ED"/>
    <w:rsid w:val="00DC0DF0"/>
    <w:rsid w:val="00DC2E7C"/>
    <w:rsid w:val="00DC6C70"/>
    <w:rsid w:val="00DE7979"/>
    <w:rsid w:val="00DF3583"/>
    <w:rsid w:val="00DF5ACD"/>
    <w:rsid w:val="00E22893"/>
    <w:rsid w:val="00E258A7"/>
    <w:rsid w:val="00E268B2"/>
    <w:rsid w:val="00E349C2"/>
    <w:rsid w:val="00E360DE"/>
    <w:rsid w:val="00E439D2"/>
    <w:rsid w:val="00E521CB"/>
    <w:rsid w:val="00E728F6"/>
    <w:rsid w:val="00E75D28"/>
    <w:rsid w:val="00E76EF7"/>
    <w:rsid w:val="00E84F25"/>
    <w:rsid w:val="00E860AA"/>
    <w:rsid w:val="00E90CD4"/>
    <w:rsid w:val="00EA3634"/>
    <w:rsid w:val="00EA5DBF"/>
    <w:rsid w:val="00EC007B"/>
    <w:rsid w:val="00EC1DAD"/>
    <w:rsid w:val="00ED2A3C"/>
    <w:rsid w:val="00ED45E9"/>
    <w:rsid w:val="00EF04BC"/>
    <w:rsid w:val="00EF3502"/>
    <w:rsid w:val="00F21B30"/>
    <w:rsid w:val="00F273EA"/>
    <w:rsid w:val="00F31E26"/>
    <w:rsid w:val="00F4085A"/>
    <w:rsid w:val="00F42CB9"/>
    <w:rsid w:val="00F73C2A"/>
    <w:rsid w:val="00F73E9E"/>
    <w:rsid w:val="00FA3374"/>
    <w:rsid w:val="00FA53CF"/>
    <w:rsid w:val="00FB2435"/>
    <w:rsid w:val="00FB6490"/>
    <w:rsid w:val="00FB6A2E"/>
    <w:rsid w:val="00FB7321"/>
    <w:rsid w:val="00FC3D4A"/>
    <w:rsid w:val="00FC7246"/>
    <w:rsid w:val="00FC7E79"/>
    <w:rsid w:val="00FD159B"/>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03D85B-C479-4F06-B8AA-3E19D9A4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4CE5"/>
    <w:pPr>
      <w:spacing w:before="125" w:line="250" w:lineRule="atLeast"/>
      <w:jc w:val="both"/>
    </w:pPr>
    <w:rPr>
      <w:sz w:val="19"/>
      <w:lang w:val="sv-SE" w:eastAsia="sv-SE"/>
    </w:rPr>
  </w:style>
  <w:style w:type="paragraph" w:styleId="Rubrik1">
    <w:name w:val="heading 1"/>
    <w:basedOn w:val="Normal"/>
    <w:next w:val="Normal"/>
    <w:qFormat/>
    <w:rsid w:val="00004CE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4CE5"/>
    <w:pPr>
      <w:spacing w:before="500" w:line="250" w:lineRule="exact"/>
      <w:outlineLvl w:val="1"/>
    </w:pPr>
    <w:rPr>
      <w:sz w:val="27"/>
    </w:rPr>
  </w:style>
  <w:style w:type="paragraph" w:styleId="Rubrik3">
    <w:name w:val="heading 3"/>
    <w:aliases w:val="Mellanrubrik"/>
    <w:basedOn w:val="Rubrik2"/>
    <w:next w:val="Normal"/>
    <w:qFormat/>
    <w:rsid w:val="00004CE5"/>
    <w:pPr>
      <w:spacing w:before="250" w:after="0"/>
      <w:outlineLvl w:val="2"/>
    </w:pPr>
    <w:rPr>
      <w:b/>
      <w:sz w:val="21"/>
    </w:rPr>
  </w:style>
  <w:style w:type="paragraph" w:styleId="Rubrik4">
    <w:name w:val="heading 4"/>
    <w:aliases w:val="KursivRubrik"/>
    <w:basedOn w:val="Rubrik3"/>
    <w:next w:val="Normal"/>
    <w:qFormat/>
    <w:rsid w:val="00004CE5"/>
    <w:pPr>
      <w:outlineLvl w:val="3"/>
    </w:pPr>
    <w:rPr>
      <w:b w:val="0"/>
      <w:i/>
    </w:rPr>
  </w:style>
  <w:style w:type="paragraph" w:styleId="Rubrik5">
    <w:name w:val="heading 5"/>
    <w:aliases w:val="PackadFetRubrik,PackadKursivRubrik"/>
    <w:basedOn w:val="Rubrik4"/>
    <w:next w:val="Normal"/>
    <w:qFormat/>
    <w:rsid w:val="00004CE5"/>
    <w:pPr>
      <w:spacing w:before="125"/>
      <w:outlineLvl w:val="4"/>
    </w:pPr>
    <w:rPr>
      <w:i w:val="0"/>
      <w:sz w:val="19"/>
    </w:rPr>
  </w:style>
  <w:style w:type="paragraph" w:styleId="Rubrik6">
    <w:name w:val="heading 6"/>
    <w:basedOn w:val="Rubrik5"/>
    <w:next w:val="Normal"/>
    <w:qFormat/>
    <w:rsid w:val="00004CE5"/>
    <w:pPr>
      <w:spacing w:before="50" w:line="200" w:lineRule="exact"/>
      <w:outlineLvl w:val="5"/>
    </w:pPr>
    <w:rPr>
      <w:caps/>
      <w:sz w:val="14"/>
    </w:rPr>
  </w:style>
  <w:style w:type="paragraph" w:styleId="Rubrik7">
    <w:name w:val="heading 7"/>
    <w:basedOn w:val="Rubrik6"/>
    <w:next w:val="Normal"/>
    <w:qFormat/>
    <w:rsid w:val="00004CE5"/>
    <w:pPr>
      <w:spacing w:before="0"/>
      <w:outlineLvl w:val="6"/>
    </w:pPr>
  </w:style>
  <w:style w:type="paragraph" w:styleId="Rubrik8">
    <w:name w:val="heading 8"/>
    <w:basedOn w:val="Rubrik7"/>
    <w:next w:val="Normal"/>
    <w:qFormat/>
    <w:rsid w:val="00004CE5"/>
    <w:pPr>
      <w:outlineLvl w:val="7"/>
    </w:pPr>
  </w:style>
  <w:style w:type="paragraph" w:styleId="Rubrik9">
    <w:name w:val="heading 9"/>
    <w:basedOn w:val="Rubrik8"/>
    <w:next w:val="Normal"/>
    <w:qFormat/>
    <w:rsid w:val="00004CE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04CE5"/>
    <w:pPr>
      <w:spacing w:before="0"/>
      <w:ind w:firstLine="227"/>
    </w:pPr>
  </w:style>
  <w:style w:type="paragraph" w:styleId="Citat">
    <w:name w:val="Quote"/>
    <w:basedOn w:val="Normal"/>
    <w:next w:val="Normal"/>
    <w:qFormat/>
    <w:rsid w:val="00004CE5"/>
    <w:pPr>
      <w:spacing w:line="200" w:lineRule="exact"/>
      <w:ind w:left="340"/>
    </w:pPr>
  </w:style>
  <w:style w:type="paragraph" w:customStyle="1" w:styleId="Citatindrag">
    <w:name w:val="Citat_indrag"/>
    <w:aliases w:val="Packad"/>
    <w:basedOn w:val="Citat"/>
    <w:rsid w:val="00004CE5"/>
    <w:pPr>
      <w:spacing w:before="0"/>
      <w:ind w:firstLine="227"/>
    </w:pPr>
  </w:style>
  <w:style w:type="paragraph" w:customStyle="1" w:styleId="FSHNormal">
    <w:name w:val="FSH_Normal"/>
    <w:semiHidden/>
    <w:rsid w:val="00004CE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4CE5"/>
    <w:pPr>
      <w:spacing w:line="240" w:lineRule="auto"/>
    </w:pPr>
  </w:style>
  <w:style w:type="paragraph" w:customStyle="1" w:styleId="FSHNormalS5">
    <w:name w:val="FSH_NormalS5"/>
    <w:basedOn w:val="FSHNormal"/>
    <w:next w:val="FSHNormal"/>
    <w:semiHidden/>
    <w:rsid w:val="00004CE5"/>
    <w:pPr>
      <w:keepNext/>
      <w:keepLines/>
      <w:widowControl/>
      <w:spacing w:before="230" w:after="520" w:line="250" w:lineRule="exact"/>
    </w:pPr>
    <w:rPr>
      <w:b/>
      <w:sz w:val="27"/>
    </w:rPr>
  </w:style>
  <w:style w:type="paragraph" w:customStyle="1" w:styleId="FSHNormL">
    <w:name w:val="FSH_NormLÖ"/>
    <w:basedOn w:val="FSHNormal"/>
    <w:next w:val="FSHNormal"/>
    <w:semiHidden/>
    <w:rsid w:val="00004CE5"/>
    <w:pPr>
      <w:pBdr>
        <w:top w:val="single" w:sz="12" w:space="1" w:color="auto"/>
      </w:pBdr>
    </w:pPr>
  </w:style>
  <w:style w:type="paragraph" w:customStyle="1" w:styleId="FSHRub1">
    <w:name w:val="FSH_Rub1"/>
    <w:aliases w:val="Rubrik1_S5,Huvudrubrik"/>
    <w:basedOn w:val="FSHNormal"/>
    <w:next w:val="FSHNormal"/>
    <w:semiHidden/>
    <w:rsid w:val="00004CE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4CE5"/>
    <w:pPr>
      <w:spacing w:before="240" w:after="80" w:line="360" w:lineRule="exact"/>
    </w:pPr>
    <w:rPr>
      <w:sz w:val="36"/>
    </w:rPr>
  </w:style>
  <w:style w:type="paragraph" w:customStyle="1" w:styleId="FSHTitel">
    <w:name w:val="FSH_Titel"/>
    <w:aliases w:val="Dokumentrubrik"/>
    <w:basedOn w:val="FSHRub1"/>
    <w:next w:val="FSHNormal"/>
    <w:semiHidden/>
    <w:rsid w:val="00004CE5"/>
    <w:pPr>
      <w:pBdr>
        <w:bottom w:val="single" w:sz="4" w:space="3" w:color="auto"/>
      </w:pBdr>
      <w:spacing w:before="0" w:after="80" w:line="400" w:lineRule="exact"/>
    </w:pPr>
    <w:rPr>
      <w:sz w:val="40"/>
    </w:rPr>
  </w:style>
  <w:style w:type="paragraph" w:customStyle="1" w:styleId="Hemstlrubrik">
    <w:name w:val="Hemstl_rubrik"/>
    <w:basedOn w:val="Rubrik1"/>
    <w:next w:val="Normal"/>
    <w:rsid w:val="00004CE5"/>
    <w:pPr>
      <w:spacing w:after="250"/>
    </w:pPr>
  </w:style>
  <w:style w:type="paragraph" w:customStyle="1" w:styleId="Autokorrigering">
    <w:name w:val="Autokorrigering"/>
    <w:rsid w:val="00004CE5"/>
    <w:rPr>
      <w:sz w:val="24"/>
      <w:szCs w:val="24"/>
      <w:lang w:val="sv-SE" w:eastAsia="sv-SE"/>
    </w:rPr>
  </w:style>
  <w:style w:type="paragraph" w:customStyle="1" w:styleId="KantRubrikS5H">
    <w:name w:val="KantRubrikS5H"/>
    <w:semiHidden/>
    <w:rsid w:val="00004CE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04CE5"/>
    <w:pPr>
      <w:spacing w:line="200" w:lineRule="exact"/>
    </w:pPr>
  </w:style>
  <w:style w:type="paragraph" w:customStyle="1" w:styleId="KantRubrikS5V">
    <w:name w:val="KantRubrikS5V"/>
    <w:basedOn w:val="KantRubrikS5H"/>
    <w:semiHidden/>
    <w:rsid w:val="00004CE5"/>
    <w:pPr>
      <w:tabs>
        <w:tab w:val="right" w:pos="1814"/>
        <w:tab w:val="left" w:pos="1899"/>
      </w:tabs>
      <w:ind w:right="0"/>
      <w:jc w:val="left"/>
    </w:pPr>
  </w:style>
  <w:style w:type="paragraph" w:customStyle="1" w:styleId="KantRubrikS5Vrad2">
    <w:name w:val="KantRubrikS5Vrad2"/>
    <w:basedOn w:val="KantRubrikS5V"/>
    <w:semiHidden/>
    <w:rsid w:val="00004CE5"/>
    <w:pPr>
      <w:tabs>
        <w:tab w:val="clear" w:pos="1814"/>
        <w:tab w:val="clear" w:pos="1899"/>
        <w:tab w:val="right" w:pos="1418"/>
        <w:tab w:val="left" w:pos="1503"/>
      </w:tabs>
    </w:pPr>
  </w:style>
  <w:style w:type="paragraph" w:customStyle="1" w:styleId="Lagtext">
    <w:name w:val="Lagtext"/>
    <w:basedOn w:val="Lagtextrubrik"/>
    <w:next w:val="Lagtextindrag"/>
    <w:rsid w:val="00004CE5"/>
    <w:pPr>
      <w:spacing w:before="0"/>
    </w:pPr>
    <w:rPr>
      <w:sz w:val="19"/>
    </w:rPr>
  </w:style>
  <w:style w:type="paragraph" w:customStyle="1" w:styleId="Lagtextrubrik">
    <w:name w:val="Lagtext_rubrik"/>
    <w:basedOn w:val="Normal"/>
    <w:next w:val="Normal"/>
    <w:rsid w:val="00004CE5"/>
    <w:pPr>
      <w:suppressAutoHyphens/>
      <w:spacing w:line="220" w:lineRule="exact"/>
    </w:pPr>
    <w:rPr>
      <w:i/>
      <w:sz w:val="21"/>
    </w:rPr>
  </w:style>
  <w:style w:type="paragraph" w:customStyle="1" w:styleId="Lagtextindrag">
    <w:name w:val="Lagtext_indrag"/>
    <w:basedOn w:val="Lagtext"/>
    <w:rsid w:val="00004CE5"/>
    <w:pPr>
      <w:ind w:firstLine="170"/>
    </w:pPr>
  </w:style>
  <w:style w:type="paragraph" w:customStyle="1" w:styleId="NormalA4fot">
    <w:name w:val="Normal_A4fot"/>
    <w:basedOn w:val="Normal"/>
    <w:semiHidden/>
    <w:rsid w:val="00004CE5"/>
    <w:pPr>
      <w:spacing w:before="240" w:line="240" w:lineRule="auto"/>
      <w:jc w:val="center"/>
    </w:pPr>
  </w:style>
  <w:style w:type="paragraph" w:customStyle="1" w:styleId="NormalA4sidnr">
    <w:name w:val="Normal_A4sidnr"/>
    <w:basedOn w:val="Normal"/>
    <w:semiHidden/>
    <w:rsid w:val="00004CE5"/>
    <w:pPr>
      <w:spacing w:after="240"/>
      <w:jc w:val="center"/>
    </w:pPr>
  </w:style>
  <w:style w:type="paragraph" w:customStyle="1" w:styleId="NormalS5sidnrH">
    <w:name w:val="Normal_S5sidnrH"/>
    <w:basedOn w:val="Normal"/>
    <w:semiHidden/>
    <w:rsid w:val="00004CE5"/>
    <w:pPr>
      <w:spacing w:before="0" w:line="240" w:lineRule="auto"/>
      <w:ind w:right="57"/>
      <w:jc w:val="right"/>
    </w:pPr>
  </w:style>
  <w:style w:type="paragraph" w:customStyle="1" w:styleId="NormalS5sidnrV">
    <w:name w:val="Normal_S5sidnrV"/>
    <w:basedOn w:val="NormalS5sidnrH"/>
    <w:semiHidden/>
    <w:rsid w:val="00004CE5"/>
    <w:pPr>
      <w:tabs>
        <w:tab w:val="right" w:pos="1814"/>
        <w:tab w:val="left" w:pos="1899"/>
      </w:tabs>
      <w:ind w:right="0"/>
      <w:jc w:val="left"/>
    </w:pPr>
  </w:style>
  <w:style w:type="paragraph" w:customStyle="1" w:styleId="Normal00">
    <w:name w:val="Normal00"/>
    <w:basedOn w:val="Normal"/>
    <w:semiHidden/>
    <w:rsid w:val="00004CE5"/>
    <w:pPr>
      <w:spacing w:before="0" w:line="240" w:lineRule="auto"/>
      <w:jc w:val="left"/>
    </w:pPr>
  </w:style>
  <w:style w:type="paragraph" w:customStyle="1" w:styleId="PunktlistaBomb">
    <w:name w:val="Punktlista_Bomb"/>
    <w:aliases w:val="Bomb"/>
    <w:basedOn w:val="Normal"/>
    <w:rsid w:val="00004CE5"/>
    <w:pPr>
      <w:numPr>
        <w:numId w:val="2"/>
      </w:numPr>
      <w:ind w:left="0" w:firstLine="0"/>
    </w:pPr>
  </w:style>
  <w:style w:type="paragraph" w:customStyle="1" w:styleId="PunktlistaNummer">
    <w:name w:val="Punktlista_Nummer"/>
    <w:aliases w:val="Nummerlista"/>
    <w:basedOn w:val="Normal"/>
    <w:rsid w:val="00004CE5"/>
    <w:pPr>
      <w:numPr>
        <w:numId w:val="3"/>
      </w:numPr>
    </w:pPr>
  </w:style>
  <w:style w:type="paragraph" w:customStyle="1" w:styleId="PunktlistaTankstreck">
    <w:name w:val="Punktlista_Tankstreck"/>
    <w:aliases w:val="Tankstreck"/>
    <w:basedOn w:val="Normal"/>
    <w:rsid w:val="00004CE5"/>
    <w:pPr>
      <w:numPr>
        <w:numId w:val="4"/>
      </w:numPr>
    </w:pPr>
  </w:style>
  <w:style w:type="paragraph" w:customStyle="1" w:styleId="RubrikSammanf">
    <w:name w:val="RubrikSammanf"/>
    <w:basedOn w:val="Rubrik1"/>
    <w:next w:val="Normal"/>
    <w:rsid w:val="00004CE5"/>
  </w:style>
  <w:style w:type="paragraph" w:customStyle="1" w:styleId="RubrikInnehllsf">
    <w:name w:val="RubrikInnehållsf"/>
    <w:basedOn w:val="RubrikSammanf"/>
    <w:next w:val="Normal"/>
    <w:rsid w:val="00004CE5"/>
  </w:style>
  <w:style w:type="paragraph" w:customStyle="1" w:styleId="Tabellochbildrubrik">
    <w:name w:val="Tabell och bildrubrik"/>
    <w:basedOn w:val="Normal"/>
    <w:next w:val="Normal"/>
    <w:rsid w:val="00004CE5"/>
    <w:pPr>
      <w:suppressAutoHyphens/>
      <w:spacing w:before="300" w:line="200" w:lineRule="exact"/>
      <w:jc w:val="left"/>
    </w:pPr>
    <w:rPr>
      <w:caps/>
      <w:sz w:val="14"/>
    </w:rPr>
  </w:style>
  <w:style w:type="paragraph" w:customStyle="1" w:styleId="Underskrifter">
    <w:name w:val="Underskrifter"/>
    <w:basedOn w:val="Normal"/>
    <w:rsid w:val="00004CE5"/>
    <w:pPr>
      <w:keepNext/>
      <w:keepLines/>
      <w:suppressAutoHyphens/>
      <w:spacing w:before="0" w:after="40" w:line="250" w:lineRule="exact"/>
    </w:pPr>
    <w:rPr>
      <w:i/>
    </w:rPr>
  </w:style>
  <w:style w:type="paragraph" w:customStyle="1" w:styleId="UnderskriftDatum">
    <w:name w:val="UnderskriftDatum"/>
    <w:basedOn w:val="Underskrifter"/>
    <w:next w:val="Underskrifter"/>
    <w:rsid w:val="00004CE5"/>
    <w:pPr>
      <w:spacing w:before="250" w:after="125"/>
    </w:pPr>
    <w:rPr>
      <w:i w:val="0"/>
    </w:rPr>
  </w:style>
  <w:style w:type="paragraph" w:styleId="Sidhuvud">
    <w:name w:val="header"/>
    <w:basedOn w:val="Normal"/>
    <w:semiHidden/>
    <w:rsid w:val="00004CE5"/>
    <w:pPr>
      <w:tabs>
        <w:tab w:val="center" w:pos="4536"/>
        <w:tab w:val="right" w:pos="9072"/>
      </w:tabs>
    </w:pPr>
  </w:style>
  <w:style w:type="paragraph" w:styleId="Sidfot">
    <w:name w:val="footer"/>
    <w:basedOn w:val="Normal"/>
    <w:semiHidden/>
    <w:rsid w:val="00004CE5"/>
    <w:pPr>
      <w:tabs>
        <w:tab w:val="center" w:pos="4536"/>
        <w:tab w:val="right" w:pos="9072"/>
      </w:tabs>
    </w:pPr>
  </w:style>
  <w:style w:type="paragraph" w:styleId="Innehll1">
    <w:name w:val="toc 1"/>
    <w:basedOn w:val="Normal"/>
    <w:next w:val="Innehll2"/>
    <w:semiHidden/>
    <w:rsid w:val="00004CE5"/>
    <w:pPr>
      <w:tabs>
        <w:tab w:val="right" w:leader="dot" w:pos="5953"/>
      </w:tabs>
      <w:suppressAutoHyphens/>
      <w:spacing w:before="0"/>
      <w:ind w:right="567"/>
      <w:jc w:val="left"/>
    </w:pPr>
  </w:style>
  <w:style w:type="paragraph" w:styleId="Innehll2">
    <w:name w:val="toc 2"/>
    <w:basedOn w:val="Innehll1"/>
    <w:next w:val="Innehll3"/>
    <w:semiHidden/>
    <w:rsid w:val="00004CE5"/>
    <w:pPr>
      <w:ind w:left="284"/>
    </w:pPr>
  </w:style>
  <w:style w:type="paragraph" w:styleId="Innehll3">
    <w:name w:val="toc 3"/>
    <w:basedOn w:val="Innehll2"/>
    <w:next w:val="Innehll4"/>
    <w:semiHidden/>
    <w:rsid w:val="00004CE5"/>
    <w:pPr>
      <w:ind w:left="567"/>
    </w:pPr>
  </w:style>
  <w:style w:type="paragraph" w:styleId="Innehll4">
    <w:name w:val="toc 4"/>
    <w:basedOn w:val="Innehll3"/>
    <w:next w:val="Normal"/>
    <w:semiHidden/>
    <w:rsid w:val="00004CE5"/>
  </w:style>
  <w:style w:type="paragraph" w:customStyle="1" w:styleId="Hemstlatt">
    <w:name w:val="Hemstl_att"/>
    <w:aliases w:val="HemstPunkt,HemstPunktFlera,HemställansPunkt,Förslagstext"/>
    <w:basedOn w:val="Normal"/>
    <w:next w:val="Normal"/>
    <w:rsid w:val="00004CE5"/>
    <w:pPr>
      <w:keepLines/>
      <w:spacing w:before="0"/>
      <w:ind w:left="340"/>
    </w:pPr>
  </w:style>
  <w:style w:type="paragraph" w:styleId="Datum">
    <w:name w:val="Date"/>
    <w:basedOn w:val="Normal"/>
    <w:next w:val="Normal"/>
    <w:semiHidden/>
    <w:rsid w:val="00004CE5"/>
  </w:style>
  <w:style w:type="character" w:styleId="Hyperlnk">
    <w:name w:val="Hyperlink"/>
    <w:basedOn w:val="Standardstycketeckensnitt"/>
    <w:semiHidden/>
    <w:rsid w:val="00004CE5"/>
    <w:rPr>
      <w:color w:val="0000FF"/>
      <w:u w:val="single"/>
    </w:rPr>
  </w:style>
  <w:style w:type="paragraph" w:styleId="Indragetstycke">
    <w:name w:val="Block Text"/>
    <w:basedOn w:val="Normal"/>
    <w:semiHidden/>
    <w:rsid w:val="00004CE5"/>
    <w:pPr>
      <w:spacing w:after="120"/>
      <w:ind w:left="1440" w:right="1440"/>
    </w:pPr>
  </w:style>
  <w:style w:type="paragraph" w:styleId="Innehll5">
    <w:name w:val="toc 5"/>
    <w:basedOn w:val="Innehll4"/>
    <w:next w:val="Normal"/>
    <w:semiHidden/>
    <w:rsid w:val="00004CE5"/>
  </w:style>
  <w:style w:type="paragraph" w:styleId="Lista">
    <w:name w:val="List"/>
    <w:basedOn w:val="Normal"/>
    <w:semiHidden/>
    <w:rsid w:val="00004CE5"/>
    <w:pPr>
      <w:ind w:left="283" w:hanging="283"/>
    </w:pPr>
  </w:style>
  <w:style w:type="paragraph" w:styleId="Normalwebb">
    <w:name w:val="Normal (Web)"/>
    <w:basedOn w:val="Normal"/>
    <w:semiHidden/>
    <w:rsid w:val="00004CE5"/>
    <w:rPr>
      <w:szCs w:val="24"/>
    </w:rPr>
  </w:style>
  <w:style w:type="paragraph" w:styleId="Numreradlista">
    <w:name w:val="List Number"/>
    <w:basedOn w:val="Normal"/>
    <w:semiHidden/>
    <w:rsid w:val="00004CE5"/>
    <w:pPr>
      <w:numPr>
        <w:numId w:val="5"/>
      </w:numPr>
    </w:pPr>
  </w:style>
  <w:style w:type="paragraph" w:styleId="Punktlista">
    <w:name w:val="List Bullet"/>
    <w:basedOn w:val="Normal"/>
    <w:semiHidden/>
    <w:rsid w:val="00004CE5"/>
    <w:pPr>
      <w:numPr>
        <w:numId w:val="10"/>
      </w:numPr>
    </w:pPr>
  </w:style>
  <w:style w:type="character" w:styleId="Radnummer">
    <w:name w:val="line number"/>
    <w:basedOn w:val="Standardstycketeckensnitt"/>
    <w:semiHidden/>
    <w:rsid w:val="00004CE5"/>
  </w:style>
  <w:style w:type="character" w:styleId="Sidnummer">
    <w:name w:val="page number"/>
    <w:basedOn w:val="Standardstycketeckensnitt"/>
    <w:semiHidden/>
    <w:rsid w:val="00004CE5"/>
  </w:style>
  <w:style w:type="paragraph" w:styleId="Signatur">
    <w:name w:val="Signature"/>
    <w:basedOn w:val="Normal"/>
    <w:semiHidden/>
    <w:rsid w:val="00004CE5"/>
    <w:pPr>
      <w:ind w:left="4252"/>
    </w:pPr>
  </w:style>
  <w:style w:type="paragraph" w:styleId="Underrubrik">
    <w:name w:val="Subtitle"/>
    <w:basedOn w:val="Normal"/>
    <w:qFormat/>
    <w:rsid w:val="00004CE5"/>
    <w:pPr>
      <w:spacing w:after="60"/>
      <w:jc w:val="center"/>
      <w:outlineLvl w:val="1"/>
    </w:pPr>
    <w:rPr>
      <w:rFonts w:ascii="Arial" w:hAnsi="Arial" w:cs="Arial"/>
      <w:szCs w:val="24"/>
    </w:rPr>
  </w:style>
  <w:style w:type="paragraph" w:customStyle="1" w:styleId="Yrkandehnv">
    <w:name w:val="Yrkandehänv"/>
    <w:semiHidden/>
    <w:rsid w:val="00004CE5"/>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1298</Words>
  <Characters>8064</Characters>
  <Application>Microsoft Office Word</Application>
  <DocSecurity>4</DocSecurity>
  <Lines>201</Lines>
  <Paragraphs>111</Paragraphs>
  <ScaleCrop>false</ScaleCrop>
  <HeadingPairs>
    <vt:vector size="2" baseType="variant">
      <vt:variant>
        <vt:lpstr>Rubrik</vt:lpstr>
      </vt:variant>
      <vt:variant>
        <vt:i4>1</vt:i4>
      </vt:variant>
    </vt:vector>
  </HeadingPairs>
  <TitlesOfParts>
    <vt:vector size="1" baseType="lpstr">
      <vt:lpstr>v901</vt:lpstr>
    </vt:vector>
  </TitlesOfParts>
  <Company>Riksdagen</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v901</dc:title>
  <dc:subject>v901</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2007-01-16T07:29:00Z</cp:lastPrinted>
  <dcterms:created xsi:type="dcterms:W3CDTF">2025-12-17T00:07:00Z</dcterms:created>
  <dcterms:modified xsi:type="dcterms:W3CDTF">2025-12-17T00:07:00Z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Utgiftsområde 4 Rättsväsendet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4 Rättsväsendet </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Ju340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20062007000000000118000009010080</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20062007000000000118000009010080</vt:lpwstr>
  </property>
  <property fmtid="{D5CDD505-2E9C-101B-9397-08002B2CF9AE}" pid="50" name="nummer">
    <vt:lpwstr>340</vt:lpwstr>
  </property>
  <property fmtid="{D5CDD505-2E9C-101B-9397-08002B2CF9AE}" pid="51" name="utskottsbeteckning">
    <vt:lpwstr>Ju</vt:lpwstr>
  </property>
  <property fmtid="{D5CDD505-2E9C-101B-9397-08002B2CF9AE}" pid="52" name="GlobalUID">
    <vt:lpwstr>{28FAF524-BA2D-41D6-81A1-779D96694B59}</vt:lpwstr>
  </property>
  <property fmtid="{D5CDD505-2E9C-101B-9397-08002B2CF9AE}" pid="53" name="Överföringar">
    <vt:i4>0</vt:i4>
  </property>
  <property fmtid="{D5CDD505-2E9C-101B-9397-08002B2CF9AE}" pid="54" name="Checksum">
    <vt:lpwstr>*1002432495682*</vt:lpwstr>
  </property>
  <property fmtid="{D5CDD505-2E9C-101B-9397-08002B2CF9AE}" pid="55" name="urixOrigin">
    <vt:lpwstr>070312 10:15:18.378</vt:lpwstr>
  </property>
  <property fmtid="{D5CDD505-2E9C-101B-9397-08002B2CF9AE}" pid="56" name="skuggnummer">
    <vt:lpwstr>1634</vt:lpwstr>
  </property>
  <property fmtid="{D5CDD505-2E9C-101B-9397-08002B2CF9AE}" pid="57" name="urixVersion">
    <vt:lpwstr>3.1.4.1</vt:lpwstr>
  </property>
  <property fmtid="{D5CDD505-2E9C-101B-9397-08002B2CF9AE}" pid="58" name="urixGuid">
    <vt:lpwstr>{CF911C86-C125-4349-8E4F-5ECE13B8F94C}</vt:lpwstr>
  </property>
</Properties>
</file>