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2645758" w:id="2"/>
    <w:p w:rsidRPr="009B062B" w:rsidR="00AF30DD" w:rsidP="003676DF" w:rsidRDefault="000F7BA2" w14:paraId="41C66C18" w14:textId="77777777">
      <w:pPr>
        <w:pStyle w:val="RubrikFrslagTIllRiksdagsbeslut"/>
      </w:pPr>
      <w:sdt>
        <w:sdtPr>
          <w:alias w:val="CC_Boilerplate_4"/>
          <w:tag w:val="CC_Boilerplate_4"/>
          <w:id w:val="-1644581176"/>
          <w:lock w:val="sdtContentLocked"/>
          <w:placeholder>
            <w:docPart w:val="7C2C20517C3149A5BEDB6675861FAC1C"/>
          </w:placeholder>
          <w:text/>
        </w:sdtPr>
        <w:sdtEndPr/>
        <w:sdtContent>
          <w:r w:rsidRPr="009B062B" w:rsidR="00AF30DD">
            <w:t>Förslag till riksdagsbeslut</w:t>
          </w:r>
        </w:sdtContent>
      </w:sdt>
      <w:bookmarkEnd w:id="0"/>
      <w:bookmarkEnd w:id="1"/>
    </w:p>
    <w:sdt>
      <w:sdtPr>
        <w:alias w:val="Yrkande 1"/>
        <w:tag w:val="216b4f46-548e-40a6-986d-91acb652d95e"/>
        <w:id w:val="1038942967"/>
        <w:lock w:val="sdtLocked"/>
      </w:sdtPr>
      <w:sdtEndPr/>
      <w:sdtContent>
        <w:p w:rsidR="009E38DE" w:rsidRDefault="009B1C81" w14:paraId="5F0E6CA9" w14:textId="77777777">
          <w:pPr>
            <w:pStyle w:val="Frslagstext"/>
            <w:numPr>
              <w:ilvl w:val="0"/>
              <w:numId w:val="0"/>
            </w:numPr>
          </w:pPr>
          <w:r>
            <w:t>Riksdagen ställer sig bakom det som anförs i motionen om att ytterligare sänka skatten särskilt för låg- och medelinkomsttagare enligt Centerpartiets modell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BDAE124A8044EDAB1C3112EC16947DA"/>
        </w:placeholder>
        <w:text/>
      </w:sdtPr>
      <w:sdtEndPr/>
      <w:sdtContent>
        <w:p w:rsidRPr="003676DF" w:rsidR="006D79C9" w:rsidP="00333E95" w:rsidRDefault="006D79C9" w14:paraId="19D5FB5F" w14:textId="77777777">
          <w:pPr>
            <w:pStyle w:val="Rubrik1"/>
          </w:pPr>
          <w:r>
            <w:t>Motivering</w:t>
          </w:r>
        </w:p>
      </w:sdtContent>
    </w:sdt>
    <w:bookmarkEnd w:displacedByCustomXml="prev" w:id="4"/>
    <w:bookmarkEnd w:displacedByCustomXml="prev" w:id="5"/>
    <w:p w:rsidRPr="003676DF" w:rsidR="00354D80" w:rsidP="000B7566" w:rsidRDefault="00327512" w14:paraId="54AD7C28" w14:textId="1C477B19">
      <w:pPr>
        <w:pStyle w:val="Normalutanindragellerluft"/>
      </w:pPr>
      <w:r w:rsidRPr="003676DF">
        <w:t xml:space="preserve">Centerpartiet delar regeringens </w:t>
      </w:r>
      <w:r w:rsidRPr="003676DF" w:rsidR="001D4322">
        <w:t xml:space="preserve">uttalade ambition </w:t>
      </w:r>
      <w:r w:rsidRPr="003676DF">
        <w:t>att stärka arbetslinjen, förbättra pensionärernas ekonomi och ge ökat stöd till personer med sjuk- och aktivitets</w:t>
      </w:r>
      <w:r w:rsidR="00995967">
        <w:softHyphen/>
      </w:r>
      <w:r w:rsidRPr="003676DF">
        <w:t xml:space="preserve">ersättning. </w:t>
      </w:r>
      <w:r w:rsidRPr="003676DF" w:rsidR="00354D80">
        <w:t>Det</w:t>
      </w:r>
      <w:r w:rsidRPr="003676DF">
        <w:t xml:space="preserve"> är både fördelningspolitiskt och samhällsekonomiskt</w:t>
      </w:r>
      <w:r w:rsidRPr="003676DF" w:rsidR="009E0CD4">
        <w:t xml:space="preserve"> gynnsamt</w:t>
      </w:r>
      <w:r w:rsidRPr="003676DF" w:rsidR="00354D80">
        <w:t>, då det innebär att fler ska få mer kvar i plånboken</w:t>
      </w:r>
      <w:r w:rsidR="009B1C81">
        <w:t xml:space="preserve"> </w:t>
      </w:r>
      <w:r w:rsidRPr="003676DF" w:rsidR="00354D80">
        <w:t xml:space="preserve">samt att de ekonomiska klyftorna minskar. </w:t>
      </w:r>
    </w:p>
    <w:p w:rsidRPr="003676DF" w:rsidR="00354D80" w:rsidP="000B7566" w:rsidRDefault="00354D80" w14:paraId="4276D3CE" w14:textId="31305E3E">
      <w:r w:rsidRPr="003676DF">
        <w:t>Centerpartiet tror på sänkta skatter för alla, särskilt för de med låg- och medel</w:t>
      </w:r>
      <w:r w:rsidR="00995967">
        <w:softHyphen/>
      </w:r>
      <w:r w:rsidRPr="003676DF">
        <w:t>inkomster</w:t>
      </w:r>
      <w:r w:rsidRPr="003676DF" w:rsidR="00B00C4D">
        <w:t>, eftersom v</w:t>
      </w:r>
      <w:r w:rsidRPr="003676DF">
        <w:t xml:space="preserve">i vill stärka arbetslinjen och bekämpa utanförskap. </w:t>
      </w:r>
      <w:r w:rsidRPr="003676DF" w:rsidR="001D4322">
        <w:t xml:space="preserve">För att på riktigt åstadkomma detta räcker inte regeringens förslag. </w:t>
      </w:r>
      <w:r w:rsidRPr="003676DF">
        <w:t xml:space="preserve">Genom att sänka skatten </w:t>
      </w:r>
      <w:r w:rsidRPr="003676DF" w:rsidR="00B00C4D">
        <w:t>ytterligare</w:t>
      </w:r>
      <w:r w:rsidRPr="003676DF">
        <w:t xml:space="preserve"> för de med lägst inkomster blir det mer lönsamt att gå från bidragsförsörjning till arbete. Detta minskar trösklarna till arbetsmarknaden och stärker incitamenten att ta ett jobb.</w:t>
      </w:r>
    </w:p>
    <w:p w:rsidRPr="003676DF" w:rsidR="00354D80" w:rsidP="000B7566" w:rsidRDefault="00327512" w14:paraId="2C3ADC26" w14:textId="18F71615">
      <w:r w:rsidRPr="003676DF">
        <w:t>Regeringen förstärker jobbskatteavdraget för månadsinkomster över 3,24 pris</w:t>
      </w:r>
      <w:r w:rsidR="00995967">
        <w:softHyphen/>
      </w:r>
      <w:r w:rsidRPr="003676DF">
        <w:t xml:space="preserve">basbelopp (PBB), vilket motsvarar en månadslön om </w:t>
      </w:r>
      <w:r w:rsidR="009B1C81">
        <w:t>ca</w:t>
      </w:r>
      <w:r w:rsidRPr="003676DF">
        <w:t xml:space="preserve"> 16</w:t>
      </w:r>
      <w:r w:rsidR="009B1C81">
        <w:t> </w:t>
      </w:r>
      <w:r w:rsidRPr="003676DF">
        <w:t>000 kronor. Centerpartiets förslag innebär en ytterligare förstärkning av jobbskatteavdraget som sänker skatten ytterligare på månadsinkomster mellan 3,24 och 8,08 PBB. Detta gäller på arbets</w:t>
      </w:r>
      <w:r w:rsidR="00995967">
        <w:softHyphen/>
      </w:r>
      <w:r w:rsidRPr="003676DF">
        <w:t xml:space="preserve">inkomster för de som ännu inte fyllt 66 år med ett förstärkt jobbskatteavdrag, men även på förvärvsinkomster för äldre över 66 år med ett högre förhöjt grundavdrag. </w:t>
      </w:r>
    </w:p>
    <w:p w:rsidRPr="003676DF" w:rsidR="00EC4C29" w:rsidP="000B7566" w:rsidRDefault="00354D80" w14:paraId="7AAFF809" w14:textId="0288D493">
      <w:r w:rsidRPr="003676DF">
        <w:t>Syftet är dels att sänka tröskeln till att ta ett arbete för någon som i</w:t>
      </w:r>
      <w:r w:rsidR="009B1C81">
        <w:t xml:space="preserve"> </w:t>
      </w:r>
      <w:r w:rsidRPr="003676DF">
        <w:t>dag står utanför arbetsmarknaden och uppbär ersättning från transfereringssystemen</w:t>
      </w:r>
      <w:r w:rsidR="009B1C81">
        <w:t xml:space="preserve">, </w:t>
      </w:r>
      <w:r w:rsidRPr="003676DF">
        <w:t xml:space="preserve">dels att öka </w:t>
      </w:r>
      <w:r w:rsidRPr="003676DF">
        <w:lastRenderedPageBreak/>
        <w:t>incitamenten att ta heltidsjobb eller arbeta fler arbetstimmar. Jobbskatteavdraget som andel av inkomsten blir mindre ju högre arbetsinkomsten är. Att höja skattesänkningen för de med inkomster under brytpunkten ökar fördelningen mot breda grupper så att de med låg</w:t>
      </w:r>
      <w:r w:rsidR="009B1C81">
        <w:t>a inkomster</w:t>
      </w:r>
      <w:r w:rsidRPr="003676DF">
        <w:t xml:space="preserve"> och medelinkomster får behålla mer av sin arbetsinkomst. På så sätt kombineras en generell skattesänkning med en riktad förstärkning för de grupper som har störst marginalnytta av ökade inkomster. </w:t>
      </w:r>
    </w:p>
    <w:p w:rsidRPr="003676DF" w:rsidR="00EC4C29" w:rsidP="000B7566" w:rsidRDefault="00EC4C29" w14:paraId="1969677F" w14:textId="715BA6E2">
      <w:r w:rsidRPr="003676DF">
        <w:t>Med anledning av Centerpartiets eget förslag som sänker skatten för alla, men ytterligare för de med låg</w:t>
      </w:r>
      <w:r w:rsidR="009B1C81">
        <w:t>a inkomster</w:t>
      </w:r>
      <w:r w:rsidRPr="003676DF">
        <w:t xml:space="preserve"> och medelinkomster anser Centerpartiet att regeringen bör återkomma med ett förslag likt detta. </w:t>
      </w:r>
    </w:p>
    <w:p w:rsidRPr="000B7566" w:rsidR="00EC4C29" w:rsidP="000F7BA2" w:rsidRDefault="00EC4C29" w14:paraId="4304F119" w14:textId="641E14ED">
      <w:pPr>
        <w:pStyle w:val="Tabellrubrik"/>
        <w:spacing w:before="300"/>
      </w:pPr>
      <w:r w:rsidRPr="000B7566">
        <w:t>Tabell 1 Jobbskatteavdraget enligt Centerpartiets modell</w:t>
      </w:r>
    </w:p>
    <w:tbl>
      <w:tblPr>
        <w:tblStyle w:val="Tabellrutnt"/>
        <w:tblW w:w="5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567"/>
        <w:gridCol w:w="426"/>
        <w:gridCol w:w="1166"/>
        <w:gridCol w:w="3454"/>
      </w:tblGrid>
      <w:tr w:rsidRPr="003676DF" w:rsidR="00EC4C29" w:rsidTr="00875423" w14:paraId="2E065666" w14:textId="77777777">
        <w:trPr>
          <w:cantSplit/>
          <w:tblHeader/>
        </w:trPr>
        <w:tc>
          <w:tcPr>
            <w:tcW w:w="2159" w:type="dxa"/>
            <w:gridSpan w:val="3"/>
            <w:tcBorders>
              <w:top w:val="single" w:color="auto" w:sz="2" w:space="0"/>
              <w:bottom w:val="single" w:color="auto" w:sz="2" w:space="0"/>
            </w:tcBorders>
            <w:tcMar>
              <w:left w:w="0" w:type="dxa"/>
            </w:tcMar>
          </w:tcPr>
          <w:p w:rsidRPr="003676DF" w:rsidR="00EC4C29" w:rsidP="0079559D" w:rsidRDefault="00EC4C29" w14:paraId="2F88B60E" w14:textId="77777777">
            <w:pPr>
              <w:pStyle w:val="Tabell-Kolumnrubrik"/>
              <w:rPr>
                <w:szCs w:val="20"/>
              </w:rPr>
            </w:pPr>
            <w:r w:rsidRPr="003676DF">
              <w:rPr>
                <w:szCs w:val="20"/>
              </w:rPr>
              <w:t>Inkomstintervall i PBB</w:t>
            </w:r>
          </w:p>
        </w:tc>
        <w:tc>
          <w:tcPr>
            <w:tcW w:w="3454" w:type="dxa"/>
            <w:tcBorders>
              <w:top w:val="single" w:color="auto" w:sz="2" w:space="0"/>
              <w:bottom w:val="single" w:color="auto" w:sz="2" w:space="0"/>
            </w:tcBorders>
          </w:tcPr>
          <w:p w:rsidRPr="003676DF" w:rsidR="00EC4C29" w:rsidP="0079559D" w:rsidRDefault="00EC4C29" w14:paraId="2ABCF4C1" w14:textId="77777777">
            <w:pPr>
              <w:pStyle w:val="Tabell-Kolumnrubrik"/>
              <w:rPr>
                <w:szCs w:val="20"/>
              </w:rPr>
            </w:pPr>
            <w:r w:rsidRPr="003676DF">
              <w:rPr>
                <w:szCs w:val="20"/>
              </w:rPr>
              <w:t>JSA i PBB</w:t>
            </w:r>
          </w:p>
        </w:tc>
      </w:tr>
      <w:tr w:rsidRPr="003676DF" w:rsidR="00EC4C29" w:rsidTr="00995967" w14:paraId="56B10550" w14:textId="77777777">
        <w:trPr>
          <w:cantSplit/>
        </w:trPr>
        <w:tc>
          <w:tcPr>
            <w:tcW w:w="567" w:type="dxa"/>
            <w:tcBorders>
              <w:top w:val="single" w:color="auto" w:sz="2" w:space="0"/>
            </w:tcBorders>
            <w:tcMar>
              <w:left w:w="0" w:type="dxa"/>
            </w:tcMar>
          </w:tcPr>
          <w:p w:rsidRPr="003676DF" w:rsidR="00EC4C29" w:rsidP="0079559D" w:rsidRDefault="00EC4C29" w14:paraId="442D4911" w14:textId="77777777">
            <w:pPr>
              <w:pStyle w:val="Tabell-Radrubrik"/>
              <w:rPr>
                <w:szCs w:val="20"/>
              </w:rPr>
            </w:pPr>
            <w:r w:rsidRPr="003676DF">
              <w:rPr>
                <w:szCs w:val="20"/>
              </w:rPr>
              <w:t>0</w:t>
            </w:r>
          </w:p>
        </w:tc>
        <w:tc>
          <w:tcPr>
            <w:tcW w:w="426" w:type="dxa"/>
            <w:tcBorders>
              <w:top w:val="single" w:color="auto" w:sz="2" w:space="0"/>
            </w:tcBorders>
          </w:tcPr>
          <w:p w:rsidRPr="003676DF" w:rsidR="00EC4C29" w:rsidP="00875423" w:rsidRDefault="009B1C81" w14:paraId="1858EBFE" w14:textId="476461B5">
            <w:pPr>
              <w:pStyle w:val="Tabell-Text"/>
              <w:rPr>
                <w:szCs w:val="20"/>
              </w:rPr>
            </w:pPr>
            <w:r>
              <w:rPr>
                <w:szCs w:val="20"/>
              </w:rPr>
              <w:t>–</w:t>
            </w:r>
          </w:p>
        </w:tc>
        <w:tc>
          <w:tcPr>
            <w:tcW w:w="1166" w:type="dxa"/>
            <w:tcBorders>
              <w:top w:val="single" w:color="auto" w:sz="2" w:space="0"/>
            </w:tcBorders>
          </w:tcPr>
          <w:p w:rsidRPr="003676DF" w:rsidR="00EC4C29" w:rsidP="000B7566" w:rsidRDefault="00EC4C29" w14:paraId="26622872" w14:textId="1B4C3C91">
            <w:pPr>
              <w:pStyle w:val="Tabell-Text"/>
              <w:rPr>
                <w:szCs w:val="20"/>
              </w:rPr>
            </w:pPr>
            <w:r w:rsidRPr="003676DF">
              <w:rPr>
                <w:szCs w:val="20"/>
              </w:rPr>
              <w:t>0,91</w:t>
            </w:r>
          </w:p>
        </w:tc>
        <w:tc>
          <w:tcPr>
            <w:tcW w:w="3454" w:type="dxa"/>
            <w:tcBorders>
              <w:top w:val="single" w:color="auto" w:sz="2" w:space="0"/>
            </w:tcBorders>
          </w:tcPr>
          <w:p w:rsidRPr="003676DF" w:rsidR="00EC4C29" w:rsidP="0079559D" w:rsidRDefault="00EC4C29" w14:paraId="1EB66798" w14:textId="13D3C729">
            <w:pPr>
              <w:pStyle w:val="Tabell-Text"/>
              <w:rPr>
                <w:szCs w:val="20"/>
              </w:rPr>
            </w:pPr>
            <w:r w:rsidRPr="003676DF">
              <w:rPr>
                <w:szCs w:val="20"/>
              </w:rPr>
              <w:t xml:space="preserve">(AI </w:t>
            </w:r>
            <w:r w:rsidR="009B1C81">
              <w:rPr>
                <w:szCs w:val="20"/>
              </w:rPr>
              <w:t>–</w:t>
            </w:r>
            <w:r w:rsidRPr="003676DF">
              <w:rPr>
                <w:szCs w:val="20"/>
              </w:rPr>
              <w:t xml:space="preserve"> </w:t>
            </w:r>
            <w:proofErr w:type="gramStart"/>
            <w:r w:rsidRPr="003676DF">
              <w:rPr>
                <w:szCs w:val="20"/>
              </w:rPr>
              <w:t>GA)∙</w:t>
            </w:r>
            <w:proofErr w:type="gramEnd"/>
            <w:r w:rsidRPr="003676DF">
              <w:rPr>
                <w:szCs w:val="20"/>
              </w:rPr>
              <w:t>KI</w:t>
            </w:r>
          </w:p>
        </w:tc>
      </w:tr>
      <w:tr w:rsidRPr="003676DF" w:rsidR="00EC4C29" w:rsidTr="00995967" w14:paraId="315D9D50" w14:textId="77777777">
        <w:trPr>
          <w:cantSplit/>
        </w:trPr>
        <w:tc>
          <w:tcPr>
            <w:tcW w:w="567" w:type="dxa"/>
            <w:tcMar>
              <w:left w:w="0" w:type="dxa"/>
            </w:tcMar>
          </w:tcPr>
          <w:p w:rsidRPr="003676DF" w:rsidR="00EC4C29" w:rsidP="0079559D" w:rsidRDefault="00EC4C29" w14:paraId="6025B8C2" w14:textId="77777777">
            <w:pPr>
              <w:pStyle w:val="Tabell-Radrubrik"/>
              <w:rPr>
                <w:szCs w:val="20"/>
              </w:rPr>
            </w:pPr>
            <w:r w:rsidRPr="003676DF">
              <w:rPr>
                <w:szCs w:val="20"/>
              </w:rPr>
              <w:t>0,91</w:t>
            </w:r>
          </w:p>
        </w:tc>
        <w:tc>
          <w:tcPr>
            <w:tcW w:w="426" w:type="dxa"/>
          </w:tcPr>
          <w:p w:rsidRPr="003676DF" w:rsidR="00EC4C29" w:rsidP="00875423" w:rsidRDefault="009B1C81" w14:paraId="222DDD7E" w14:textId="08C53E12">
            <w:pPr>
              <w:pStyle w:val="Tabell-Text"/>
              <w:rPr>
                <w:szCs w:val="20"/>
              </w:rPr>
            </w:pPr>
            <w:r>
              <w:rPr>
                <w:szCs w:val="20"/>
              </w:rPr>
              <w:t>–</w:t>
            </w:r>
          </w:p>
        </w:tc>
        <w:tc>
          <w:tcPr>
            <w:tcW w:w="1166" w:type="dxa"/>
          </w:tcPr>
          <w:p w:rsidRPr="003676DF" w:rsidR="00EC4C29" w:rsidP="000B7566" w:rsidRDefault="00EC4C29" w14:paraId="5496FDA5" w14:textId="56BC4C5C">
            <w:pPr>
              <w:pStyle w:val="Tabell-Text"/>
              <w:rPr>
                <w:szCs w:val="20"/>
              </w:rPr>
            </w:pPr>
            <w:r w:rsidRPr="003676DF">
              <w:rPr>
                <w:szCs w:val="20"/>
              </w:rPr>
              <w:t>3,24</w:t>
            </w:r>
          </w:p>
        </w:tc>
        <w:tc>
          <w:tcPr>
            <w:tcW w:w="3454" w:type="dxa"/>
          </w:tcPr>
          <w:p w:rsidRPr="003676DF" w:rsidR="00EC4C29" w:rsidP="0079559D" w:rsidRDefault="00EC4C29" w14:paraId="3F8D78BC" w14:textId="326F8B68">
            <w:pPr>
              <w:pStyle w:val="Tabell-Text"/>
              <w:rPr>
                <w:szCs w:val="20"/>
              </w:rPr>
            </w:pPr>
            <w:r w:rsidRPr="003676DF">
              <w:rPr>
                <w:szCs w:val="20"/>
              </w:rPr>
              <w:t>(0,91 + 0,3874</w:t>
            </w:r>
            <w:proofErr w:type="gramStart"/>
            <w:r w:rsidRPr="003676DF">
              <w:rPr>
                <w:szCs w:val="20"/>
              </w:rPr>
              <w:t>∙(</w:t>
            </w:r>
            <w:proofErr w:type="gramEnd"/>
            <w:r w:rsidRPr="003676DF">
              <w:rPr>
                <w:szCs w:val="20"/>
              </w:rPr>
              <w:t xml:space="preserve">AI </w:t>
            </w:r>
            <w:r w:rsidR="009B1C81">
              <w:rPr>
                <w:szCs w:val="20"/>
              </w:rPr>
              <w:t>–</w:t>
            </w:r>
            <w:r w:rsidRPr="003676DF">
              <w:rPr>
                <w:szCs w:val="20"/>
              </w:rPr>
              <w:t xml:space="preserve"> 0,91) </w:t>
            </w:r>
            <w:r w:rsidR="009B1C81">
              <w:rPr>
                <w:szCs w:val="20"/>
              </w:rPr>
              <w:t>–</w:t>
            </w:r>
            <w:r w:rsidRPr="003676DF">
              <w:rPr>
                <w:szCs w:val="20"/>
              </w:rPr>
              <w:t xml:space="preserve"> GA)∙KI</w:t>
            </w:r>
          </w:p>
        </w:tc>
      </w:tr>
      <w:tr w:rsidRPr="003676DF" w:rsidR="00EC4C29" w:rsidTr="00995967" w14:paraId="701B0337" w14:textId="77777777">
        <w:trPr>
          <w:cantSplit/>
        </w:trPr>
        <w:tc>
          <w:tcPr>
            <w:tcW w:w="567" w:type="dxa"/>
            <w:tcMar>
              <w:left w:w="0" w:type="dxa"/>
            </w:tcMar>
          </w:tcPr>
          <w:p w:rsidRPr="003676DF" w:rsidR="00EC4C29" w:rsidP="0079559D" w:rsidRDefault="00EC4C29" w14:paraId="6F68D7CF" w14:textId="77777777">
            <w:pPr>
              <w:pStyle w:val="Tabell-Radrubrik"/>
              <w:rPr>
                <w:szCs w:val="20"/>
              </w:rPr>
            </w:pPr>
            <w:r w:rsidRPr="003676DF">
              <w:rPr>
                <w:szCs w:val="20"/>
              </w:rPr>
              <w:t>3,24</w:t>
            </w:r>
          </w:p>
        </w:tc>
        <w:tc>
          <w:tcPr>
            <w:tcW w:w="426" w:type="dxa"/>
          </w:tcPr>
          <w:p w:rsidRPr="003676DF" w:rsidR="00EC4C29" w:rsidP="00875423" w:rsidRDefault="009B1C81" w14:paraId="242C008F" w14:textId="18882567">
            <w:pPr>
              <w:pStyle w:val="Tabell-Text"/>
              <w:rPr>
                <w:szCs w:val="20"/>
              </w:rPr>
            </w:pPr>
            <w:r>
              <w:rPr>
                <w:szCs w:val="20"/>
              </w:rPr>
              <w:t>–</w:t>
            </w:r>
          </w:p>
        </w:tc>
        <w:tc>
          <w:tcPr>
            <w:tcW w:w="1166" w:type="dxa"/>
          </w:tcPr>
          <w:p w:rsidRPr="003676DF" w:rsidR="00EC4C29" w:rsidP="000B7566" w:rsidRDefault="00EC4C29" w14:paraId="471E3834" w14:textId="10CA3C6B">
            <w:pPr>
              <w:pStyle w:val="Tabell-Text"/>
              <w:rPr>
                <w:szCs w:val="20"/>
              </w:rPr>
            </w:pPr>
            <w:r w:rsidRPr="003676DF">
              <w:rPr>
                <w:szCs w:val="20"/>
              </w:rPr>
              <w:t>7,86</w:t>
            </w:r>
          </w:p>
        </w:tc>
        <w:tc>
          <w:tcPr>
            <w:tcW w:w="3454" w:type="dxa"/>
          </w:tcPr>
          <w:p w:rsidRPr="003676DF" w:rsidR="00EC4C29" w:rsidP="0079559D" w:rsidRDefault="00EC4C29" w14:paraId="6D5EFCF4" w14:textId="384765B9">
            <w:pPr>
              <w:pStyle w:val="Tabell-Text"/>
              <w:rPr>
                <w:szCs w:val="20"/>
              </w:rPr>
            </w:pPr>
            <w:r w:rsidRPr="003676DF">
              <w:rPr>
                <w:szCs w:val="20"/>
              </w:rPr>
              <w:t xml:space="preserve">(0,9616 + 0,2628∙AI </w:t>
            </w:r>
            <w:r w:rsidR="009B1C81">
              <w:rPr>
                <w:szCs w:val="20"/>
              </w:rPr>
              <w:t>–</w:t>
            </w:r>
            <w:r w:rsidRPr="003676DF">
              <w:rPr>
                <w:szCs w:val="20"/>
              </w:rPr>
              <w:t xml:space="preserve"> </w:t>
            </w:r>
            <w:proofErr w:type="gramStart"/>
            <w:r w:rsidRPr="003676DF">
              <w:rPr>
                <w:szCs w:val="20"/>
              </w:rPr>
              <w:t>GA)∙</w:t>
            </w:r>
            <w:proofErr w:type="gramEnd"/>
            <w:r w:rsidRPr="003676DF">
              <w:rPr>
                <w:szCs w:val="20"/>
              </w:rPr>
              <w:t>KI</w:t>
            </w:r>
          </w:p>
        </w:tc>
      </w:tr>
      <w:tr w:rsidRPr="003676DF" w:rsidR="00EC4C29" w:rsidTr="00995967" w14:paraId="53C40E8B" w14:textId="77777777">
        <w:trPr>
          <w:cantSplit/>
        </w:trPr>
        <w:tc>
          <w:tcPr>
            <w:tcW w:w="567" w:type="dxa"/>
            <w:tcBorders>
              <w:bottom w:val="single" w:color="auto" w:sz="2" w:space="0"/>
            </w:tcBorders>
            <w:tcMar>
              <w:left w:w="0" w:type="dxa"/>
            </w:tcMar>
          </w:tcPr>
          <w:p w:rsidRPr="003676DF" w:rsidR="00EC4C29" w:rsidP="0079559D" w:rsidRDefault="00EC4C29" w14:paraId="57574872" w14:textId="77777777">
            <w:pPr>
              <w:pStyle w:val="Tabell-Radrubrik"/>
              <w:rPr>
                <w:szCs w:val="20"/>
              </w:rPr>
            </w:pPr>
            <w:r w:rsidRPr="003676DF">
              <w:rPr>
                <w:szCs w:val="20"/>
              </w:rPr>
              <w:t>7,86</w:t>
            </w:r>
          </w:p>
        </w:tc>
        <w:tc>
          <w:tcPr>
            <w:tcW w:w="426" w:type="dxa"/>
            <w:tcBorders>
              <w:bottom w:val="single" w:color="auto" w:sz="2" w:space="0"/>
            </w:tcBorders>
          </w:tcPr>
          <w:p w:rsidRPr="003676DF" w:rsidR="00EC4C29" w:rsidP="00875423" w:rsidRDefault="00EC4C29" w14:paraId="4A8313CE" w14:textId="77777777">
            <w:pPr>
              <w:pStyle w:val="Tabell-Text"/>
              <w:rPr>
                <w:szCs w:val="20"/>
              </w:rPr>
            </w:pPr>
          </w:p>
        </w:tc>
        <w:tc>
          <w:tcPr>
            <w:tcW w:w="1166" w:type="dxa"/>
            <w:tcBorders>
              <w:bottom w:val="single" w:color="auto" w:sz="2" w:space="0"/>
            </w:tcBorders>
          </w:tcPr>
          <w:p w:rsidRPr="003676DF" w:rsidR="00EC4C29" w:rsidP="000B7566" w:rsidRDefault="00EC4C29" w14:paraId="219BB03C" w14:textId="77777777">
            <w:pPr>
              <w:pStyle w:val="Tabell-Text"/>
              <w:jc w:val="center"/>
              <w:rPr>
                <w:szCs w:val="20"/>
              </w:rPr>
            </w:pPr>
          </w:p>
        </w:tc>
        <w:tc>
          <w:tcPr>
            <w:tcW w:w="3454" w:type="dxa"/>
            <w:tcBorders>
              <w:bottom w:val="single" w:color="auto" w:sz="2" w:space="0"/>
            </w:tcBorders>
          </w:tcPr>
          <w:p w:rsidRPr="003676DF" w:rsidR="00EC4C29" w:rsidP="0079559D" w:rsidRDefault="00EC4C29" w14:paraId="6CC4C4F0" w14:textId="77777777">
            <w:pPr>
              <w:pStyle w:val="Tabell-Text"/>
              <w:rPr>
                <w:szCs w:val="20"/>
              </w:rPr>
            </w:pPr>
            <w:r w:rsidRPr="003676DF">
              <w:rPr>
                <w:szCs w:val="20"/>
              </w:rPr>
              <w:t xml:space="preserve">(3,027 – </w:t>
            </w:r>
            <w:proofErr w:type="gramStart"/>
            <w:r w:rsidRPr="003676DF">
              <w:rPr>
                <w:szCs w:val="20"/>
              </w:rPr>
              <w:t>GA)∙</w:t>
            </w:r>
            <w:proofErr w:type="gramEnd"/>
            <w:r w:rsidRPr="003676DF">
              <w:rPr>
                <w:szCs w:val="20"/>
              </w:rPr>
              <w:t>KI</w:t>
            </w:r>
          </w:p>
        </w:tc>
      </w:tr>
    </w:tbl>
    <w:p w:rsidRPr="000B7566" w:rsidR="00EC4C29" w:rsidP="000F7BA2" w:rsidRDefault="00EC4C29" w14:paraId="1E54A0BC" w14:textId="40CCE00E">
      <w:pPr>
        <w:pStyle w:val="Tabellrubrik"/>
        <w:spacing w:before="300"/>
      </w:pPr>
      <w:r w:rsidRPr="000B7566">
        <w:t>Tabell 2 Det förhöjda grundavdraget enligt Centerpartiets modell</w:t>
      </w:r>
    </w:p>
    <w:tbl>
      <w:tblPr>
        <w:tblStyle w:val="Tabellrutnt"/>
        <w:tblW w:w="7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574"/>
        <w:gridCol w:w="419"/>
        <w:gridCol w:w="850"/>
        <w:gridCol w:w="2764"/>
        <w:gridCol w:w="2764"/>
      </w:tblGrid>
      <w:tr w:rsidRPr="003676DF" w:rsidR="00EC4C29" w:rsidTr="00995967" w14:paraId="6CB17BFA" w14:textId="77777777">
        <w:trPr>
          <w:cantSplit/>
          <w:tblHeader/>
        </w:trPr>
        <w:tc>
          <w:tcPr>
            <w:tcW w:w="1843" w:type="dxa"/>
            <w:gridSpan w:val="3"/>
            <w:tcBorders>
              <w:top w:val="single" w:color="auto" w:sz="2" w:space="0"/>
              <w:bottom w:val="single" w:color="auto" w:sz="2" w:space="0"/>
            </w:tcBorders>
            <w:tcMar>
              <w:left w:w="0" w:type="dxa"/>
            </w:tcMar>
          </w:tcPr>
          <w:p w:rsidRPr="003676DF" w:rsidR="00EC4C29" w:rsidP="0079559D" w:rsidRDefault="00EC4C29" w14:paraId="3F1299DF" w14:textId="77777777">
            <w:pPr>
              <w:pStyle w:val="Tabell-Kolumnrubrik"/>
              <w:rPr>
                <w:szCs w:val="20"/>
              </w:rPr>
            </w:pPr>
            <w:r w:rsidRPr="003676DF">
              <w:rPr>
                <w:szCs w:val="20"/>
              </w:rPr>
              <w:t>Inkomstintervall i PBB</w:t>
            </w:r>
          </w:p>
        </w:tc>
        <w:tc>
          <w:tcPr>
            <w:tcW w:w="2764" w:type="dxa"/>
            <w:tcBorders>
              <w:top w:val="single" w:color="auto" w:sz="2" w:space="0"/>
              <w:bottom w:val="single" w:color="auto" w:sz="2" w:space="0"/>
            </w:tcBorders>
          </w:tcPr>
          <w:p w:rsidRPr="003676DF" w:rsidR="00EC4C29" w:rsidP="0079559D" w:rsidRDefault="00EC4C29" w14:paraId="47A5C4A5" w14:textId="77777777">
            <w:pPr>
              <w:pStyle w:val="Tabell-Kolumnrubrik"/>
              <w:rPr>
                <w:szCs w:val="20"/>
              </w:rPr>
            </w:pPr>
            <w:r w:rsidRPr="003676DF">
              <w:rPr>
                <w:szCs w:val="20"/>
              </w:rPr>
              <w:t>Tillägg till grundavdrag i PBB</w:t>
            </w:r>
          </w:p>
        </w:tc>
        <w:tc>
          <w:tcPr>
            <w:tcW w:w="2764" w:type="dxa"/>
            <w:tcBorders>
              <w:top w:val="single" w:color="auto" w:sz="2" w:space="0"/>
              <w:bottom w:val="single" w:color="auto" w:sz="2" w:space="0"/>
            </w:tcBorders>
          </w:tcPr>
          <w:p w:rsidRPr="003676DF" w:rsidR="00EC4C29" w:rsidP="0079559D" w:rsidRDefault="00EC4C29" w14:paraId="3D75D678" w14:textId="77777777">
            <w:pPr>
              <w:pStyle w:val="Tabell-Kolumnrubrik"/>
              <w:rPr>
                <w:szCs w:val="20"/>
              </w:rPr>
            </w:pPr>
            <w:r w:rsidRPr="003676DF">
              <w:rPr>
                <w:szCs w:val="20"/>
              </w:rPr>
              <w:t>Förhöjt grundavdrag i PBB</w:t>
            </w:r>
          </w:p>
        </w:tc>
      </w:tr>
      <w:tr w:rsidRPr="003676DF" w:rsidR="00EC4C29" w:rsidTr="00995967" w14:paraId="2B2DD550" w14:textId="77777777">
        <w:trPr>
          <w:cantSplit/>
        </w:trPr>
        <w:tc>
          <w:tcPr>
            <w:tcW w:w="574" w:type="dxa"/>
            <w:tcBorders>
              <w:top w:val="single" w:color="auto" w:sz="2" w:space="0"/>
            </w:tcBorders>
            <w:tcMar>
              <w:left w:w="0" w:type="dxa"/>
            </w:tcMar>
          </w:tcPr>
          <w:p w:rsidRPr="003676DF" w:rsidR="00EC4C29" w:rsidP="0079559D" w:rsidRDefault="00EC4C29" w14:paraId="6FEE2379" w14:textId="77777777">
            <w:pPr>
              <w:pStyle w:val="Tabell-Radrubrik"/>
              <w:rPr>
                <w:szCs w:val="20"/>
              </w:rPr>
            </w:pPr>
            <w:r w:rsidRPr="003676DF">
              <w:rPr>
                <w:szCs w:val="20"/>
              </w:rPr>
              <w:t>0</w:t>
            </w:r>
          </w:p>
        </w:tc>
        <w:tc>
          <w:tcPr>
            <w:tcW w:w="419" w:type="dxa"/>
            <w:tcBorders>
              <w:top w:val="single" w:color="auto" w:sz="2" w:space="0"/>
            </w:tcBorders>
          </w:tcPr>
          <w:p w:rsidRPr="003676DF" w:rsidR="00EC4C29" w:rsidP="00995967" w:rsidRDefault="009B1C81" w14:paraId="1DD3CA53" w14:textId="6EB7A0C8">
            <w:pPr>
              <w:pStyle w:val="Tabell-Text"/>
              <w:jc w:val="center"/>
              <w:rPr>
                <w:szCs w:val="20"/>
              </w:rPr>
            </w:pPr>
            <w:r>
              <w:rPr>
                <w:szCs w:val="20"/>
              </w:rPr>
              <w:t>–</w:t>
            </w:r>
          </w:p>
        </w:tc>
        <w:tc>
          <w:tcPr>
            <w:tcW w:w="850" w:type="dxa"/>
            <w:tcBorders>
              <w:top w:val="single" w:color="auto" w:sz="2" w:space="0"/>
            </w:tcBorders>
          </w:tcPr>
          <w:p w:rsidRPr="003676DF" w:rsidR="00EC4C29" w:rsidP="00995967" w:rsidRDefault="00EC4C29" w14:paraId="6105A53F" w14:textId="77777777">
            <w:pPr>
              <w:pStyle w:val="Tabell-Text"/>
              <w:rPr>
                <w:szCs w:val="20"/>
              </w:rPr>
            </w:pPr>
            <w:r w:rsidRPr="003676DF">
              <w:rPr>
                <w:szCs w:val="20"/>
              </w:rPr>
              <w:t xml:space="preserve">0,99      </w:t>
            </w:r>
          </w:p>
        </w:tc>
        <w:tc>
          <w:tcPr>
            <w:tcW w:w="2764" w:type="dxa"/>
            <w:tcBorders>
              <w:top w:val="single" w:color="auto" w:sz="2" w:space="0"/>
            </w:tcBorders>
          </w:tcPr>
          <w:p w:rsidRPr="003676DF" w:rsidR="00EC4C29" w:rsidP="0079559D" w:rsidRDefault="00995967" w14:paraId="30A14C96" w14:textId="076616F5">
            <w:pPr>
              <w:pStyle w:val="Tabell-Text"/>
              <w:rPr>
                <w:szCs w:val="20"/>
              </w:rPr>
            </w:pPr>
            <w:r>
              <w:rPr>
                <w:szCs w:val="20"/>
              </w:rPr>
              <w:t xml:space="preserve"> </w:t>
            </w:r>
            <w:r w:rsidRPr="003676DF" w:rsidR="00EC4C29">
              <w:rPr>
                <w:szCs w:val="20"/>
              </w:rPr>
              <w:t>0,687</w:t>
            </w:r>
          </w:p>
        </w:tc>
        <w:tc>
          <w:tcPr>
            <w:tcW w:w="2764" w:type="dxa"/>
            <w:tcBorders>
              <w:top w:val="single" w:color="auto" w:sz="2" w:space="0"/>
            </w:tcBorders>
          </w:tcPr>
          <w:p w:rsidRPr="003676DF" w:rsidR="00EC4C29" w:rsidP="0079559D" w:rsidRDefault="00EC4C29" w14:paraId="3703E325" w14:textId="77777777">
            <w:pPr>
              <w:pStyle w:val="Tabell-Text"/>
              <w:rPr>
                <w:szCs w:val="20"/>
              </w:rPr>
            </w:pPr>
            <w:r w:rsidRPr="003676DF">
              <w:rPr>
                <w:szCs w:val="20"/>
              </w:rPr>
              <w:t>0,990</w:t>
            </w:r>
          </w:p>
        </w:tc>
      </w:tr>
      <w:tr w:rsidRPr="003676DF" w:rsidR="00EC4C29" w:rsidTr="00995967" w14:paraId="41263CEA" w14:textId="77777777">
        <w:trPr>
          <w:cantSplit/>
        </w:trPr>
        <w:tc>
          <w:tcPr>
            <w:tcW w:w="574" w:type="dxa"/>
            <w:tcMar>
              <w:left w:w="0" w:type="dxa"/>
            </w:tcMar>
          </w:tcPr>
          <w:p w:rsidRPr="003676DF" w:rsidR="00EC4C29" w:rsidP="0079559D" w:rsidRDefault="00EC4C29" w14:paraId="185D33DC" w14:textId="77777777">
            <w:pPr>
              <w:pStyle w:val="Tabell-Radrubrik"/>
              <w:rPr>
                <w:szCs w:val="20"/>
              </w:rPr>
            </w:pPr>
            <w:r w:rsidRPr="003676DF">
              <w:rPr>
                <w:szCs w:val="20"/>
              </w:rPr>
              <w:t>0,99</w:t>
            </w:r>
          </w:p>
        </w:tc>
        <w:tc>
          <w:tcPr>
            <w:tcW w:w="419" w:type="dxa"/>
          </w:tcPr>
          <w:p w:rsidRPr="003676DF" w:rsidR="00EC4C29" w:rsidP="00995967" w:rsidRDefault="009B1C81" w14:paraId="4A9B3193" w14:textId="0C493A93">
            <w:pPr>
              <w:pStyle w:val="Tabell-Text"/>
              <w:jc w:val="center"/>
              <w:rPr>
                <w:szCs w:val="20"/>
              </w:rPr>
            </w:pPr>
            <w:r>
              <w:rPr>
                <w:szCs w:val="20"/>
              </w:rPr>
              <w:t>–</w:t>
            </w:r>
          </w:p>
        </w:tc>
        <w:tc>
          <w:tcPr>
            <w:tcW w:w="850" w:type="dxa"/>
          </w:tcPr>
          <w:p w:rsidRPr="003676DF" w:rsidR="00EC4C29" w:rsidP="00995967" w:rsidRDefault="00EC4C29" w14:paraId="3EC9A626" w14:textId="77777777">
            <w:pPr>
              <w:pStyle w:val="Tabell-Text"/>
              <w:rPr>
                <w:szCs w:val="20"/>
              </w:rPr>
            </w:pPr>
            <w:r w:rsidRPr="003676DF">
              <w:rPr>
                <w:szCs w:val="20"/>
              </w:rPr>
              <w:t>1,11</w:t>
            </w:r>
          </w:p>
        </w:tc>
        <w:tc>
          <w:tcPr>
            <w:tcW w:w="2764" w:type="dxa"/>
          </w:tcPr>
          <w:p w:rsidRPr="003676DF" w:rsidR="00EC4C29" w:rsidP="0079559D" w:rsidRDefault="00995967" w14:paraId="58F7E029" w14:textId="728B7357">
            <w:pPr>
              <w:pStyle w:val="Tabell-Text"/>
              <w:rPr>
                <w:szCs w:val="20"/>
              </w:rPr>
            </w:pPr>
            <w:r>
              <w:rPr>
                <w:szCs w:val="20"/>
              </w:rPr>
              <w:t xml:space="preserve"> </w:t>
            </w:r>
            <w:r w:rsidRPr="003676DF" w:rsidR="00EC4C29">
              <w:rPr>
                <w:szCs w:val="20"/>
              </w:rPr>
              <w:t xml:space="preserve">0,885     </w:t>
            </w:r>
            <w:r w:rsidR="00875423">
              <w:rPr>
                <w:szCs w:val="20"/>
              </w:rPr>
              <w:t xml:space="preserve"> </w:t>
            </w:r>
            <w:r w:rsidRPr="003676DF" w:rsidR="00EC4C29">
              <w:rPr>
                <w:szCs w:val="20"/>
              </w:rPr>
              <w:t>– 0,2∙FFI</w:t>
            </w:r>
          </w:p>
        </w:tc>
        <w:tc>
          <w:tcPr>
            <w:tcW w:w="2764" w:type="dxa"/>
          </w:tcPr>
          <w:p w:rsidRPr="003676DF" w:rsidR="00EC4C29" w:rsidP="0079559D" w:rsidRDefault="00EC4C29" w14:paraId="385F755D" w14:textId="77777777">
            <w:pPr>
              <w:pStyle w:val="Tabell-Text"/>
              <w:rPr>
                <w:szCs w:val="20"/>
              </w:rPr>
            </w:pPr>
            <w:r w:rsidRPr="003676DF">
              <w:rPr>
                <w:szCs w:val="20"/>
              </w:rPr>
              <w:t>1,110</w:t>
            </w:r>
          </w:p>
        </w:tc>
      </w:tr>
      <w:tr w:rsidRPr="003676DF" w:rsidR="00EC4C29" w:rsidTr="00995967" w14:paraId="75159602" w14:textId="77777777">
        <w:trPr>
          <w:cantSplit/>
        </w:trPr>
        <w:tc>
          <w:tcPr>
            <w:tcW w:w="574" w:type="dxa"/>
            <w:tcMar>
              <w:left w:w="0" w:type="dxa"/>
            </w:tcMar>
          </w:tcPr>
          <w:p w:rsidRPr="003676DF" w:rsidR="00EC4C29" w:rsidP="0079559D" w:rsidRDefault="00EC4C29" w14:paraId="72FBA576" w14:textId="77777777">
            <w:pPr>
              <w:pStyle w:val="Tabell-Radrubrik"/>
              <w:rPr>
                <w:szCs w:val="20"/>
              </w:rPr>
            </w:pPr>
            <w:r w:rsidRPr="003676DF">
              <w:rPr>
                <w:szCs w:val="20"/>
              </w:rPr>
              <w:t>1,11</w:t>
            </w:r>
          </w:p>
        </w:tc>
        <w:tc>
          <w:tcPr>
            <w:tcW w:w="419" w:type="dxa"/>
          </w:tcPr>
          <w:p w:rsidRPr="003676DF" w:rsidR="00EC4C29" w:rsidP="00995967" w:rsidRDefault="009B1C81" w14:paraId="3B079282" w14:textId="68FEC321">
            <w:pPr>
              <w:pStyle w:val="Tabell-Text"/>
              <w:jc w:val="center"/>
              <w:rPr>
                <w:szCs w:val="20"/>
              </w:rPr>
            </w:pPr>
            <w:r>
              <w:rPr>
                <w:szCs w:val="20"/>
              </w:rPr>
              <w:t>–</w:t>
            </w:r>
          </w:p>
        </w:tc>
        <w:tc>
          <w:tcPr>
            <w:tcW w:w="850" w:type="dxa"/>
          </w:tcPr>
          <w:p w:rsidRPr="003676DF" w:rsidR="00EC4C29" w:rsidP="00995967" w:rsidRDefault="00EC4C29" w14:paraId="2C8C5BC5" w14:textId="77777777">
            <w:pPr>
              <w:pStyle w:val="Tabell-Text"/>
              <w:rPr>
                <w:szCs w:val="20"/>
              </w:rPr>
            </w:pPr>
            <w:r w:rsidRPr="003676DF">
              <w:rPr>
                <w:szCs w:val="20"/>
              </w:rPr>
              <w:t>1,965</w:t>
            </w:r>
          </w:p>
        </w:tc>
        <w:tc>
          <w:tcPr>
            <w:tcW w:w="2764" w:type="dxa"/>
          </w:tcPr>
          <w:p w:rsidRPr="003676DF" w:rsidR="00EC4C29" w:rsidP="0079559D" w:rsidRDefault="00995967" w14:paraId="1FA9668A" w14:textId="6AD4D59A">
            <w:pPr>
              <w:pStyle w:val="Tabell-Text"/>
              <w:rPr>
                <w:szCs w:val="20"/>
              </w:rPr>
            </w:pPr>
            <w:r>
              <w:rPr>
                <w:szCs w:val="20"/>
              </w:rPr>
              <w:t xml:space="preserve"> </w:t>
            </w:r>
            <w:r w:rsidRPr="003676DF" w:rsidR="00EC4C29">
              <w:rPr>
                <w:szCs w:val="20"/>
              </w:rPr>
              <w:t xml:space="preserve">0,600     </w:t>
            </w:r>
            <w:r w:rsidR="00875423">
              <w:rPr>
                <w:szCs w:val="20"/>
              </w:rPr>
              <w:t xml:space="preserve"> </w:t>
            </w:r>
            <w:r w:rsidRPr="003676DF" w:rsidR="00EC4C29">
              <w:rPr>
                <w:szCs w:val="20"/>
              </w:rPr>
              <w:t>+ 0,057∙FFI</w:t>
            </w:r>
          </w:p>
        </w:tc>
        <w:tc>
          <w:tcPr>
            <w:tcW w:w="2764" w:type="dxa"/>
          </w:tcPr>
          <w:p w:rsidRPr="003676DF" w:rsidR="00EC4C29" w:rsidP="0079559D" w:rsidRDefault="00EC4C29" w14:paraId="40CF8B08" w14:textId="77777777">
            <w:pPr>
              <w:pStyle w:val="Tabell-Text"/>
              <w:rPr>
                <w:szCs w:val="20"/>
              </w:rPr>
            </w:pPr>
            <w:r w:rsidRPr="003676DF">
              <w:rPr>
                <w:szCs w:val="20"/>
              </w:rPr>
              <w:t>0,825   + 0,257∙FFI</w:t>
            </w:r>
          </w:p>
        </w:tc>
      </w:tr>
      <w:tr w:rsidRPr="003676DF" w:rsidR="00EC4C29" w:rsidTr="00995967" w14:paraId="4F6F8A6D" w14:textId="77777777">
        <w:trPr>
          <w:cantSplit/>
        </w:trPr>
        <w:tc>
          <w:tcPr>
            <w:tcW w:w="574" w:type="dxa"/>
            <w:tcMar>
              <w:left w:w="0" w:type="dxa"/>
            </w:tcMar>
          </w:tcPr>
          <w:p w:rsidRPr="003676DF" w:rsidR="00EC4C29" w:rsidP="0079559D" w:rsidRDefault="00EC4C29" w14:paraId="5828BE57" w14:textId="77777777">
            <w:pPr>
              <w:pStyle w:val="Tabell-Radrubrik"/>
              <w:rPr>
                <w:szCs w:val="20"/>
              </w:rPr>
            </w:pPr>
            <w:r w:rsidRPr="003676DF">
              <w:rPr>
                <w:szCs w:val="20"/>
              </w:rPr>
              <w:t>1,965</w:t>
            </w:r>
          </w:p>
        </w:tc>
        <w:tc>
          <w:tcPr>
            <w:tcW w:w="419" w:type="dxa"/>
          </w:tcPr>
          <w:p w:rsidRPr="003676DF" w:rsidR="00EC4C29" w:rsidP="00995967" w:rsidRDefault="009B1C81" w14:paraId="2E1AF3F0" w14:textId="43375A22">
            <w:pPr>
              <w:pStyle w:val="Tabell-Text"/>
              <w:jc w:val="center"/>
              <w:rPr>
                <w:szCs w:val="20"/>
              </w:rPr>
            </w:pPr>
            <w:r>
              <w:rPr>
                <w:szCs w:val="20"/>
              </w:rPr>
              <w:t>–</w:t>
            </w:r>
          </w:p>
        </w:tc>
        <w:tc>
          <w:tcPr>
            <w:tcW w:w="850" w:type="dxa"/>
          </w:tcPr>
          <w:p w:rsidRPr="003676DF" w:rsidR="00EC4C29" w:rsidP="00995967" w:rsidRDefault="00EC4C29" w14:paraId="5B0CF9FB" w14:textId="77777777">
            <w:pPr>
              <w:pStyle w:val="Tabell-Text"/>
              <w:rPr>
                <w:szCs w:val="20"/>
              </w:rPr>
            </w:pPr>
            <w:r w:rsidRPr="003676DF">
              <w:rPr>
                <w:szCs w:val="20"/>
              </w:rPr>
              <w:t>2,72</w:t>
            </w:r>
          </w:p>
        </w:tc>
        <w:tc>
          <w:tcPr>
            <w:tcW w:w="2764" w:type="dxa"/>
          </w:tcPr>
          <w:p w:rsidRPr="003676DF" w:rsidR="00EC4C29" w:rsidP="0079559D" w:rsidRDefault="00EC4C29" w14:paraId="1BDEEA14" w14:textId="3C23AB5A">
            <w:pPr>
              <w:pStyle w:val="Tabell-Text"/>
              <w:rPr>
                <w:szCs w:val="20"/>
              </w:rPr>
            </w:pPr>
            <w:r w:rsidRPr="003676DF">
              <w:rPr>
                <w:szCs w:val="20"/>
              </w:rPr>
              <w:t xml:space="preserve"> 0,333    </w:t>
            </w:r>
            <w:r w:rsidR="00875423">
              <w:rPr>
                <w:szCs w:val="20"/>
              </w:rPr>
              <w:t xml:space="preserve"> </w:t>
            </w:r>
            <w:r w:rsidRPr="003676DF">
              <w:rPr>
                <w:szCs w:val="20"/>
              </w:rPr>
              <w:t xml:space="preserve"> + 0,1949∙FFI</w:t>
            </w:r>
          </w:p>
        </w:tc>
        <w:tc>
          <w:tcPr>
            <w:tcW w:w="2764" w:type="dxa"/>
          </w:tcPr>
          <w:p w:rsidRPr="003676DF" w:rsidR="00EC4C29" w:rsidP="0079559D" w:rsidRDefault="00EC4C29" w14:paraId="51C6B737" w14:textId="77777777">
            <w:pPr>
              <w:pStyle w:val="Tabell-Text"/>
              <w:rPr>
                <w:szCs w:val="20"/>
              </w:rPr>
            </w:pPr>
            <w:r w:rsidRPr="003676DF">
              <w:rPr>
                <w:szCs w:val="20"/>
              </w:rPr>
              <w:t>0,558   + 0,3949∙FFI</w:t>
            </w:r>
          </w:p>
        </w:tc>
      </w:tr>
      <w:tr w:rsidRPr="003676DF" w:rsidR="00EC4C29" w:rsidTr="00995967" w14:paraId="5B0BCD66" w14:textId="77777777">
        <w:trPr>
          <w:cantSplit/>
        </w:trPr>
        <w:tc>
          <w:tcPr>
            <w:tcW w:w="574" w:type="dxa"/>
            <w:tcMar>
              <w:left w:w="0" w:type="dxa"/>
            </w:tcMar>
          </w:tcPr>
          <w:p w:rsidRPr="003676DF" w:rsidR="00EC4C29" w:rsidP="0079559D" w:rsidRDefault="00EC4C29" w14:paraId="051E6273" w14:textId="77777777">
            <w:pPr>
              <w:pStyle w:val="Tabell-Radrubrik"/>
              <w:rPr>
                <w:szCs w:val="20"/>
              </w:rPr>
            </w:pPr>
            <w:r w:rsidRPr="003676DF">
              <w:rPr>
                <w:szCs w:val="20"/>
              </w:rPr>
              <w:t>2,72</w:t>
            </w:r>
          </w:p>
        </w:tc>
        <w:tc>
          <w:tcPr>
            <w:tcW w:w="419" w:type="dxa"/>
          </w:tcPr>
          <w:p w:rsidRPr="003676DF" w:rsidR="00EC4C29" w:rsidP="00995967" w:rsidRDefault="009B1C81" w14:paraId="79B38A00" w14:textId="6D962B4A">
            <w:pPr>
              <w:pStyle w:val="Tabell-Text"/>
              <w:jc w:val="center"/>
              <w:rPr>
                <w:szCs w:val="20"/>
              </w:rPr>
            </w:pPr>
            <w:r>
              <w:rPr>
                <w:szCs w:val="20"/>
              </w:rPr>
              <w:t>–</w:t>
            </w:r>
          </w:p>
        </w:tc>
        <w:tc>
          <w:tcPr>
            <w:tcW w:w="850" w:type="dxa"/>
          </w:tcPr>
          <w:p w:rsidRPr="003676DF" w:rsidR="00EC4C29" w:rsidP="00995967" w:rsidRDefault="00EC4C29" w14:paraId="77C212FD" w14:textId="77777777">
            <w:pPr>
              <w:pStyle w:val="Tabell-Text"/>
              <w:rPr>
                <w:szCs w:val="20"/>
              </w:rPr>
            </w:pPr>
            <w:r w:rsidRPr="003676DF">
              <w:rPr>
                <w:szCs w:val="20"/>
              </w:rPr>
              <w:t>3,11</w:t>
            </w:r>
          </w:p>
        </w:tc>
        <w:tc>
          <w:tcPr>
            <w:tcW w:w="2764" w:type="dxa"/>
          </w:tcPr>
          <w:p w:rsidRPr="003676DF" w:rsidR="00EC4C29" w:rsidP="0079559D" w:rsidRDefault="00EC4C29" w14:paraId="6B5F70D0" w14:textId="7B3EB967">
            <w:pPr>
              <w:pStyle w:val="Tabell-Text"/>
              <w:rPr>
                <w:szCs w:val="20"/>
              </w:rPr>
            </w:pPr>
            <w:r w:rsidRPr="003676DF">
              <w:rPr>
                <w:szCs w:val="20"/>
              </w:rPr>
              <w:t xml:space="preserve"> </w:t>
            </w:r>
            <w:r w:rsidR="009B1C81">
              <w:rPr>
                <w:szCs w:val="20"/>
              </w:rPr>
              <w:t>–</w:t>
            </w:r>
            <w:r w:rsidRPr="003676DF">
              <w:rPr>
                <w:szCs w:val="20"/>
              </w:rPr>
              <w:t xml:space="preserve">0,212  </w:t>
            </w:r>
            <w:r w:rsidR="00875423">
              <w:rPr>
                <w:szCs w:val="20"/>
              </w:rPr>
              <w:t xml:space="preserve"> </w:t>
            </w:r>
            <w:r w:rsidRPr="003676DF">
              <w:rPr>
                <w:szCs w:val="20"/>
              </w:rPr>
              <w:t xml:space="preserve"> + 0,3949∙FFI</w:t>
            </w:r>
          </w:p>
        </w:tc>
        <w:tc>
          <w:tcPr>
            <w:tcW w:w="2764" w:type="dxa"/>
          </w:tcPr>
          <w:p w:rsidRPr="003676DF" w:rsidR="00EC4C29" w:rsidP="0079559D" w:rsidRDefault="00EC4C29" w14:paraId="4777D3F9" w14:textId="77777777">
            <w:pPr>
              <w:pStyle w:val="Tabell-Text"/>
              <w:rPr>
                <w:szCs w:val="20"/>
              </w:rPr>
            </w:pPr>
            <w:r w:rsidRPr="003676DF">
              <w:rPr>
                <w:szCs w:val="20"/>
              </w:rPr>
              <w:t>0,558   + 0,3949∙FFI</w:t>
            </w:r>
          </w:p>
        </w:tc>
      </w:tr>
      <w:tr w:rsidRPr="003676DF" w:rsidR="00EC4C29" w:rsidTr="00995967" w14:paraId="799980D6" w14:textId="77777777">
        <w:trPr>
          <w:cantSplit/>
        </w:trPr>
        <w:tc>
          <w:tcPr>
            <w:tcW w:w="574" w:type="dxa"/>
            <w:tcMar>
              <w:left w:w="0" w:type="dxa"/>
            </w:tcMar>
          </w:tcPr>
          <w:p w:rsidRPr="003676DF" w:rsidR="00EC4C29" w:rsidP="0079559D" w:rsidRDefault="00EC4C29" w14:paraId="6ED3A901" w14:textId="77777777">
            <w:pPr>
              <w:pStyle w:val="Tabell-Radrubrik"/>
              <w:rPr>
                <w:szCs w:val="20"/>
              </w:rPr>
            </w:pPr>
            <w:r w:rsidRPr="003676DF">
              <w:rPr>
                <w:szCs w:val="20"/>
              </w:rPr>
              <w:t>3,11</w:t>
            </w:r>
          </w:p>
        </w:tc>
        <w:tc>
          <w:tcPr>
            <w:tcW w:w="419" w:type="dxa"/>
          </w:tcPr>
          <w:p w:rsidRPr="003676DF" w:rsidR="00EC4C29" w:rsidP="00995967" w:rsidRDefault="009B1C81" w14:paraId="49077B3B" w14:textId="12FBB7C7">
            <w:pPr>
              <w:pStyle w:val="Tabell-Text"/>
              <w:jc w:val="center"/>
              <w:rPr>
                <w:szCs w:val="20"/>
              </w:rPr>
            </w:pPr>
            <w:r>
              <w:rPr>
                <w:szCs w:val="20"/>
              </w:rPr>
              <w:t>–</w:t>
            </w:r>
          </w:p>
        </w:tc>
        <w:tc>
          <w:tcPr>
            <w:tcW w:w="850" w:type="dxa"/>
          </w:tcPr>
          <w:p w:rsidRPr="003676DF" w:rsidR="00EC4C29" w:rsidP="00995967" w:rsidRDefault="00EC4C29" w14:paraId="3F0F679E" w14:textId="77777777">
            <w:pPr>
              <w:pStyle w:val="Tabell-Text"/>
              <w:rPr>
                <w:szCs w:val="20"/>
              </w:rPr>
            </w:pPr>
            <w:r w:rsidRPr="003676DF">
              <w:rPr>
                <w:szCs w:val="20"/>
              </w:rPr>
              <w:t>3,24</w:t>
            </w:r>
          </w:p>
        </w:tc>
        <w:tc>
          <w:tcPr>
            <w:tcW w:w="2764" w:type="dxa"/>
          </w:tcPr>
          <w:p w:rsidRPr="003676DF" w:rsidR="00EC4C29" w:rsidP="0079559D" w:rsidRDefault="00EC4C29" w14:paraId="4D06E26D" w14:textId="4676BD21">
            <w:pPr>
              <w:pStyle w:val="Tabell-Text"/>
              <w:rPr>
                <w:szCs w:val="20"/>
              </w:rPr>
            </w:pPr>
            <w:r w:rsidRPr="003676DF">
              <w:rPr>
                <w:szCs w:val="20"/>
              </w:rPr>
              <w:t xml:space="preserve"> </w:t>
            </w:r>
            <w:r w:rsidR="009B1C81">
              <w:rPr>
                <w:szCs w:val="20"/>
              </w:rPr>
              <w:t>–</w:t>
            </w:r>
            <w:r w:rsidRPr="003676DF">
              <w:rPr>
                <w:szCs w:val="20"/>
              </w:rPr>
              <w:t xml:space="preserve">0,523  </w:t>
            </w:r>
            <w:r w:rsidR="00875423">
              <w:rPr>
                <w:szCs w:val="20"/>
              </w:rPr>
              <w:t xml:space="preserve"> </w:t>
            </w:r>
            <w:r w:rsidRPr="003676DF">
              <w:rPr>
                <w:szCs w:val="20"/>
              </w:rPr>
              <w:t xml:space="preserve"> + 0,4949∙FFI</w:t>
            </w:r>
          </w:p>
        </w:tc>
        <w:tc>
          <w:tcPr>
            <w:tcW w:w="2764" w:type="dxa"/>
          </w:tcPr>
          <w:p w:rsidRPr="003676DF" w:rsidR="00EC4C29" w:rsidP="0079559D" w:rsidRDefault="00EC4C29" w14:paraId="1C295B1F" w14:textId="77777777">
            <w:pPr>
              <w:pStyle w:val="Tabell-Text"/>
              <w:rPr>
                <w:szCs w:val="20"/>
              </w:rPr>
            </w:pPr>
            <w:r w:rsidRPr="003676DF">
              <w:rPr>
                <w:szCs w:val="20"/>
              </w:rPr>
              <w:t>0,558   + 0,3949∙FFI</w:t>
            </w:r>
          </w:p>
        </w:tc>
      </w:tr>
      <w:tr w:rsidRPr="003676DF" w:rsidR="00EC4C29" w:rsidTr="00995967" w14:paraId="481104D1" w14:textId="77777777">
        <w:trPr>
          <w:cantSplit/>
        </w:trPr>
        <w:tc>
          <w:tcPr>
            <w:tcW w:w="574" w:type="dxa"/>
            <w:tcMar>
              <w:left w:w="0" w:type="dxa"/>
            </w:tcMar>
          </w:tcPr>
          <w:p w:rsidRPr="003676DF" w:rsidR="00EC4C29" w:rsidP="0079559D" w:rsidRDefault="00EC4C29" w14:paraId="10F08403" w14:textId="77777777">
            <w:pPr>
              <w:pStyle w:val="Tabell-Radrubrik"/>
              <w:rPr>
                <w:szCs w:val="20"/>
              </w:rPr>
            </w:pPr>
            <w:r w:rsidRPr="003676DF">
              <w:rPr>
                <w:szCs w:val="20"/>
              </w:rPr>
              <w:t>3,24</w:t>
            </w:r>
          </w:p>
        </w:tc>
        <w:tc>
          <w:tcPr>
            <w:tcW w:w="419" w:type="dxa"/>
          </w:tcPr>
          <w:p w:rsidRPr="003676DF" w:rsidR="00EC4C29" w:rsidP="00995967" w:rsidRDefault="009B1C81" w14:paraId="76051AB6" w14:textId="7D563B7B">
            <w:pPr>
              <w:pStyle w:val="Tabell-Text"/>
              <w:jc w:val="center"/>
              <w:rPr>
                <w:szCs w:val="20"/>
              </w:rPr>
            </w:pPr>
            <w:r>
              <w:rPr>
                <w:szCs w:val="20"/>
              </w:rPr>
              <w:t>–</w:t>
            </w:r>
          </w:p>
        </w:tc>
        <w:tc>
          <w:tcPr>
            <w:tcW w:w="850" w:type="dxa"/>
          </w:tcPr>
          <w:p w:rsidRPr="003676DF" w:rsidR="00EC4C29" w:rsidP="00995967" w:rsidRDefault="00EC4C29" w14:paraId="3CDEBE17" w14:textId="77777777">
            <w:pPr>
              <w:pStyle w:val="Tabell-Text"/>
              <w:rPr>
                <w:szCs w:val="20"/>
              </w:rPr>
            </w:pPr>
            <w:r w:rsidRPr="003676DF">
              <w:rPr>
                <w:szCs w:val="20"/>
              </w:rPr>
              <w:t>5,00</w:t>
            </w:r>
          </w:p>
        </w:tc>
        <w:tc>
          <w:tcPr>
            <w:tcW w:w="2764" w:type="dxa"/>
          </w:tcPr>
          <w:p w:rsidRPr="003676DF" w:rsidR="00EC4C29" w:rsidP="0079559D" w:rsidRDefault="00EC4C29" w14:paraId="482F4981" w14:textId="158E4EEC">
            <w:pPr>
              <w:pStyle w:val="Tabell-Text"/>
              <w:rPr>
                <w:szCs w:val="20"/>
              </w:rPr>
            </w:pPr>
            <w:r w:rsidRPr="003676DF">
              <w:rPr>
                <w:szCs w:val="20"/>
              </w:rPr>
              <w:t xml:space="preserve"> </w:t>
            </w:r>
            <w:r w:rsidR="009B1C81">
              <w:rPr>
                <w:szCs w:val="20"/>
              </w:rPr>
              <w:t>–</w:t>
            </w:r>
            <w:r w:rsidRPr="003676DF">
              <w:rPr>
                <w:szCs w:val="20"/>
              </w:rPr>
              <w:t xml:space="preserve">0,111  </w:t>
            </w:r>
            <w:r w:rsidR="00875423">
              <w:rPr>
                <w:szCs w:val="20"/>
              </w:rPr>
              <w:t xml:space="preserve"> </w:t>
            </w:r>
            <w:r w:rsidRPr="003676DF">
              <w:rPr>
                <w:szCs w:val="20"/>
              </w:rPr>
              <w:t xml:space="preserve"> + 0,3678∙FFI</w:t>
            </w:r>
          </w:p>
        </w:tc>
        <w:tc>
          <w:tcPr>
            <w:tcW w:w="2764" w:type="dxa"/>
          </w:tcPr>
          <w:p w:rsidRPr="003676DF" w:rsidR="00EC4C29" w:rsidP="0079559D" w:rsidRDefault="00EC4C29" w14:paraId="5923A8D6" w14:textId="77777777">
            <w:pPr>
              <w:pStyle w:val="Tabell-Text"/>
              <w:rPr>
                <w:szCs w:val="20"/>
              </w:rPr>
            </w:pPr>
            <w:r w:rsidRPr="003676DF">
              <w:rPr>
                <w:szCs w:val="20"/>
              </w:rPr>
              <w:t>0,9699 + 0,2678∙FFI</w:t>
            </w:r>
          </w:p>
        </w:tc>
      </w:tr>
      <w:tr w:rsidRPr="003676DF" w:rsidR="00EC4C29" w:rsidTr="00995967" w14:paraId="58718552" w14:textId="77777777">
        <w:trPr>
          <w:cantSplit/>
        </w:trPr>
        <w:tc>
          <w:tcPr>
            <w:tcW w:w="574" w:type="dxa"/>
            <w:tcMar>
              <w:left w:w="0" w:type="dxa"/>
            </w:tcMar>
          </w:tcPr>
          <w:p w:rsidRPr="003676DF" w:rsidR="00EC4C29" w:rsidP="0079559D" w:rsidRDefault="00EC4C29" w14:paraId="4FF28F0E" w14:textId="77777777">
            <w:pPr>
              <w:pStyle w:val="Tabell-Radrubrik"/>
              <w:rPr>
                <w:szCs w:val="20"/>
              </w:rPr>
            </w:pPr>
            <w:r w:rsidRPr="003676DF">
              <w:rPr>
                <w:szCs w:val="20"/>
              </w:rPr>
              <w:t>5,00</w:t>
            </w:r>
          </w:p>
        </w:tc>
        <w:tc>
          <w:tcPr>
            <w:tcW w:w="419" w:type="dxa"/>
          </w:tcPr>
          <w:p w:rsidRPr="003676DF" w:rsidR="00EC4C29" w:rsidP="00995967" w:rsidRDefault="009B1C81" w14:paraId="2766F0B7" w14:textId="592F34D0">
            <w:pPr>
              <w:pStyle w:val="Tabell-Text"/>
              <w:jc w:val="center"/>
              <w:rPr>
                <w:szCs w:val="20"/>
              </w:rPr>
            </w:pPr>
            <w:r>
              <w:rPr>
                <w:szCs w:val="20"/>
              </w:rPr>
              <w:t>–</w:t>
            </w:r>
          </w:p>
        </w:tc>
        <w:tc>
          <w:tcPr>
            <w:tcW w:w="850" w:type="dxa"/>
          </w:tcPr>
          <w:p w:rsidRPr="003676DF" w:rsidR="00EC4C29" w:rsidP="00995967" w:rsidRDefault="00EC4C29" w14:paraId="332D7426" w14:textId="77777777">
            <w:pPr>
              <w:pStyle w:val="Tabell-Text"/>
              <w:rPr>
                <w:szCs w:val="20"/>
              </w:rPr>
            </w:pPr>
            <w:r w:rsidRPr="003676DF">
              <w:rPr>
                <w:szCs w:val="20"/>
              </w:rPr>
              <w:t>7,86</w:t>
            </w:r>
          </w:p>
        </w:tc>
        <w:tc>
          <w:tcPr>
            <w:tcW w:w="2764" w:type="dxa"/>
          </w:tcPr>
          <w:p w:rsidRPr="003676DF" w:rsidR="00EC4C29" w:rsidP="0079559D" w:rsidRDefault="00EC4C29" w14:paraId="71CD9D35" w14:textId="4D9BA631">
            <w:pPr>
              <w:pStyle w:val="Tabell-Text"/>
              <w:rPr>
                <w:szCs w:val="20"/>
              </w:rPr>
            </w:pPr>
            <w:r w:rsidRPr="003676DF">
              <w:rPr>
                <w:szCs w:val="20"/>
              </w:rPr>
              <w:t xml:space="preserve"> </w:t>
            </w:r>
            <w:r w:rsidR="009B1C81">
              <w:rPr>
                <w:szCs w:val="20"/>
              </w:rPr>
              <w:t>–</w:t>
            </w:r>
            <w:r w:rsidRPr="003676DF">
              <w:rPr>
                <w:szCs w:val="20"/>
              </w:rPr>
              <w:t>0,</w:t>
            </w:r>
            <w:proofErr w:type="gramStart"/>
            <w:r w:rsidRPr="003676DF">
              <w:rPr>
                <w:szCs w:val="20"/>
              </w:rPr>
              <w:t>0245</w:t>
            </w:r>
            <w:r w:rsidR="00875423">
              <w:rPr>
                <w:szCs w:val="20"/>
              </w:rPr>
              <w:t xml:space="preserve"> </w:t>
            </w:r>
            <w:r w:rsidRPr="003676DF">
              <w:rPr>
                <w:szCs w:val="20"/>
              </w:rPr>
              <w:t xml:space="preserve"> +</w:t>
            </w:r>
            <w:proofErr w:type="gramEnd"/>
            <w:r w:rsidRPr="003676DF">
              <w:rPr>
                <w:szCs w:val="20"/>
              </w:rPr>
              <w:t xml:space="preserve"> 0,1544∙FFI</w:t>
            </w:r>
          </w:p>
        </w:tc>
        <w:tc>
          <w:tcPr>
            <w:tcW w:w="2764" w:type="dxa"/>
          </w:tcPr>
          <w:p w:rsidRPr="003676DF" w:rsidR="00EC4C29" w:rsidP="0079559D" w:rsidRDefault="00EC4C29" w14:paraId="7814FE6D" w14:textId="77777777">
            <w:pPr>
              <w:pStyle w:val="Tabell-Text"/>
              <w:rPr>
                <w:szCs w:val="20"/>
              </w:rPr>
            </w:pPr>
            <w:r w:rsidRPr="003676DF">
              <w:rPr>
                <w:szCs w:val="20"/>
              </w:rPr>
              <w:t>1,0565 + 0,25045∙FFI</w:t>
            </w:r>
          </w:p>
        </w:tc>
      </w:tr>
      <w:tr w:rsidRPr="003676DF" w:rsidR="00EC4C29" w:rsidTr="00995967" w14:paraId="7717E3D5" w14:textId="77777777">
        <w:trPr>
          <w:cantSplit/>
        </w:trPr>
        <w:tc>
          <w:tcPr>
            <w:tcW w:w="574" w:type="dxa"/>
            <w:tcMar>
              <w:left w:w="0" w:type="dxa"/>
            </w:tcMar>
          </w:tcPr>
          <w:p w:rsidRPr="003676DF" w:rsidR="00EC4C29" w:rsidP="0079559D" w:rsidRDefault="00EC4C29" w14:paraId="16148005" w14:textId="77777777">
            <w:pPr>
              <w:pStyle w:val="Tabell-Radrubrik"/>
              <w:rPr>
                <w:szCs w:val="20"/>
              </w:rPr>
            </w:pPr>
            <w:r w:rsidRPr="003676DF">
              <w:rPr>
                <w:szCs w:val="20"/>
              </w:rPr>
              <w:t>7,86</w:t>
            </w:r>
          </w:p>
        </w:tc>
        <w:tc>
          <w:tcPr>
            <w:tcW w:w="419" w:type="dxa"/>
          </w:tcPr>
          <w:p w:rsidRPr="003676DF" w:rsidR="00EC4C29" w:rsidP="00995967" w:rsidRDefault="009B1C81" w14:paraId="2B800281" w14:textId="16B704BE">
            <w:pPr>
              <w:pStyle w:val="Tabell-Text"/>
              <w:jc w:val="center"/>
              <w:rPr>
                <w:szCs w:val="20"/>
              </w:rPr>
            </w:pPr>
            <w:r>
              <w:rPr>
                <w:szCs w:val="20"/>
              </w:rPr>
              <w:t>–</w:t>
            </w:r>
          </w:p>
        </w:tc>
        <w:tc>
          <w:tcPr>
            <w:tcW w:w="850" w:type="dxa"/>
          </w:tcPr>
          <w:p w:rsidRPr="003676DF" w:rsidR="00EC4C29" w:rsidP="00995967" w:rsidRDefault="00EC4C29" w14:paraId="68ECDBAA" w14:textId="77777777">
            <w:pPr>
              <w:pStyle w:val="Tabell-Text"/>
              <w:rPr>
                <w:szCs w:val="20"/>
              </w:rPr>
            </w:pPr>
            <w:r w:rsidRPr="003676DF">
              <w:rPr>
                <w:szCs w:val="20"/>
              </w:rPr>
              <w:t>11,16</w:t>
            </w:r>
          </w:p>
        </w:tc>
        <w:tc>
          <w:tcPr>
            <w:tcW w:w="2764" w:type="dxa"/>
          </w:tcPr>
          <w:p w:rsidRPr="003676DF" w:rsidR="00EC4C29" w:rsidP="0079559D" w:rsidRDefault="00EC4C29" w14:paraId="61B3E990" w14:textId="251F95C2">
            <w:pPr>
              <w:pStyle w:val="Tabell-Text"/>
              <w:rPr>
                <w:szCs w:val="20"/>
              </w:rPr>
            </w:pPr>
            <w:r w:rsidRPr="003676DF">
              <w:rPr>
                <w:szCs w:val="20"/>
              </w:rPr>
              <w:t xml:space="preserve"> 2,736</w:t>
            </w:r>
          </w:p>
        </w:tc>
        <w:tc>
          <w:tcPr>
            <w:tcW w:w="2764" w:type="dxa"/>
          </w:tcPr>
          <w:p w:rsidRPr="003676DF" w:rsidR="00EC4C29" w:rsidP="0079559D" w:rsidRDefault="00EC4C29" w14:paraId="4E142D3A" w14:textId="77777777">
            <w:pPr>
              <w:pStyle w:val="Tabell-Text"/>
              <w:rPr>
                <w:szCs w:val="20"/>
              </w:rPr>
            </w:pPr>
            <w:r w:rsidRPr="003676DF">
              <w:rPr>
                <w:szCs w:val="20"/>
              </w:rPr>
              <w:t>3,025</w:t>
            </w:r>
          </w:p>
        </w:tc>
      </w:tr>
      <w:tr w:rsidRPr="003676DF" w:rsidR="00EC4C29" w:rsidTr="00995967" w14:paraId="55EEB137" w14:textId="77777777">
        <w:trPr>
          <w:cantSplit/>
        </w:trPr>
        <w:tc>
          <w:tcPr>
            <w:tcW w:w="574" w:type="dxa"/>
            <w:tcMar>
              <w:left w:w="0" w:type="dxa"/>
            </w:tcMar>
          </w:tcPr>
          <w:p w:rsidRPr="003676DF" w:rsidR="00EC4C29" w:rsidP="0079559D" w:rsidRDefault="00EC4C29" w14:paraId="6A8C5372" w14:textId="77777777">
            <w:pPr>
              <w:pStyle w:val="Tabell-Radrubrik"/>
              <w:rPr>
                <w:szCs w:val="20"/>
              </w:rPr>
            </w:pPr>
            <w:r w:rsidRPr="003676DF">
              <w:rPr>
                <w:szCs w:val="20"/>
              </w:rPr>
              <w:t>11,16</w:t>
            </w:r>
          </w:p>
        </w:tc>
        <w:tc>
          <w:tcPr>
            <w:tcW w:w="419" w:type="dxa"/>
          </w:tcPr>
          <w:p w:rsidRPr="003676DF" w:rsidR="00EC4C29" w:rsidP="00995967" w:rsidRDefault="009B1C81" w14:paraId="246A1A00" w14:textId="590E37AF">
            <w:pPr>
              <w:pStyle w:val="Tabell-Text"/>
              <w:jc w:val="center"/>
              <w:rPr>
                <w:szCs w:val="20"/>
              </w:rPr>
            </w:pPr>
            <w:r>
              <w:rPr>
                <w:szCs w:val="20"/>
              </w:rPr>
              <w:t>–</w:t>
            </w:r>
          </w:p>
        </w:tc>
        <w:tc>
          <w:tcPr>
            <w:tcW w:w="850" w:type="dxa"/>
          </w:tcPr>
          <w:p w:rsidRPr="003676DF" w:rsidR="00EC4C29" w:rsidP="00995967" w:rsidRDefault="00EC4C29" w14:paraId="157446D2" w14:textId="77777777">
            <w:pPr>
              <w:pStyle w:val="Tabell-Text"/>
              <w:rPr>
                <w:szCs w:val="20"/>
              </w:rPr>
            </w:pPr>
            <w:r w:rsidRPr="003676DF">
              <w:rPr>
                <w:szCs w:val="20"/>
              </w:rPr>
              <w:t>12,84</w:t>
            </w:r>
          </w:p>
        </w:tc>
        <w:tc>
          <w:tcPr>
            <w:tcW w:w="2764" w:type="dxa"/>
          </w:tcPr>
          <w:p w:rsidRPr="003676DF" w:rsidR="00EC4C29" w:rsidP="0079559D" w:rsidRDefault="00EC4C29" w14:paraId="28CDB172" w14:textId="5203A6CC">
            <w:pPr>
              <w:pStyle w:val="Tabell-Text"/>
              <w:rPr>
                <w:szCs w:val="20"/>
              </w:rPr>
            </w:pPr>
            <w:r w:rsidRPr="003676DF">
              <w:rPr>
                <w:szCs w:val="20"/>
              </w:rPr>
              <w:t xml:space="preserve"> 9,652   </w:t>
            </w:r>
            <w:r w:rsidR="00875423">
              <w:rPr>
                <w:szCs w:val="20"/>
              </w:rPr>
              <w:t xml:space="preserve"> </w:t>
            </w:r>
            <w:r w:rsidRPr="003676DF">
              <w:rPr>
                <w:szCs w:val="20"/>
              </w:rPr>
              <w:t xml:space="preserve"> – 0,62∙FFI</w:t>
            </w:r>
          </w:p>
        </w:tc>
        <w:tc>
          <w:tcPr>
            <w:tcW w:w="2764" w:type="dxa"/>
          </w:tcPr>
          <w:p w:rsidRPr="003676DF" w:rsidR="00EC4C29" w:rsidP="0079559D" w:rsidRDefault="00EC4C29" w14:paraId="761D1D01" w14:textId="77777777">
            <w:pPr>
              <w:pStyle w:val="Tabell-Text"/>
              <w:rPr>
                <w:szCs w:val="20"/>
              </w:rPr>
            </w:pPr>
            <w:r w:rsidRPr="003676DF">
              <w:rPr>
                <w:szCs w:val="20"/>
              </w:rPr>
              <w:t>9,945   – 0,62∙FFI</w:t>
            </w:r>
          </w:p>
        </w:tc>
      </w:tr>
      <w:tr w:rsidRPr="003676DF" w:rsidR="00EC4C29" w:rsidTr="00995967" w14:paraId="1D4BC3B6" w14:textId="77777777">
        <w:trPr>
          <w:cantSplit/>
        </w:trPr>
        <w:tc>
          <w:tcPr>
            <w:tcW w:w="574" w:type="dxa"/>
            <w:tcBorders>
              <w:bottom w:val="single" w:color="auto" w:sz="2" w:space="0"/>
            </w:tcBorders>
            <w:tcMar>
              <w:left w:w="0" w:type="dxa"/>
            </w:tcMar>
          </w:tcPr>
          <w:p w:rsidRPr="003676DF" w:rsidR="00EC4C29" w:rsidP="0079559D" w:rsidRDefault="00EC4C29" w14:paraId="41115C94" w14:textId="77777777">
            <w:pPr>
              <w:pStyle w:val="Tabell-Radrubrik"/>
              <w:rPr>
                <w:szCs w:val="20"/>
              </w:rPr>
            </w:pPr>
            <w:r w:rsidRPr="003676DF">
              <w:rPr>
                <w:szCs w:val="20"/>
              </w:rPr>
              <w:t>12,84</w:t>
            </w:r>
          </w:p>
        </w:tc>
        <w:tc>
          <w:tcPr>
            <w:tcW w:w="419" w:type="dxa"/>
            <w:tcBorders>
              <w:bottom w:val="single" w:color="auto" w:sz="2" w:space="0"/>
            </w:tcBorders>
          </w:tcPr>
          <w:p w:rsidRPr="003676DF" w:rsidR="00EC4C29" w:rsidP="00995967" w:rsidRDefault="009B1C81" w14:paraId="52196C30" w14:textId="26486A8B">
            <w:pPr>
              <w:pStyle w:val="Tabell-Text"/>
              <w:jc w:val="center"/>
              <w:rPr>
                <w:szCs w:val="20"/>
              </w:rPr>
            </w:pPr>
            <w:r>
              <w:rPr>
                <w:szCs w:val="20"/>
              </w:rPr>
              <w:t>–</w:t>
            </w:r>
          </w:p>
        </w:tc>
        <w:tc>
          <w:tcPr>
            <w:tcW w:w="850" w:type="dxa"/>
            <w:tcBorders>
              <w:bottom w:val="single" w:color="auto" w:sz="2" w:space="0"/>
            </w:tcBorders>
          </w:tcPr>
          <w:p w:rsidRPr="003676DF" w:rsidR="00EC4C29" w:rsidP="00995967" w:rsidRDefault="00EC4C29" w14:paraId="34583FC9" w14:textId="77777777">
            <w:pPr>
              <w:pStyle w:val="Tabell-Text"/>
              <w:rPr>
                <w:szCs w:val="20"/>
              </w:rPr>
            </w:pPr>
          </w:p>
        </w:tc>
        <w:tc>
          <w:tcPr>
            <w:tcW w:w="2764" w:type="dxa"/>
            <w:tcBorders>
              <w:bottom w:val="single" w:color="auto" w:sz="2" w:space="0"/>
            </w:tcBorders>
          </w:tcPr>
          <w:p w:rsidRPr="003676DF" w:rsidR="00EC4C29" w:rsidP="0079559D" w:rsidRDefault="00EC4C29" w14:paraId="3893CD66" w14:textId="5F2CEF74">
            <w:pPr>
              <w:pStyle w:val="Tabell-Text"/>
              <w:rPr>
                <w:szCs w:val="20"/>
              </w:rPr>
            </w:pPr>
            <w:r w:rsidRPr="003676DF">
              <w:rPr>
                <w:szCs w:val="20"/>
              </w:rPr>
              <w:t xml:space="preserve"> 1,691</w:t>
            </w:r>
          </w:p>
        </w:tc>
        <w:tc>
          <w:tcPr>
            <w:tcW w:w="2764" w:type="dxa"/>
            <w:tcBorders>
              <w:bottom w:val="single" w:color="auto" w:sz="2" w:space="0"/>
            </w:tcBorders>
          </w:tcPr>
          <w:p w:rsidRPr="003676DF" w:rsidR="00EC4C29" w:rsidP="0079559D" w:rsidRDefault="00EC4C29" w14:paraId="193B918E" w14:textId="77777777">
            <w:pPr>
              <w:pStyle w:val="Tabell-Text"/>
              <w:rPr>
                <w:szCs w:val="20"/>
              </w:rPr>
            </w:pPr>
            <w:r w:rsidRPr="003676DF">
              <w:rPr>
                <w:szCs w:val="20"/>
              </w:rPr>
              <w:t>1,984</w:t>
            </w:r>
          </w:p>
        </w:tc>
      </w:tr>
    </w:tbl>
    <w:sdt>
      <w:sdtPr>
        <w:rPr>
          <w:i/>
          <w:noProof/>
        </w:rPr>
        <w:alias w:val="CC_Underskrifter"/>
        <w:tag w:val="CC_Underskrifter"/>
        <w:id w:val="583496634"/>
        <w:lock w:val="sdtContentLocked"/>
        <w:placeholder>
          <w:docPart w:val="DA16B90CF672439E81E787D57E979A02"/>
        </w:placeholder>
      </w:sdtPr>
      <w:sdtEndPr/>
      <w:sdtContent>
        <w:p w:rsidR="003676DF" w:rsidP="003676DF" w:rsidRDefault="003676DF" w14:paraId="25CCCD64" w14:textId="77777777"/>
        <w:p w:rsidR="003676DF" w:rsidP="003676DF" w:rsidRDefault="000F7BA2" w14:paraId="4724AC44" w14:textId="151A3070"/>
      </w:sdtContent>
    </w:sdt>
    <w:tbl>
      <w:tblPr>
        <w:tblW w:w="5000" w:type="pct"/>
        <w:tblLook w:val="04A0" w:firstRow="1" w:lastRow="0" w:firstColumn="1" w:lastColumn="0" w:noHBand="0" w:noVBand="1"/>
        <w:tblCaption w:val="underskrifter"/>
      </w:tblPr>
      <w:tblGrid>
        <w:gridCol w:w="4252"/>
        <w:gridCol w:w="4252"/>
      </w:tblGrid>
      <w:tr w:rsidR="009E38DE" w14:paraId="25E10CD4" w14:textId="77777777">
        <w:trPr>
          <w:cantSplit/>
        </w:trPr>
        <w:tc>
          <w:tcPr>
            <w:tcW w:w="50" w:type="pct"/>
            <w:vAlign w:val="bottom"/>
          </w:tcPr>
          <w:p w:rsidR="009E38DE" w:rsidRDefault="009B1C81" w14:paraId="0C3F8425" w14:textId="77777777">
            <w:pPr>
              <w:pStyle w:val="Underskrifter"/>
              <w:spacing w:after="0"/>
            </w:pPr>
            <w:r>
              <w:t>Martin Ådahl (C)</w:t>
            </w:r>
          </w:p>
        </w:tc>
        <w:tc>
          <w:tcPr>
            <w:tcW w:w="50" w:type="pct"/>
            <w:vAlign w:val="bottom"/>
          </w:tcPr>
          <w:p w:rsidR="009E38DE" w:rsidRDefault="009E38DE" w14:paraId="7BBD3D2E" w14:textId="77777777">
            <w:pPr>
              <w:pStyle w:val="Underskrifter"/>
              <w:spacing w:after="0"/>
            </w:pPr>
          </w:p>
        </w:tc>
      </w:tr>
      <w:bookmarkEnd w:id="2"/>
    </w:tbl>
    <w:p w:rsidRPr="008E0FE2" w:rsidR="004801AC" w:rsidP="00DF3554" w:rsidRDefault="004801AC" w14:paraId="586CF1AD" w14:textId="64F178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D312" w14:textId="77777777" w:rsidR="006D69E4" w:rsidRDefault="006D69E4" w:rsidP="000C1CAD">
      <w:pPr>
        <w:spacing w:line="240" w:lineRule="auto"/>
      </w:pPr>
      <w:r>
        <w:separator/>
      </w:r>
    </w:p>
  </w:endnote>
  <w:endnote w:type="continuationSeparator" w:id="0">
    <w:p w14:paraId="0403496E" w14:textId="77777777" w:rsidR="006D69E4" w:rsidRDefault="006D6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B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E1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652D" w14:textId="0492F0C9" w:rsidR="00262EA3" w:rsidRPr="003676DF" w:rsidRDefault="00262EA3" w:rsidP="00367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02D4" w14:textId="77777777" w:rsidR="006D69E4" w:rsidRDefault="006D69E4" w:rsidP="000C1CAD">
      <w:pPr>
        <w:spacing w:line="240" w:lineRule="auto"/>
      </w:pPr>
      <w:r>
        <w:separator/>
      </w:r>
    </w:p>
  </w:footnote>
  <w:footnote w:type="continuationSeparator" w:id="0">
    <w:p w14:paraId="35C457D0" w14:textId="77777777" w:rsidR="006D69E4" w:rsidRDefault="006D69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92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FF875C" wp14:editId="4BF88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3265BE" w14:textId="496658DC" w:rsidR="00262EA3" w:rsidRDefault="000F7BA2" w:rsidP="008103B5">
                          <w:pPr>
                            <w:jc w:val="right"/>
                          </w:pPr>
                          <w:sdt>
                            <w:sdtPr>
                              <w:alias w:val="CC_Noformat_Partikod"/>
                              <w:tag w:val="CC_Noformat_Partikod"/>
                              <w:id w:val="-53464382"/>
                              <w:placeholder>
                                <w:docPart w:val="047F11D63CDC48D7849D632E7E072310"/>
                              </w:placeholder>
                              <w:text/>
                            </w:sdtPr>
                            <w:sdtEndPr/>
                            <w:sdtContent>
                              <w:r w:rsidR="00327512">
                                <w:t>C</w:t>
                              </w:r>
                            </w:sdtContent>
                          </w:sdt>
                          <w:sdt>
                            <w:sdtPr>
                              <w:alias w:val="CC_Noformat_Partinummer"/>
                              <w:tag w:val="CC_Noformat_Partinummer"/>
                              <w:id w:val="-1709555926"/>
                              <w:placeholder>
                                <w:docPart w:val="AB2143F80E9C484BB6CDCC6BD8A449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F87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3265BE" w14:textId="496658DC" w:rsidR="00262EA3" w:rsidRDefault="000F7BA2" w:rsidP="008103B5">
                    <w:pPr>
                      <w:jc w:val="right"/>
                    </w:pPr>
                    <w:sdt>
                      <w:sdtPr>
                        <w:alias w:val="CC_Noformat_Partikod"/>
                        <w:tag w:val="CC_Noformat_Partikod"/>
                        <w:id w:val="-53464382"/>
                        <w:placeholder>
                          <w:docPart w:val="047F11D63CDC48D7849D632E7E072310"/>
                        </w:placeholder>
                        <w:text/>
                      </w:sdtPr>
                      <w:sdtEndPr/>
                      <w:sdtContent>
                        <w:r w:rsidR="00327512">
                          <w:t>C</w:t>
                        </w:r>
                      </w:sdtContent>
                    </w:sdt>
                    <w:sdt>
                      <w:sdtPr>
                        <w:alias w:val="CC_Noformat_Partinummer"/>
                        <w:tag w:val="CC_Noformat_Partinummer"/>
                        <w:id w:val="-1709555926"/>
                        <w:placeholder>
                          <w:docPart w:val="AB2143F80E9C484BB6CDCC6BD8A449B1"/>
                        </w:placeholder>
                        <w:showingPlcHdr/>
                        <w:text/>
                      </w:sdtPr>
                      <w:sdtEndPr/>
                      <w:sdtContent>
                        <w:r w:rsidR="00262EA3">
                          <w:t xml:space="preserve"> </w:t>
                        </w:r>
                      </w:sdtContent>
                    </w:sdt>
                  </w:p>
                </w:txbxContent>
              </v:textbox>
              <w10:wrap anchorx="page"/>
            </v:shape>
          </w:pict>
        </mc:Fallback>
      </mc:AlternateContent>
    </w:r>
  </w:p>
  <w:p w14:paraId="4343B5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C256" w14:textId="77777777" w:rsidR="00262EA3" w:rsidRDefault="00262EA3" w:rsidP="008563AC">
    <w:pPr>
      <w:jc w:val="right"/>
    </w:pPr>
  </w:p>
  <w:p w14:paraId="2BBA28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2645756"/>
  <w:bookmarkStart w:id="7" w:name="_Hlk212645757"/>
  <w:p w14:paraId="3E45DBF3" w14:textId="77777777" w:rsidR="00262EA3" w:rsidRDefault="000F7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8AC855" wp14:editId="7C341C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3D5BE" w14:textId="5F52CE9B" w:rsidR="00262EA3" w:rsidRDefault="000F7BA2" w:rsidP="00A314CF">
    <w:pPr>
      <w:pStyle w:val="FSHNormal"/>
      <w:spacing w:before="40"/>
    </w:pPr>
    <w:sdt>
      <w:sdtPr>
        <w:alias w:val="CC_Noformat_Motionstyp"/>
        <w:tag w:val="CC_Noformat_Motionstyp"/>
        <w:id w:val="1162973129"/>
        <w:lock w:val="sdtContentLocked"/>
        <w15:appearance w15:val="hidden"/>
        <w:text/>
      </w:sdtPr>
      <w:sdtEndPr/>
      <w:sdtContent>
        <w:r w:rsidR="003676DF">
          <w:t>Kommittémotion</w:t>
        </w:r>
      </w:sdtContent>
    </w:sdt>
    <w:r w:rsidR="00821B36">
      <w:t xml:space="preserve"> </w:t>
    </w:r>
    <w:sdt>
      <w:sdtPr>
        <w:alias w:val="CC_Noformat_Partikod"/>
        <w:tag w:val="CC_Noformat_Partikod"/>
        <w:id w:val="1471015553"/>
        <w:lock w:val="contentLocked"/>
        <w:text/>
      </w:sdtPr>
      <w:sdtEndPr/>
      <w:sdtContent>
        <w:r w:rsidR="00327512">
          <w:t>C</w:t>
        </w:r>
      </w:sdtContent>
    </w:sdt>
    <w:sdt>
      <w:sdtPr>
        <w:alias w:val="CC_Noformat_Partinummer"/>
        <w:tag w:val="CC_Noformat_Partinummer"/>
        <w:id w:val="-2014525982"/>
        <w:lock w:val="contentLocked"/>
        <w:showingPlcHdr/>
        <w:text/>
      </w:sdtPr>
      <w:sdtEndPr/>
      <w:sdtContent>
        <w:r w:rsidR="00821B36">
          <w:t xml:space="preserve"> </w:t>
        </w:r>
      </w:sdtContent>
    </w:sdt>
  </w:p>
  <w:p w14:paraId="28FB930C" w14:textId="77777777" w:rsidR="00262EA3" w:rsidRPr="008227B3" w:rsidRDefault="000F7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4EF9A" w14:textId="7AC3E515" w:rsidR="00262EA3" w:rsidRPr="008227B3" w:rsidRDefault="000F7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6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6DF">
          <w:t>:3837</w:t>
        </w:r>
      </w:sdtContent>
    </w:sdt>
  </w:p>
  <w:p w14:paraId="2DA8C249" w14:textId="3728F15E" w:rsidR="00262EA3" w:rsidRDefault="000F7BA2" w:rsidP="00E03A3D">
    <w:pPr>
      <w:pStyle w:val="Motionr"/>
    </w:pPr>
    <w:sdt>
      <w:sdtPr>
        <w:alias w:val="CC_Noformat_Avtext"/>
        <w:tag w:val="CC_Noformat_Avtext"/>
        <w:id w:val="-2020768203"/>
        <w:lock w:val="sdtContentLocked"/>
        <w:placeholder>
          <w:docPart w:val="047F11D63CDC48D7849D632E7E072310"/>
        </w:placeholder>
        <w15:appearance w15:val="hidden"/>
        <w:text/>
      </w:sdtPr>
      <w:sdtEndPr/>
      <w:sdtContent>
        <w:r w:rsidR="003676DF">
          <w:t>av Martin Ådahl (C)</w:t>
        </w:r>
      </w:sdtContent>
    </w:sdt>
  </w:p>
  <w:sdt>
    <w:sdtPr>
      <w:alias w:val="CC_Noformat_Rubtext"/>
      <w:tag w:val="CC_Noformat_Rubtext"/>
      <w:id w:val="-218060500"/>
      <w:lock w:val="sdtLocked"/>
      <w:placeholder>
        <w:docPart w:val="AB2143F80E9C484BB6CDCC6BD8A449B1"/>
      </w:placeholder>
      <w:text/>
    </w:sdtPr>
    <w:sdtEndPr/>
    <w:sdtContent>
      <w:p w14:paraId="3E322E1B" w14:textId="430847D0" w:rsidR="00262EA3" w:rsidRDefault="00327512" w:rsidP="00283E0F">
        <w:pPr>
          <w:pStyle w:val="FSHRub2"/>
        </w:pPr>
        <w:r>
          <w:t>med anledning av prop. 2025/26:32 Sänkt skatt på arbetsinkomster, pension och sjuk- och aktivitetsersättning</w:t>
        </w:r>
      </w:p>
    </w:sdtContent>
  </w:sdt>
  <w:sdt>
    <w:sdtPr>
      <w:alias w:val="CC_Boilerplate_3"/>
      <w:tag w:val="CC_Boilerplate_3"/>
      <w:id w:val="1606463544"/>
      <w:lock w:val="sdtContentLocked"/>
      <w15:appearance w15:val="hidden"/>
      <w:text w:multiLine="1"/>
    </w:sdtPr>
    <w:sdtEndPr/>
    <w:sdtContent>
      <w:p w14:paraId="261F958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0561B"/>
    <w:multiLevelType w:val="hybridMultilevel"/>
    <w:tmpl w:val="5CEE8B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75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6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A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0D"/>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32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6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30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5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80"/>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D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16"/>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E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5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B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9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E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8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42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9B3"/>
    <w:rsid w:val="008D3AFD"/>
    <w:rsid w:val="008D3BE8"/>
    <w:rsid w:val="008D3F72"/>
    <w:rsid w:val="008D4102"/>
    <w:rsid w:val="008D46A6"/>
    <w:rsid w:val="008D48C2"/>
    <w:rsid w:val="008D559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58"/>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2A"/>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67"/>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8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D4"/>
    <w:rsid w:val="009E153C"/>
    <w:rsid w:val="009E1CD9"/>
    <w:rsid w:val="009E1FFC"/>
    <w:rsid w:val="009E34DE"/>
    <w:rsid w:val="009E3572"/>
    <w:rsid w:val="009E38DA"/>
    <w:rsid w:val="009E38DE"/>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31"/>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A6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4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4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2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BDC3C"/>
  <w15:chartTrackingRefBased/>
  <w15:docId w15:val="{9F1A6FAE-AD3F-4108-B96E-B441CD26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abell-Kolumnrubrik">
    <w:name w:val="Tabell - Kolumnrubrik"/>
    <w:basedOn w:val="Normal"/>
    <w:uiPriority w:val="29"/>
    <w:unhideWhenUsed/>
    <w:qFormat/>
    <w:rsid w:val="00EC4C29"/>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EC4C29"/>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EC4C29"/>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C20517C3149A5BEDB6675861FAC1C"/>
        <w:category>
          <w:name w:val="Allmänt"/>
          <w:gallery w:val="placeholder"/>
        </w:category>
        <w:types>
          <w:type w:val="bbPlcHdr"/>
        </w:types>
        <w:behaviors>
          <w:behavior w:val="content"/>
        </w:behaviors>
        <w:guid w:val="{9794A8E1-22FC-4C8F-B25F-76C2562073D4}"/>
      </w:docPartPr>
      <w:docPartBody>
        <w:p w:rsidR="00AA1531" w:rsidRDefault="00842015">
          <w:pPr>
            <w:pStyle w:val="7C2C20517C3149A5BEDB6675861FAC1C"/>
          </w:pPr>
          <w:r w:rsidRPr="005A0A93">
            <w:rPr>
              <w:rStyle w:val="Platshllartext"/>
            </w:rPr>
            <w:t>Förslag till riksdagsbeslut</w:t>
          </w:r>
        </w:p>
      </w:docPartBody>
    </w:docPart>
    <w:docPart>
      <w:docPartPr>
        <w:name w:val="FBDAE124A8044EDAB1C3112EC16947DA"/>
        <w:category>
          <w:name w:val="Allmänt"/>
          <w:gallery w:val="placeholder"/>
        </w:category>
        <w:types>
          <w:type w:val="bbPlcHdr"/>
        </w:types>
        <w:behaviors>
          <w:behavior w:val="content"/>
        </w:behaviors>
        <w:guid w:val="{58465AB9-0ACD-4242-8F0D-E3BCBFE2CDCC}"/>
      </w:docPartPr>
      <w:docPartBody>
        <w:p w:rsidR="00AA1531" w:rsidRDefault="00842015">
          <w:pPr>
            <w:pStyle w:val="FBDAE124A8044EDAB1C3112EC16947DA"/>
          </w:pPr>
          <w:r w:rsidRPr="005A0A93">
            <w:rPr>
              <w:rStyle w:val="Platshllartext"/>
            </w:rPr>
            <w:t>Motivering</w:t>
          </w:r>
        </w:p>
      </w:docPartBody>
    </w:docPart>
    <w:docPart>
      <w:docPartPr>
        <w:name w:val="047F11D63CDC48D7849D632E7E072310"/>
        <w:category>
          <w:name w:val="Allmänt"/>
          <w:gallery w:val="placeholder"/>
        </w:category>
        <w:types>
          <w:type w:val="bbPlcHdr"/>
        </w:types>
        <w:behaviors>
          <w:behavior w:val="content"/>
        </w:behaviors>
        <w:guid w:val="{B39F6F82-A8A3-4855-968E-20DB4107993E}"/>
      </w:docPartPr>
      <w:docPartBody>
        <w:p w:rsidR="00AA1531" w:rsidRDefault="00842015">
          <w:pPr>
            <w:pStyle w:val="047F11D63CDC48D7849D632E7E072310"/>
          </w:pPr>
          <w:r>
            <w:rPr>
              <w:rStyle w:val="Platshllartext"/>
            </w:rPr>
            <w:t xml:space="preserve"> </w:t>
          </w:r>
        </w:p>
      </w:docPartBody>
    </w:docPart>
    <w:docPart>
      <w:docPartPr>
        <w:name w:val="AB2143F80E9C484BB6CDCC6BD8A449B1"/>
        <w:category>
          <w:name w:val="Allmänt"/>
          <w:gallery w:val="placeholder"/>
        </w:category>
        <w:types>
          <w:type w:val="bbPlcHdr"/>
        </w:types>
        <w:behaviors>
          <w:behavior w:val="content"/>
        </w:behaviors>
        <w:guid w:val="{5F6E17CC-148E-4872-8A5D-D3B24AAA4B70}"/>
      </w:docPartPr>
      <w:docPartBody>
        <w:p w:rsidR="00AA1531" w:rsidRDefault="00842015">
          <w:pPr>
            <w:pStyle w:val="AB2143F80E9C484BB6CDCC6BD8A449B1"/>
          </w:pPr>
          <w:r>
            <w:t xml:space="preserve"> </w:t>
          </w:r>
        </w:p>
      </w:docPartBody>
    </w:docPart>
    <w:docPart>
      <w:docPartPr>
        <w:name w:val="DA16B90CF672439E81E787D57E979A02"/>
        <w:category>
          <w:name w:val="Allmänt"/>
          <w:gallery w:val="placeholder"/>
        </w:category>
        <w:types>
          <w:type w:val="bbPlcHdr"/>
        </w:types>
        <w:behaviors>
          <w:behavior w:val="content"/>
        </w:behaviors>
        <w:guid w:val="{91C0A4F2-8516-48FD-89CC-B1986657B247}"/>
      </w:docPartPr>
      <w:docPartBody>
        <w:p w:rsidR="0016293A" w:rsidRDefault="00162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15"/>
    <w:rsid w:val="00041E8B"/>
    <w:rsid w:val="0016293A"/>
    <w:rsid w:val="00400397"/>
    <w:rsid w:val="006E13FC"/>
    <w:rsid w:val="00842015"/>
    <w:rsid w:val="008C2493"/>
    <w:rsid w:val="009B5FCC"/>
    <w:rsid w:val="00AA1531"/>
    <w:rsid w:val="00DC65BC"/>
    <w:rsid w:val="00E760D8"/>
    <w:rsid w:val="00FB6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685C"/>
    <w:rPr>
      <w:color w:val="F4B083" w:themeColor="accent2" w:themeTint="99"/>
    </w:rPr>
  </w:style>
  <w:style w:type="paragraph" w:customStyle="1" w:styleId="7C2C20517C3149A5BEDB6675861FAC1C">
    <w:name w:val="7C2C20517C3149A5BEDB6675861FAC1C"/>
  </w:style>
  <w:style w:type="paragraph" w:customStyle="1" w:styleId="FBDAE124A8044EDAB1C3112EC16947DA">
    <w:name w:val="FBDAE124A8044EDAB1C3112EC16947DA"/>
  </w:style>
  <w:style w:type="paragraph" w:customStyle="1" w:styleId="047F11D63CDC48D7849D632E7E072310">
    <w:name w:val="047F11D63CDC48D7849D632E7E072310"/>
  </w:style>
  <w:style w:type="paragraph" w:customStyle="1" w:styleId="AB2143F80E9C484BB6CDCC6BD8A449B1">
    <w:name w:val="AB2143F80E9C484BB6CDCC6BD8A44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06C43-2F88-4DC5-B732-47398B2134AA}"/>
</file>

<file path=customXml/itemProps2.xml><?xml version="1.0" encoding="utf-8"?>
<ds:datastoreItem xmlns:ds="http://schemas.openxmlformats.org/officeDocument/2006/customXml" ds:itemID="{B9E23C03-5661-44A0-9732-3FEE07438A91}"/>
</file>

<file path=customXml/itemProps3.xml><?xml version="1.0" encoding="utf-8"?>
<ds:datastoreItem xmlns:ds="http://schemas.openxmlformats.org/officeDocument/2006/customXml" ds:itemID="{0FF0552B-766E-4F1D-AD06-BBB7E7ADD2D1}"/>
</file>

<file path=docProps/app.xml><?xml version="1.0" encoding="utf-8"?>
<Properties xmlns="http://schemas.openxmlformats.org/officeDocument/2006/extended-properties" xmlns:vt="http://schemas.openxmlformats.org/officeDocument/2006/docPropsVTypes">
  <Template>Normal</Template>
  <TotalTime>43</TotalTime>
  <Pages>2</Pages>
  <Words>474</Words>
  <Characters>2815</Characters>
  <Application>Microsoft Office Word</Application>
  <DocSecurity>0</DocSecurity>
  <Lines>122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32 Sänkt skatt på arbetsinkomster  pension och sjuk  och aktivitetsersättning</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