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36DF" w:rsidRPr="00800AC8" w:rsidRDefault="00E336DF" w:rsidP="0065267E">
      <w:pPr>
        <w:pStyle w:val="Hemstlrubrik"/>
      </w:pPr>
      <w:r w:rsidRPr="00800AC8">
        <w:t>Förslag till riksdagsbeslut</w:t>
      </w:r>
    </w:p>
    <w:p w:rsidR="00E336DF" w:rsidRPr="00800AC8" w:rsidRDefault="00E336DF" w:rsidP="00E336DF">
      <w:pPr>
        <w:pStyle w:val="Hemstlatt"/>
      </w:pPr>
      <w:r w:rsidRPr="00800AC8">
        <w:t>Riksdagen tillkännager för regeringen som sin mening vad i motionen anförs om behovet av att stärka samverkan mellan de forskningsfinansi</w:t>
      </w:r>
      <w:r w:rsidRPr="00800AC8">
        <w:t>e</w:t>
      </w:r>
      <w:r w:rsidRPr="00800AC8">
        <w:t>rande organen och samhällsbyggnadssektorn.</w:t>
      </w:r>
    </w:p>
    <w:p w:rsidR="00E336DF" w:rsidRPr="00800AC8" w:rsidRDefault="00E336DF" w:rsidP="00E336DF">
      <w:pPr>
        <w:pStyle w:val="Hemstlatt"/>
      </w:pPr>
      <w:r w:rsidRPr="00800AC8">
        <w:t>Riksdagen tillkännager för regeringen som sin mening vad i motionen anförs om att byggsektorn måste ges likvärdig status och likvärdiga mö</w:t>
      </w:r>
      <w:r w:rsidRPr="00800AC8">
        <w:t>j</w:t>
      </w:r>
      <w:r w:rsidRPr="00800AC8">
        <w:t xml:space="preserve">ligheter </w:t>
      </w:r>
      <w:r w:rsidR="00F30EBD" w:rsidRPr="00800AC8">
        <w:t xml:space="preserve">till stöd till innovationsinriktad forskning och utveckling </w:t>
      </w:r>
      <w:r w:rsidRPr="00800AC8">
        <w:t>som andra ind</w:t>
      </w:r>
      <w:r w:rsidRPr="00800AC8">
        <w:t>u</w:t>
      </w:r>
      <w:r w:rsidRPr="00800AC8">
        <w:t>strisektorer.</w:t>
      </w:r>
    </w:p>
    <w:p w:rsidR="00E336DF" w:rsidRPr="00800AC8" w:rsidRDefault="00E336DF" w:rsidP="00E336DF">
      <w:pPr>
        <w:pStyle w:val="Hemstlatt"/>
      </w:pPr>
      <w:r w:rsidRPr="00800AC8">
        <w:t>Riksdagen tillkännager för regeringen som sin mening vad i motionen anförs om förbättrade förutsättningar för svenska forskares medverkan i EU-program och andra internationella for</w:t>
      </w:r>
      <w:r w:rsidR="00F30EBD" w:rsidRPr="00800AC8">
        <w:t>um</w:t>
      </w:r>
      <w:r w:rsidRPr="00800AC8">
        <w:t>.</w:t>
      </w:r>
    </w:p>
    <w:p w:rsidR="00E336DF" w:rsidRPr="00800AC8" w:rsidRDefault="00E336DF" w:rsidP="00E336DF">
      <w:pPr>
        <w:pStyle w:val="Hemstlatt"/>
      </w:pPr>
      <w:r w:rsidRPr="00800AC8">
        <w:t>Riksdagen tillkännager för regeringen som sin mening vad i motionen anförs om en förbättrad koordinering av svenska forsknings- och finans</w:t>
      </w:r>
      <w:r w:rsidRPr="00800AC8">
        <w:t>i</w:t>
      </w:r>
      <w:r w:rsidRPr="00800AC8">
        <w:t>eringsprogram med EU:s ramverk för forskning.</w:t>
      </w:r>
    </w:p>
    <w:p w:rsidR="00E336DF" w:rsidRPr="00800AC8" w:rsidRDefault="00E336DF" w:rsidP="00E336DF">
      <w:pPr>
        <w:pStyle w:val="Rubrik1"/>
      </w:pPr>
      <w:r w:rsidRPr="00800AC8">
        <w:t>En viktig och resurskrävande sektor</w:t>
      </w:r>
    </w:p>
    <w:p w:rsidR="00E336DF" w:rsidRPr="00800AC8" w:rsidRDefault="00E336DF" w:rsidP="00CA1CC5">
      <w:pPr>
        <w:pStyle w:val="Normaltindrag"/>
        <w:spacing w:before="125"/>
        <w:ind w:firstLine="0"/>
      </w:pPr>
      <w:r w:rsidRPr="00800AC8">
        <w:t>Samhällsbyggnads- o</w:t>
      </w:r>
      <w:r w:rsidR="0065267E" w:rsidRPr="00800AC8">
        <w:t>ch byggsektorn utgör med de c</w:t>
      </w:r>
      <w:r w:rsidRPr="00800AC8">
        <w:t>a 10 procent av BNP en dominerande industrisektor i landet. Sektorn sysselsätter ca 450 000 personer i Sverige och består a</w:t>
      </w:r>
      <w:r w:rsidR="0065267E" w:rsidRPr="00800AC8">
        <w:t>v c</w:t>
      </w:r>
      <w:r w:rsidRPr="00800AC8">
        <w:t>a 80 000 företag. Den dominerande andelen av för</w:t>
      </w:r>
      <w:r w:rsidRPr="00800AC8">
        <w:t>e</w:t>
      </w:r>
      <w:r w:rsidRPr="00800AC8">
        <w:t xml:space="preserve">tagen klassas som små och medelstora. </w:t>
      </w:r>
    </w:p>
    <w:p w:rsidR="00E336DF" w:rsidRPr="00800AC8" w:rsidRDefault="00E336DF" w:rsidP="00E336DF">
      <w:pPr>
        <w:pStyle w:val="Normaltindrag"/>
      </w:pPr>
      <w:r w:rsidRPr="00800AC8">
        <w:t>Denna sektor har avgörande betydelse för att åstadkomma en hållbar u</w:t>
      </w:r>
      <w:r w:rsidRPr="00800AC8">
        <w:t>t</w:t>
      </w:r>
      <w:r w:rsidRPr="00800AC8">
        <w:t>veckling. Den</w:t>
      </w:r>
      <w:r w:rsidR="0065267E" w:rsidRPr="00800AC8">
        <w:t xml:space="preserve"> kallas inte sällan 40-</w:t>
      </w:r>
      <w:r w:rsidR="00D144DD" w:rsidRPr="00800AC8">
        <w:t>procents</w:t>
      </w:r>
      <w:r w:rsidR="0065267E" w:rsidRPr="00800AC8">
        <w:t>sektorn då den svarar för ca 40 </w:t>
      </w:r>
      <w:r w:rsidRPr="00800AC8">
        <w:t>procent av all förbrukning av materialresurs</w:t>
      </w:r>
      <w:r w:rsidR="0065267E" w:rsidRPr="00800AC8">
        <w:t>er och energi, bidrar med ca 40 </w:t>
      </w:r>
      <w:r w:rsidRPr="00800AC8">
        <w:t xml:space="preserve">procent </w:t>
      </w:r>
      <w:r w:rsidR="0065267E" w:rsidRPr="00800AC8">
        <w:t>av emissionerna av växthusgaser</w:t>
      </w:r>
      <w:r w:rsidRPr="00800AC8">
        <w:t xml:space="preserve"> samt svarar för cirka 40 procent av avfallsmängden.</w:t>
      </w:r>
    </w:p>
    <w:p w:rsidR="00E336DF" w:rsidRPr="00800AC8" w:rsidRDefault="00E336DF" w:rsidP="00E336DF">
      <w:pPr>
        <w:pStyle w:val="Normaltindrag"/>
      </w:pPr>
      <w:r w:rsidRPr="00800AC8">
        <w:t>Sektorns komplexitet är väl känd. Planerings-, bygg- och förvaltningspr</w:t>
      </w:r>
      <w:r w:rsidRPr="00800AC8">
        <w:t>o</w:t>
      </w:r>
      <w:r w:rsidRPr="00800AC8">
        <w:t>cesserna är långa och starkt fragmenterade. Intressenterna i en byggprocess är många; brukare, ägare, samhälle, närboende etc</w:t>
      </w:r>
      <w:r w:rsidR="0065267E" w:rsidRPr="00800AC8">
        <w:t>.</w:t>
      </w:r>
      <w:r w:rsidRPr="00800AC8">
        <w:t xml:space="preserve"> och antalet aktörer på utf</w:t>
      </w:r>
      <w:r w:rsidRPr="00800AC8">
        <w:t>ö</w:t>
      </w:r>
      <w:r w:rsidRPr="00800AC8">
        <w:lastRenderedPageBreak/>
        <w:t>rarsidan kan räknas i flera 10-tal. Verksamheten är specificerad på detaljnivå och mycket sällan uttryckt som funktionsrelaterade mål. Traditionella affär</w:t>
      </w:r>
      <w:r w:rsidRPr="00800AC8">
        <w:t>s</w:t>
      </w:r>
      <w:r w:rsidRPr="00800AC8">
        <w:t>former och detaljspecificering skapar brister i incitament för utveckling, i</w:t>
      </w:r>
      <w:r w:rsidRPr="00800AC8">
        <w:t>n</w:t>
      </w:r>
      <w:r w:rsidRPr="00800AC8">
        <w:t>novationer, förnyelse och risktagande. Resultatet är låg produktivitetsutvec</w:t>
      </w:r>
      <w:r w:rsidRPr="00800AC8">
        <w:t>k</w:t>
      </w:r>
      <w:r w:rsidRPr="00800AC8">
        <w:t>ling, kvalitetsbrister, svagt konkurrenstryck och bristande kundfokus.</w:t>
      </w:r>
    </w:p>
    <w:p w:rsidR="00E336DF" w:rsidRPr="00800AC8" w:rsidRDefault="00E336DF" w:rsidP="00E336DF">
      <w:pPr>
        <w:pStyle w:val="Normaltindrag"/>
      </w:pPr>
      <w:r w:rsidRPr="00800AC8">
        <w:t>Statens roll i samhällsbyggnadsverksamheten är stor. Mer än hälften av all upphandling inom byggsektorn sker via det politiska systemet, d</w:t>
      </w:r>
      <w:r w:rsidR="00D144DD" w:rsidRPr="00800AC8">
        <w:t>.</w:t>
      </w:r>
      <w:r w:rsidRPr="00800AC8">
        <w:t>v</w:t>
      </w:r>
      <w:r w:rsidR="00D144DD" w:rsidRPr="00800AC8">
        <w:t>.</w:t>
      </w:r>
      <w:r w:rsidRPr="00800AC8">
        <w:t>s</w:t>
      </w:r>
      <w:r w:rsidR="00D144DD" w:rsidRPr="00800AC8">
        <w:t>.</w:t>
      </w:r>
      <w:r w:rsidRPr="00800AC8">
        <w:t xml:space="preserve"> bekostas av skattemedel, och den byggda miljön har avgörande betydelse för medbo</w:t>
      </w:r>
      <w:r w:rsidRPr="00800AC8">
        <w:t>r</w:t>
      </w:r>
      <w:r w:rsidRPr="00800AC8">
        <w:t>garna. Samhället har därmed ett särskilt ansvar.</w:t>
      </w:r>
    </w:p>
    <w:p w:rsidR="00E336DF" w:rsidRPr="00800AC8" w:rsidRDefault="00E336DF" w:rsidP="00E336DF">
      <w:pPr>
        <w:pStyle w:val="Rubrik1"/>
      </w:pPr>
      <w:r w:rsidRPr="00800AC8">
        <w:t>Bristfälligt stöd till forskning och utveckling</w:t>
      </w:r>
    </w:p>
    <w:p w:rsidR="00E336DF" w:rsidRPr="00800AC8" w:rsidRDefault="00E336DF" w:rsidP="00CA1CC5">
      <w:pPr>
        <w:pStyle w:val="Normaltindrag"/>
        <w:spacing w:before="125"/>
        <w:ind w:firstLine="0"/>
      </w:pPr>
      <w:r w:rsidRPr="00800AC8">
        <w:t>De statliga anslagen till forskning och utveckling riktad</w:t>
      </w:r>
      <w:r w:rsidR="0065267E" w:rsidRPr="00800AC8">
        <w:t>e</w:t>
      </w:r>
      <w:r w:rsidRPr="00800AC8">
        <w:t xml:space="preserve"> mot samhällsbyg</w:t>
      </w:r>
      <w:r w:rsidRPr="00800AC8">
        <w:t>g</w:t>
      </w:r>
      <w:r w:rsidRPr="00800AC8">
        <w:t>nadssektorn har från 1990-talets början minskat. Omstruktureringen av Sver</w:t>
      </w:r>
      <w:r w:rsidRPr="00800AC8">
        <w:t>i</w:t>
      </w:r>
      <w:r w:rsidRPr="00800AC8">
        <w:t>ges forskningsfinansiering (prop. 1999/2000:81) k</w:t>
      </w:r>
      <w:r w:rsidR="00D144DD" w:rsidRPr="00800AC8">
        <w:t>ännetecknas bl.</w:t>
      </w:r>
      <w:r w:rsidRPr="00800AC8">
        <w:t>a</w:t>
      </w:r>
      <w:r w:rsidR="00D144DD" w:rsidRPr="00800AC8">
        <w:t>.</w:t>
      </w:r>
      <w:r w:rsidRPr="00800AC8">
        <w:t xml:space="preserve"> av en positiv fokusering på ökad forskningskvalitet, men har även inneburit en otydlighet avseende identifikation och erkännande av FoU inriktad på sa</w:t>
      </w:r>
      <w:r w:rsidRPr="00800AC8">
        <w:t>m</w:t>
      </w:r>
      <w:r w:rsidRPr="00800AC8">
        <w:t>hällsbyggande. Den sedan många år rådande otydligheten i finansieringss</w:t>
      </w:r>
      <w:r w:rsidRPr="00800AC8">
        <w:t>y</w:t>
      </w:r>
      <w:r w:rsidRPr="00800AC8">
        <w:t>stemet vad gäller hanteringen av anslag från EU:s ramverk för forskning, särskilt bristen på tydliga regler och resurser för s</w:t>
      </w:r>
      <w:r w:rsidR="0065267E" w:rsidRPr="00800AC8">
        <w:t>.</w:t>
      </w:r>
      <w:r w:rsidRPr="00800AC8">
        <w:t>k</w:t>
      </w:r>
      <w:r w:rsidR="0065267E" w:rsidRPr="00800AC8">
        <w:t>.</w:t>
      </w:r>
      <w:r w:rsidRPr="00800AC8">
        <w:t xml:space="preserve"> medfinansiering av EU-projekt, hotar dessutom generellt svenska forskares konkurrensmöjligheter om EU-kontrakt och blir särskilt kännbar i den fragmenterade och av småf</w:t>
      </w:r>
      <w:r w:rsidRPr="00800AC8">
        <w:t>ö</w:t>
      </w:r>
      <w:r w:rsidRPr="00800AC8">
        <w:t>retag dominerade samhällsbyggnadssektorn.</w:t>
      </w:r>
    </w:p>
    <w:p w:rsidR="00E336DF" w:rsidRPr="00800AC8" w:rsidRDefault="0065267E" w:rsidP="00E336DF">
      <w:pPr>
        <w:pStyle w:val="Normaltindrag"/>
      </w:pPr>
      <w:r w:rsidRPr="00800AC8">
        <w:t xml:space="preserve">Formas </w:t>
      </w:r>
      <w:r w:rsidR="00E336DF" w:rsidRPr="00800AC8">
        <w:t>är det forskningsråd som har ett utpekat ansvar för stöd till ku</w:t>
      </w:r>
      <w:r w:rsidR="00E336DF" w:rsidRPr="00800AC8">
        <w:t>n</w:t>
      </w:r>
      <w:r w:rsidR="00E336DF" w:rsidRPr="00800AC8">
        <w:t>skapsuppbyggande samhällsbyggnadsforskning. Forskare inriktade mot se</w:t>
      </w:r>
      <w:r w:rsidR="00E336DF" w:rsidRPr="00800AC8">
        <w:t>k</w:t>
      </w:r>
      <w:r w:rsidR="00E336DF" w:rsidRPr="00800AC8">
        <w:t xml:space="preserve">torn har dock i teorin möjlighet att söka anslag från andra forskningsråd och stiftelser. </w:t>
      </w:r>
    </w:p>
    <w:p w:rsidR="00E336DF" w:rsidRPr="00800AC8" w:rsidRDefault="0065267E" w:rsidP="00E336DF">
      <w:pPr>
        <w:pStyle w:val="Normaltindrag"/>
      </w:pPr>
      <w:r w:rsidRPr="00800AC8">
        <w:t>Vinnova</w:t>
      </w:r>
      <w:r w:rsidR="00E336DF" w:rsidRPr="00800AC8">
        <w:t xml:space="preserve">, </w:t>
      </w:r>
      <w:r w:rsidRPr="00800AC8">
        <w:t xml:space="preserve">Verket </w:t>
      </w:r>
      <w:r w:rsidR="00E336DF" w:rsidRPr="00800AC8">
        <w:t>för innovationssystem, har till uppgift att främja hållbar tillväxt genom utveckling av effektiva innovationssystem och finansiering av behovsmotiverad forskning. Rimligen skall denna programförklaring och målsättning gälla alla sektorer av samhället. Forskare och industrirepresenta</w:t>
      </w:r>
      <w:r w:rsidR="00E336DF" w:rsidRPr="00800AC8">
        <w:t>n</w:t>
      </w:r>
      <w:r w:rsidR="00E336DF" w:rsidRPr="00800AC8">
        <w:t xml:space="preserve">ter som företräder samhällsbyggnadssektorn riskerar emellertid att avvisas från att konkurrera om anslag från </w:t>
      </w:r>
      <w:r w:rsidRPr="00800AC8">
        <w:t>Vinnova</w:t>
      </w:r>
      <w:r w:rsidR="00E336DF" w:rsidRPr="00800AC8">
        <w:t>, trots projektprogram tydligt inriktade på innovation, produktutveckling, hållbar tillväxt och utveckling, med hänvisning till att bygg/samhällsbyggnad inte faller inom verkets stö</w:t>
      </w:r>
      <w:r w:rsidR="00E336DF" w:rsidRPr="00800AC8">
        <w:t>d</w:t>
      </w:r>
      <w:r w:rsidR="00E336DF" w:rsidRPr="00800AC8">
        <w:t xml:space="preserve">områden. Istället hänvisas till </w:t>
      </w:r>
      <w:r w:rsidRPr="00800AC8">
        <w:t>Formas</w:t>
      </w:r>
      <w:r w:rsidR="00E336DF" w:rsidRPr="00800AC8">
        <w:t>, som dock inte generellt stöder innov</w:t>
      </w:r>
      <w:r w:rsidR="00E336DF" w:rsidRPr="00800AC8">
        <w:t>a</w:t>
      </w:r>
      <w:r w:rsidR="00E336DF" w:rsidRPr="00800AC8">
        <w:t>tionsinriktade produkt- och processprojekt utan primärt stöder en mer akad</w:t>
      </w:r>
      <w:r w:rsidR="00E336DF" w:rsidRPr="00800AC8">
        <w:t>e</w:t>
      </w:r>
      <w:r w:rsidR="00E336DF" w:rsidRPr="00800AC8">
        <w:t>misk kunskapsuppbyggnad.</w:t>
      </w:r>
    </w:p>
    <w:p w:rsidR="00E336DF" w:rsidRPr="00800AC8" w:rsidRDefault="00E336DF" w:rsidP="00E336DF">
      <w:pPr>
        <w:pStyle w:val="Normaltindrag"/>
      </w:pPr>
      <w:r w:rsidRPr="00800AC8">
        <w:t xml:space="preserve">Det är inte rimligt att landets stora samhällsbyggnadsindustrisektor inte omfattas och ges likvärdig status som andra industrisektorer av verket för innovationssystem, </w:t>
      </w:r>
      <w:r w:rsidR="0065267E" w:rsidRPr="00800AC8">
        <w:t>Vinnova</w:t>
      </w:r>
      <w:r w:rsidRPr="00800AC8">
        <w:t>.</w:t>
      </w:r>
    </w:p>
    <w:p w:rsidR="00E336DF" w:rsidRPr="00800AC8" w:rsidRDefault="00E336DF" w:rsidP="00E336DF">
      <w:pPr>
        <w:pStyle w:val="Rubrik1"/>
      </w:pPr>
      <w:r w:rsidRPr="00800AC8">
        <w:t>EU-finansiering</w:t>
      </w:r>
    </w:p>
    <w:p w:rsidR="00E336DF" w:rsidRPr="00800AC8" w:rsidRDefault="00E336DF" w:rsidP="00CA1CC5">
      <w:pPr>
        <w:pStyle w:val="Normaltindrag"/>
        <w:spacing w:before="125"/>
        <w:ind w:firstLine="0"/>
      </w:pPr>
      <w:r w:rsidRPr="00800AC8">
        <w:t>Medfinansiering av EU-projekt är en sedan länge olöst fråga. Ett EU-kontrakt innebär normalt ca 50 procents finansiering från EU. Resterande finansiering förutsätts ske nationellt och det är vanligen fors</w:t>
      </w:r>
      <w:r w:rsidR="0065267E" w:rsidRPr="00800AC8">
        <w:t>kningsråden som står till buds –</w:t>
      </w:r>
      <w:r w:rsidRPr="00800AC8">
        <w:t xml:space="preserve"> om inte medfinansiering kan ske via näringslivet. Problemet är generellt oavsett sektor, men får särskild betydelse i samhällsbyggnadssektorn med sin dominans av små/medelstora företag. Dessa kan sällan bidra till medfinansi</w:t>
      </w:r>
      <w:r w:rsidRPr="00800AC8">
        <w:t>e</w:t>
      </w:r>
      <w:r w:rsidRPr="00800AC8">
        <w:t>ring. Ett grundproblem för forskningsråden, och därmed forskarna, är att det saknas särskilda medel för medfinansiering.</w:t>
      </w:r>
      <w:r w:rsidRPr="00800AC8">
        <w:rPr>
          <w:rStyle w:val="Fotnotsreferens"/>
        </w:rPr>
        <w:footnoteReference w:id="2"/>
      </w:r>
      <w:r w:rsidRPr="00800AC8">
        <w:t xml:space="preserve"> Ett annat problem för forskarna är att ett av EU redan godkänt projekt än en gång</w:t>
      </w:r>
      <w:r w:rsidR="0065267E" w:rsidRPr="00800AC8">
        <w:t xml:space="preserve"> måste</w:t>
      </w:r>
      <w:r w:rsidRPr="00800AC8">
        <w:t xml:space="preserve"> tävla och då mot den agenda och de förutsättningar som svenska forskningsfinansiärer sätter. Även om en sådan prövning utfaller positivt för projektet, så medför det tidsutdräkt, likviditetsproblem och otrygghet för forskargruppen. Brister i koordinering mellan de svenska forskningsrådens program och</w:t>
      </w:r>
      <w:r w:rsidR="0065267E" w:rsidRPr="00800AC8">
        <w:t xml:space="preserve"> EU:s ramverk och särpr</w:t>
      </w:r>
      <w:r w:rsidR="0065267E" w:rsidRPr="00800AC8">
        <w:t>o</w:t>
      </w:r>
      <w:r w:rsidR="0065267E" w:rsidRPr="00800AC8">
        <w:t>gram, t.</w:t>
      </w:r>
      <w:r w:rsidRPr="00800AC8">
        <w:t>ex</w:t>
      </w:r>
      <w:r w:rsidR="0065267E" w:rsidRPr="00800AC8">
        <w:t>.</w:t>
      </w:r>
      <w:r w:rsidRPr="00800AC8">
        <w:t xml:space="preserve"> avseende prioriteringar och bedömningskriterier, skapar inte sällan särskilda problem när medfinansiering skall sökas.</w:t>
      </w:r>
    </w:p>
    <w:p w:rsidR="00783EC3" w:rsidRPr="00800AC8" w:rsidRDefault="00E336DF" w:rsidP="00E336DF">
      <w:pPr>
        <w:pStyle w:val="Normaltindrag"/>
      </w:pPr>
      <w:r w:rsidRPr="00800AC8">
        <w:t>Ett huvudtema i EU:s sjätte ramprogram och en ledande målsättning i pr</w:t>
      </w:r>
      <w:r w:rsidRPr="00800AC8">
        <w:t>o</w:t>
      </w:r>
      <w:r w:rsidR="0065267E" w:rsidRPr="00800AC8">
        <w:t>gramarbetet för det kommande 7:</w:t>
      </w:r>
      <w:r w:rsidRPr="00800AC8">
        <w:t>e ramprogrammet är skapandet av ERA (the European Research Area), innebärande integration och samordning av eur</w:t>
      </w:r>
      <w:r w:rsidRPr="00800AC8">
        <w:t>o</w:t>
      </w:r>
      <w:r w:rsidRPr="00800AC8">
        <w:t>peisk forskning samt koordinering mellan europeiska och nationella program för forskningsfinansiering. Sverige bör kraftfullt sträva mot förbättrad koo</w:t>
      </w:r>
      <w:r w:rsidRPr="00800AC8">
        <w:t>r</w:t>
      </w:r>
      <w:r w:rsidRPr="00800AC8">
        <w:t>dinering av nationella finansieringsprogram m</w:t>
      </w:r>
      <w:r w:rsidR="0065267E" w:rsidRPr="00800AC8">
        <w:t>ed EU:</w:t>
      </w:r>
      <w:r w:rsidRPr="00800AC8">
        <w:t>s ramprogram för fors</w:t>
      </w:r>
      <w:r w:rsidRPr="00800AC8">
        <w:t>k</w:t>
      </w:r>
      <w:r w:rsidRPr="00800AC8">
        <w: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5267E" w:rsidRPr="00800AC8">
        <w:tblPrEx>
          <w:tblCellMar>
            <w:top w:w="0" w:type="dxa"/>
            <w:bottom w:w="0" w:type="dxa"/>
          </w:tblCellMar>
        </w:tblPrEx>
        <w:trPr>
          <w:cantSplit/>
        </w:trPr>
        <w:tc>
          <w:tcPr>
            <w:tcW w:w="3046" w:type="dxa"/>
          </w:tcPr>
          <w:p w:rsidR="0065267E" w:rsidRPr="00800AC8" w:rsidRDefault="0065267E" w:rsidP="0065267E">
            <w:pPr>
              <w:pStyle w:val="UnderskriftDatum"/>
              <w:spacing w:before="240"/>
            </w:pPr>
            <w:r w:rsidRPr="00800AC8">
              <w:t>Stockholm den 5 oktober 2005</w:t>
            </w:r>
          </w:p>
        </w:tc>
        <w:tc>
          <w:tcPr>
            <w:tcW w:w="3047" w:type="dxa"/>
          </w:tcPr>
          <w:p w:rsidR="0065267E" w:rsidRPr="00800AC8" w:rsidRDefault="0065267E" w:rsidP="0065267E">
            <w:pPr>
              <w:pStyle w:val="Underskrifter"/>
              <w:spacing w:before="240"/>
            </w:pPr>
          </w:p>
        </w:tc>
      </w:tr>
      <w:tr w:rsidR="0065267E" w:rsidRPr="00800AC8">
        <w:tblPrEx>
          <w:tblCellMar>
            <w:top w:w="0" w:type="dxa"/>
            <w:bottom w:w="0" w:type="dxa"/>
          </w:tblCellMar>
        </w:tblPrEx>
        <w:trPr>
          <w:cantSplit/>
        </w:trPr>
        <w:tc>
          <w:tcPr>
            <w:tcW w:w="3046" w:type="dxa"/>
          </w:tcPr>
          <w:p w:rsidR="0065267E" w:rsidRPr="00800AC8" w:rsidRDefault="0065267E" w:rsidP="0065267E">
            <w:pPr>
              <w:pStyle w:val="Underskrifter"/>
            </w:pPr>
            <w:r w:rsidRPr="00800AC8">
              <w:t>Ragnwi Marcelind (kd)</w:t>
            </w:r>
          </w:p>
        </w:tc>
        <w:tc>
          <w:tcPr>
            <w:tcW w:w="3047" w:type="dxa"/>
          </w:tcPr>
          <w:p w:rsidR="0065267E" w:rsidRPr="00800AC8" w:rsidRDefault="0065267E" w:rsidP="0065267E">
            <w:pPr>
              <w:pStyle w:val="Underskrifter"/>
            </w:pPr>
          </w:p>
        </w:tc>
      </w:tr>
      <w:tr w:rsidR="0065267E" w:rsidRPr="00800AC8">
        <w:tblPrEx>
          <w:tblCellMar>
            <w:top w:w="0" w:type="dxa"/>
            <w:bottom w:w="0" w:type="dxa"/>
          </w:tblCellMar>
        </w:tblPrEx>
        <w:trPr>
          <w:cantSplit/>
        </w:trPr>
        <w:tc>
          <w:tcPr>
            <w:tcW w:w="3046" w:type="dxa"/>
          </w:tcPr>
          <w:p w:rsidR="0065267E" w:rsidRPr="00800AC8" w:rsidRDefault="0065267E" w:rsidP="0065267E">
            <w:pPr>
              <w:pStyle w:val="Underskrifter"/>
            </w:pPr>
            <w:r w:rsidRPr="00800AC8">
              <w:t>Dan Kihlström (kd)</w:t>
            </w:r>
          </w:p>
        </w:tc>
        <w:tc>
          <w:tcPr>
            <w:tcW w:w="3047" w:type="dxa"/>
          </w:tcPr>
          <w:p w:rsidR="0065267E" w:rsidRPr="00800AC8" w:rsidRDefault="0065267E" w:rsidP="0065267E">
            <w:pPr>
              <w:pStyle w:val="Underskrifter"/>
            </w:pPr>
            <w:r w:rsidRPr="00800AC8">
              <w:t>Johnny Gylling (kd)</w:t>
            </w:r>
          </w:p>
        </w:tc>
      </w:tr>
      <w:tr w:rsidR="0065267E" w:rsidRPr="00800AC8">
        <w:tblPrEx>
          <w:tblCellMar>
            <w:top w:w="0" w:type="dxa"/>
            <w:bottom w:w="0" w:type="dxa"/>
          </w:tblCellMar>
        </w:tblPrEx>
        <w:trPr>
          <w:cantSplit/>
        </w:trPr>
        <w:tc>
          <w:tcPr>
            <w:tcW w:w="3046" w:type="dxa"/>
          </w:tcPr>
          <w:p w:rsidR="0065267E" w:rsidRPr="00800AC8" w:rsidRDefault="0065267E" w:rsidP="0065267E">
            <w:pPr>
              <w:pStyle w:val="Underskrifter"/>
            </w:pPr>
            <w:r w:rsidRPr="00800AC8">
              <w:t>Lars Gustafsson (kd)</w:t>
            </w:r>
          </w:p>
        </w:tc>
        <w:tc>
          <w:tcPr>
            <w:tcW w:w="3047" w:type="dxa"/>
          </w:tcPr>
          <w:p w:rsidR="0065267E" w:rsidRPr="00800AC8" w:rsidRDefault="0065267E" w:rsidP="0065267E">
            <w:pPr>
              <w:pStyle w:val="Underskrifter"/>
            </w:pPr>
            <w:r w:rsidRPr="00800AC8">
              <w:t>Annelie Enochson (kd)</w:t>
            </w:r>
          </w:p>
        </w:tc>
      </w:tr>
      <w:tr w:rsidR="0065267E" w:rsidRPr="00800AC8">
        <w:tblPrEx>
          <w:tblCellMar>
            <w:top w:w="0" w:type="dxa"/>
            <w:bottom w:w="0" w:type="dxa"/>
          </w:tblCellMar>
        </w:tblPrEx>
        <w:trPr>
          <w:cantSplit/>
        </w:trPr>
        <w:tc>
          <w:tcPr>
            <w:tcW w:w="3046" w:type="dxa"/>
          </w:tcPr>
          <w:p w:rsidR="0065267E" w:rsidRPr="00800AC8" w:rsidRDefault="0065267E" w:rsidP="0065267E">
            <w:pPr>
              <w:pStyle w:val="Underskrifter"/>
            </w:pPr>
            <w:r w:rsidRPr="00800AC8">
              <w:t>Sven Gunnar Persson (kd)</w:t>
            </w:r>
          </w:p>
        </w:tc>
        <w:tc>
          <w:tcPr>
            <w:tcW w:w="3047" w:type="dxa"/>
          </w:tcPr>
          <w:p w:rsidR="0065267E" w:rsidRPr="00800AC8" w:rsidRDefault="0065267E" w:rsidP="0065267E">
            <w:pPr>
              <w:pStyle w:val="Underskrifter"/>
            </w:pPr>
            <w:r w:rsidRPr="00800AC8">
              <w:t>Tuve Skånberg (kd)</w:t>
            </w:r>
          </w:p>
        </w:tc>
      </w:tr>
      <w:tr w:rsidR="0065267E" w:rsidRPr="00800AC8">
        <w:tblPrEx>
          <w:tblCellMar>
            <w:top w:w="0" w:type="dxa"/>
            <w:bottom w:w="0" w:type="dxa"/>
          </w:tblCellMar>
        </w:tblPrEx>
        <w:trPr>
          <w:cantSplit/>
        </w:trPr>
        <w:tc>
          <w:tcPr>
            <w:tcW w:w="3046" w:type="dxa"/>
          </w:tcPr>
          <w:p w:rsidR="0065267E" w:rsidRPr="00800AC8" w:rsidRDefault="0065267E" w:rsidP="0065267E">
            <w:pPr>
              <w:pStyle w:val="Underskrifter"/>
            </w:pPr>
            <w:r w:rsidRPr="00800AC8">
              <w:t>Björn von der Esch (kd)</w:t>
            </w:r>
          </w:p>
        </w:tc>
        <w:tc>
          <w:tcPr>
            <w:tcW w:w="3047" w:type="dxa"/>
          </w:tcPr>
          <w:p w:rsidR="0065267E" w:rsidRPr="00800AC8" w:rsidRDefault="0065267E" w:rsidP="0065267E">
            <w:pPr>
              <w:pStyle w:val="Underskrifter"/>
            </w:pPr>
          </w:p>
        </w:tc>
      </w:tr>
    </w:tbl>
    <w:p w:rsidR="00E336DF" w:rsidRPr="00800AC8" w:rsidRDefault="00E336DF" w:rsidP="0065267E">
      <w:pPr>
        <w:pStyle w:val="Normaltindrag"/>
      </w:pPr>
    </w:p>
    <w:sectPr w:rsidR="00E336DF" w:rsidRPr="00800AC8" w:rsidSect="006526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6AA6" w:rsidRPr="00800AC8" w:rsidRDefault="00D36AA6">
      <w:r w:rsidRPr="00800AC8">
        <w:separator/>
      </w:r>
    </w:p>
  </w:endnote>
  <w:endnote w:type="continuationSeparator" w:id="0">
    <w:p w:rsidR="00D36AA6" w:rsidRPr="00800AC8" w:rsidRDefault="00D36AA6">
      <w:r w:rsidRPr="00800A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CC5" w:rsidRPr="00800AC8" w:rsidRDefault="00800AC8" w:rsidP="0065267E">
    <w:pPr>
      <w:pStyle w:val="Sidfot"/>
    </w:pPr>
    <w:r w:rsidRPr="00800A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80443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CC5" w:rsidRDefault="00CA1CC5">
                          <w:pPr>
                            <w:pStyle w:val="NormalS5sidnrV"/>
                          </w:pPr>
                          <w:r>
                            <w:fldChar w:fldCharType="begin"/>
                          </w:r>
                          <w:r>
                            <w:instrText xml:space="preserve"> PAGE *\charformat</w:instrText>
                          </w:r>
                          <w:r>
                            <w:fldChar w:fldCharType="separate"/>
                          </w:r>
                          <w:r w:rsidR="0067468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1CC5" w:rsidRDefault="00CA1CC5">
                    <w:pPr>
                      <w:pStyle w:val="NormalS5sidnrV"/>
                    </w:pPr>
                    <w:r>
                      <w:fldChar w:fldCharType="begin"/>
                    </w:r>
                    <w:r>
                      <w:instrText xml:space="preserve"> PAGE *\charformat</w:instrText>
                    </w:r>
                    <w:r>
                      <w:fldChar w:fldCharType="separate"/>
                    </w:r>
                    <w:r w:rsidR="0067468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CC5" w:rsidRPr="00800AC8" w:rsidRDefault="00800AC8" w:rsidP="0065267E">
    <w:pPr>
      <w:pStyle w:val="Sidfot"/>
    </w:pPr>
    <w:r w:rsidRPr="00800A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97321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CC5" w:rsidRDefault="00CA1CC5">
                          <w:pPr>
                            <w:pStyle w:val="NormalS5sidnrH"/>
                            <w:ind w:right="0"/>
                          </w:pPr>
                          <w:r>
                            <w:fldChar w:fldCharType="begin"/>
                          </w:r>
                          <w:r>
                            <w:instrText xml:space="preserve"> PAGE *\charformat</w:instrText>
                          </w:r>
                          <w:r>
                            <w:fldChar w:fldCharType="separate"/>
                          </w:r>
                          <w:r w:rsidR="0067468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1CC5" w:rsidRDefault="00CA1CC5">
                    <w:pPr>
                      <w:pStyle w:val="NormalS5sidnrH"/>
                      <w:ind w:right="0"/>
                    </w:pPr>
                    <w:r>
                      <w:fldChar w:fldCharType="begin"/>
                    </w:r>
                    <w:r>
                      <w:instrText xml:space="preserve"> PAGE *\charformat</w:instrText>
                    </w:r>
                    <w:r>
                      <w:fldChar w:fldCharType="separate"/>
                    </w:r>
                    <w:r w:rsidR="0067468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CC5" w:rsidRPr="00800AC8" w:rsidRDefault="00800AC8" w:rsidP="0065267E">
    <w:pPr>
      <w:pStyle w:val="Sidfot"/>
    </w:pPr>
    <w:r w:rsidRPr="00800A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59433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CC5" w:rsidRDefault="00CA1CC5">
                          <w:pPr>
                            <w:pStyle w:val="NormalS5sidnrH"/>
                            <w:ind w:right="0"/>
                          </w:pPr>
                          <w:r>
                            <w:fldChar w:fldCharType="begin"/>
                          </w:r>
                          <w:r>
                            <w:instrText xml:space="preserve"> PAGE *\charformat</w:instrText>
                          </w:r>
                          <w:r>
                            <w:fldChar w:fldCharType="separate"/>
                          </w:r>
                          <w:r w:rsidR="0067468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1CC5" w:rsidRDefault="00CA1CC5">
                    <w:pPr>
                      <w:pStyle w:val="NormalS5sidnrH"/>
                      <w:ind w:right="0"/>
                    </w:pPr>
                    <w:r>
                      <w:fldChar w:fldCharType="begin"/>
                    </w:r>
                    <w:r>
                      <w:instrText xml:space="preserve"> PAGE *\charformat</w:instrText>
                    </w:r>
                    <w:r>
                      <w:fldChar w:fldCharType="separate"/>
                    </w:r>
                    <w:r w:rsidR="0067468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6AA6" w:rsidRPr="00800AC8" w:rsidRDefault="00D36AA6" w:rsidP="0065267E">
      <w:pPr>
        <w:pStyle w:val="Sidfot"/>
      </w:pPr>
    </w:p>
  </w:footnote>
  <w:footnote w:type="continuationSeparator" w:id="0">
    <w:p w:rsidR="00D36AA6" w:rsidRPr="00800AC8" w:rsidRDefault="00D36AA6" w:rsidP="0065267E">
      <w:pPr>
        <w:pStyle w:val="Sidfot"/>
      </w:pPr>
    </w:p>
  </w:footnote>
  <w:footnote w:type="continuationNotice" w:id="1">
    <w:p w:rsidR="00D36AA6" w:rsidRPr="00800AC8" w:rsidRDefault="00D36AA6"/>
  </w:footnote>
  <w:footnote w:id="2">
    <w:p w:rsidR="00CA1CC5" w:rsidRPr="00800AC8" w:rsidRDefault="00CA1CC5" w:rsidP="00E336DF">
      <w:pPr>
        <w:pStyle w:val="Fotnotstext"/>
        <w:ind w:left="0"/>
        <w:rPr>
          <w:sz w:val="16"/>
          <w:szCs w:val="16"/>
        </w:rPr>
      </w:pPr>
      <w:r w:rsidRPr="00800AC8">
        <w:rPr>
          <w:rStyle w:val="Fotnotsreferens"/>
          <w:sz w:val="19"/>
          <w:szCs w:val="19"/>
        </w:rPr>
        <w:footnoteRef/>
      </w:r>
      <w:r w:rsidRPr="00800AC8">
        <w:t xml:space="preserve"> </w:t>
      </w:r>
      <w:r w:rsidRPr="00800AC8">
        <w:rPr>
          <w:sz w:val="16"/>
          <w:szCs w:val="16"/>
        </w:rPr>
        <w:t>IVA (Kungl. Ingenjörsvetenskapsakademien) uppskattade 2002 finansieringsbehovet för svenskt deltagande i EU:s sjätte ramprogram för forskning (nu pågående) till ca 250 MSEK per år. Bedömningen baserade sig på det behov som uppstod om svenska forskare koncen</w:t>
      </w:r>
      <w:r w:rsidRPr="00800AC8">
        <w:rPr>
          <w:sz w:val="16"/>
          <w:szCs w:val="16"/>
        </w:rPr>
        <w:t>t</w:t>
      </w:r>
      <w:r w:rsidRPr="00800AC8">
        <w:rPr>
          <w:sz w:val="16"/>
          <w:szCs w:val="16"/>
        </w:rPr>
        <w:t>rerade sitt deltagande till de fyra av ramprogrammets sju prioriterade teman som man ansåg vara särskilt betydelsefulla för utvecklingen av svensk ingenjörskonst.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CC5" w:rsidRPr="00800AC8" w:rsidRDefault="00800AC8" w:rsidP="0065267E">
    <w:pPr>
      <w:pStyle w:val="Sidhuvud"/>
    </w:pPr>
    <w:r w:rsidRPr="00800A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73891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CC5" w:rsidRDefault="00CA1CC5">
                          <w:pPr>
                            <w:pStyle w:val="KantRubrikS5V"/>
                          </w:pPr>
                          <w:r>
                            <w:fldChar w:fldCharType="begin"/>
                          </w:r>
                          <w:r>
                            <w:instrText xml:space="preserve"> DOCPROPERTY "YearUser" *\charformat </w:instrText>
                          </w:r>
                          <w:r>
                            <w:fldChar w:fldCharType="separate"/>
                          </w:r>
                          <w:r w:rsidR="00674687">
                            <w:t>2005/06</w:t>
                          </w:r>
                          <w:r>
                            <w:fldChar w:fldCharType="end"/>
                          </w:r>
                          <w:r>
                            <w:t>:</w:t>
                          </w:r>
                          <w:r>
                            <w:fldChar w:fldCharType="begin"/>
                          </w:r>
                          <w:r>
                            <w:instrText xml:space="preserve"> DOCPROPERTY "Motionsnummer" *\charformat </w:instrText>
                          </w:r>
                          <w:r>
                            <w:fldChar w:fldCharType="separate"/>
                          </w:r>
                          <w:r w:rsidR="00674687">
                            <w:t>Bo316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1CC5" w:rsidRDefault="00CA1CC5">
                    <w:pPr>
                      <w:pStyle w:val="KantRubrikS5V"/>
                    </w:pPr>
                    <w:r>
                      <w:fldChar w:fldCharType="begin"/>
                    </w:r>
                    <w:r>
                      <w:instrText xml:space="preserve"> DOCPROPERTY "YearUser" *\charformat </w:instrText>
                    </w:r>
                    <w:r>
                      <w:fldChar w:fldCharType="separate"/>
                    </w:r>
                    <w:r w:rsidR="00674687">
                      <w:t>2005/06</w:t>
                    </w:r>
                    <w:r>
                      <w:fldChar w:fldCharType="end"/>
                    </w:r>
                    <w:r>
                      <w:t>:</w:t>
                    </w:r>
                    <w:r>
                      <w:fldChar w:fldCharType="begin"/>
                    </w:r>
                    <w:r>
                      <w:instrText xml:space="preserve"> DOCPROPERTY "Motionsnummer" *\charformat </w:instrText>
                    </w:r>
                    <w:r>
                      <w:fldChar w:fldCharType="separate"/>
                    </w:r>
                    <w:r w:rsidR="00674687">
                      <w:t>Bo316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CC5" w:rsidRPr="00800AC8" w:rsidRDefault="00800AC8" w:rsidP="0065267E">
    <w:pPr>
      <w:pStyle w:val="Sidhuvud"/>
    </w:pPr>
    <w:r w:rsidRPr="00800A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88602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CC5" w:rsidRDefault="00CA1CC5">
                          <w:pPr>
                            <w:pStyle w:val="KantRubrikS5H"/>
                            <w:ind w:right="0"/>
                          </w:pPr>
                          <w:r>
                            <w:fldChar w:fldCharType="begin"/>
                          </w:r>
                          <w:r>
                            <w:instrText xml:space="preserve"> DOCPROPERTY "YearUser" *\charformat </w:instrText>
                          </w:r>
                          <w:r>
                            <w:fldChar w:fldCharType="separate"/>
                          </w:r>
                          <w:r w:rsidR="00674687">
                            <w:t>2005/06</w:t>
                          </w:r>
                          <w:r>
                            <w:fldChar w:fldCharType="end"/>
                          </w:r>
                          <w:r>
                            <w:t>:</w:t>
                          </w:r>
                          <w:r>
                            <w:fldChar w:fldCharType="begin"/>
                          </w:r>
                          <w:r>
                            <w:instrText xml:space="preserve"> DOCPROPERTY "Motionsnummer" *\charformat </w:instrText>
                          </w:r>
                          <w:r>
                            <w:fldChar w:fldCharType="separate"/>
                          </w:r>
                          <w:r w:rsidR="00674687">
                            <w:t>Bo316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1CC5" w:rsidRDefault="00CA1CC5">
                    <w:pPr>
                      <w:pStyle w:val="KantRubrikS5H"/>
                      <w:ind w:right="0"/>
                    </w:pPr>
                    <w:r>
                      <w:fldChar w:fldCharType="begin"/>
                    </w:r>
                    <w:r>
                      <w:instrText xml:space="preserve"> DOCPROPERTY "YearUser" *\charformat </w:instrText>
                    </w:r>
                    <w:r>
                      <w:fldChar w:fldCharType="separate"/>
                    </w:r>
                    <w:r w:rsidR="00674687">
                      <w:t>2005/06</w:t>
                    </w:r>
                    <w:r>
                      <w:fldChar w:fldCharType="end"/>
                    </w:r>
                    <w:r>
                      <w:t>:</w:t>
                    </w:r>
                    <w:r>
                      <w:fldChar w:fldCharType="begin"/>
                    </w:r>
                    <w:r>
                      <w:instrText xml:space="preserve"> DOCPROPERTY "Motionsnummer" *\charformat </w:instrText>
                    </w:r>
                    <w:r>
                      <w:fldChar w:fldCharType="separate"/>
                    </w:r>
                    <w:r w:rsidR="00674687">
                      <w:t>Bo316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CC5" w:rsidRPr="00800AC8" w:rsidRDefault="00CA1CC5">
    <w:pPr>
      <w:pStyle w:val="FSHNormal"/>
      <w:tabs>
        <w:tab w:val="right" w:pos="5840"/>
      </w:tabs>
    </w:pPr>
    <w:r w:rsidRPr="00800AC8">
      <w:br/>
    </w:r>
    <w:r w:rsidRPr="00800AC8">
      <w:fldChar w:fldCharType="begin" w:fldLock="1"/>
    </w:r>
    <w:r w:rsidRPr="00800AC8">
      <w:instrText xml:space="preserve"> DOCPROPERTY</w:instrText>
    </w:r>
    <w:r w:rsidRPr="00800AC8">
      <w:rPr>
        <w:sz w:val="18"/>
      </w:rPr>
      <w:instrText xml:space="preserve"> "YearUser" *\charformat </w:instrText>
    </w:r>
    <w:r w:rsidRPr="00800AC8">
      <w:fldChar w:fldCharType="separate"/>
    </w:r>
    <w:r w:rsidR="00674687" w:rsidRPr="00800AC8">
      <w:t>2005/06</w:t>
    </w:r>
    <w:r w:rsidRPr="00800AC8">
      <w:fldChar w:fldCharType="end"/>
    </w:r>
    <w:r w:rsidRPr="00800AC8">
      <w:t xml:space="preserve"> </w:t>
    </w:r>
    <w:r w:rsidRPr="00800AC8">
      <w:tab/>
      <w:t xml:space="preserve">mnr: </w:t>
    </w:r>
    <w:r w:rsidRPr="00800AC8">
      <w:fldChar w:fldCharType="begin" w:fldLock="1"/>
    </w:r>
    <w:r w:rsidRPr="00800AC8">
      <w:instrText xml:space="preserve"> DOCPROPERTY</w:instrText>
    </w:r>
    <w:r w:rsidRPr="00800AC8">
      <w:rPr>
        <w:sz w:val="18"/>
      </w:rPr>
      <w:instrText xml:space="preserve"> "Motionsnummer" *\charformat </w:instrText>
    </w:r>
    <w:r w:rsidRPr="00800AC8">
      <w:fldChar w:fldCharType="separate"/>
    </w:r>
    <w:r w:rsidR="00674687" w:rsidRPr="00800AC8">
      <w:t>Bo316</w:t>
    </w:r>
    <w:r w:rsidRPr="00800AC8">
      <w:fldChar w:fldCharType="end"/>
    </w:r>
    <w:r w:rsidRPr="00800AC8">
      <w:br/>
    </w:r>
    <w:r w:rsidRPr="00800AC8">
      <w:fldChar w:fldCharType="begin" w:fldLock="1"/>
    </w:r>
    <w:r w:rsidRPr="00800AC8">
      <w:instrText xml:space="preserve"> DOCPROPERTY</w:instrText>
    </w:r>
    <w:r w:rsidRPr="00800AC8">
      <w:rPr>
        <w:sz w:val="18"/>
      </w:rPr>
      <w:instrText xml:space="preserve"> "Samling" *\charformat </w:instrText>
    </w:r>
    <w:r w:rsidRPr="00800AC8">
      <w:fldChar w:fldCharType="end"/>
    </w:r>
    <w:r w:rsidRPr="00800AC8">
      <w:tab/>
      <w:t xml:space="preserve">pnr: </w:t>
    </w:r>
    <w:r w:rsidRPr="00800AC8">
      <w:fldChar w:fldCharType="begin" w:fldLock="1"/>
    </w:r>
    <w:r w:rsidRPr="00800AC8">
      <w:instrText xml:space="preserve"> DOCPROPERTY</w:instrText>
    </w:r>
    <w:r w:rsidRPr="00800AC8">
      <w:rPr>
        <w:sz w:val="18"/>
      </w:rPr>
      <w:instrText xml:space="preserve"> "Partinummer" *\charformat </w:instrText>
    </w:r>
    <w:r w:rsidRPr="00800AC8">
      <w:fldChar w:fldCharType="separate"/>
    </w:r>
    <w:r w:rsidR="00674687" w:rsidRPr="00800AC8">
      <w:t>kd448</w:t>
    </w:r>
    <w:r w:rsidRPr="00800AC8">
      <w:fldChar w:fldCharType="end"/>
    </w:r>
  </w:p>
  <w:p w:rsidR="00CA1CC5" w:rsidRPr="00800AC8" w:rsidRDefault="00CA1CC5">
    <w:pPr>
      <w:pStyle w:val="FSHRub1"/>
    </w:pPr>
    <w:r w:rsidRPr="00800AC8">
      <w:t>Motion till riksdagen</w:t>
    </w:r>
    <w:r w:rsidRPr="00800AC8">
      <w:br/>
    </w:r>
    <w:r w:rsidRPr="00800AC8">
      <w:fldChar w:fldCharType="begin" w:fldLock="1"/>
    </w:r>
    <w:r w:rsidRPr="00800AC8">
      <w:instrText xml:space="preserve"> DOCPROPERTY "YearUser" *\charformat </w:instrText>
    </w:r>
    <w:r w:rsidRPr="00800AC8">
      <w:fldChar w:fldCharType="separate"/>
    </w:r>
    <w:r w:rsidR="00674687" w:rsidRPr="00800AC8">
      <w:t>2005/06</w:t>
    </w:r>
    <w:r w:rsidRPr="00800AC8">
      <w:fldChar w:fldCharType="end"/>
    </w:r>
    <w:r w:rsidRPr="00800AC8">
      <w:t>:</w:t>
    </w:r>
    <w:r w:rsidRPr="00800AC8">
      <w:fldChar w:fldCharType="begin" w:fldLock="1"/>
    </w:r>
    <w:r w:rsidRPr="00800AC8">
      <w:instrText xml:space="preserve"> DOCPROPERTY "Motionsnummer" *\charformat </w:instrText>
    </w:r>
    <w:r w:rsidRPr="00800AC8">
      <w:fldChar w:fldCharType="separate"/>
    </w:r>
    <w:r w:rsidR="00674687" w:rsidRPr="00800AC8">
      <w:t>Bo316</w:t>
    </w:r>
    <w:r w:rsidRPr="00800AC8">
      <w:fldChar w:fldCharType="end"/>
    </w:r>
  </w:p>
  <w:p w:rsidR="00CA1CC5" w:rsidRPr="00800AC8" w:rsidRDefault="00CA1CC5">
    <w:pPr>
      <w:pStyle w:val="FSHNormalS5"/>
    </w:pPr>
    <w:r w:rsidRPr="00800AC8">
      <w:fldChar w:fldCharType="begin" w:fldLock="1"/>
    </w:r>
    <w:r w:rsidRPr="00800AC8">
      <w:instrText xml:space="preserve"> DOCPROPERTY "MotionarText" *\charformat </w:instrText>
    </w:r>
    <w:r w:rsidRPr="00800AC8">
      <w:fldChar w:fldCharType="separate"/>
    </w:r>
    <w:r w:rsidR="00674687" w:rsidRPr="00800AC8">
      <w:t>av Ragnwi Marcelind m.fl. (kd)</w:t>
    </w:r>
    <w:r w:rsidRPr="00800AC8">
      <w:fldChar w:fldCharType="end"/>
    </w:r>
    <w:r w:rsidRPr="00800AC8">
      <w:br/>
    </w:r>
    <w:r w:rsidRPr="00800AC8">
      <w:fldChar w:fldCharType="begin" w:fldLock="1"/>
    </w:r>
    <w:r w:rsidRPr="00800AC8">
      <w:instrText xml:space="preserve"> DOCPROPERTY "SvarFrasKort" *\charformat </w:instrText>
    </w:r>
    <w:r w:rsidRPr="00800AC8">
      <w:fldChar w:fldCharType="end"/>
    </w:r>
  </w:p>
  <w:p w:rsidR="00CA1CC5" w:rsidRPr="00800AC8" w:rsidRDefault="00CA1CC5">
    <w:pPr>
      <w:pStyle w:val="FSHTitel"/>
    </w:pPr>
    <w:r w:rsidRPr="00800AC8">
      <w:fldChar w:fldCharType="begin" w:fldLock="1"/>
    </w:r>
    <w:r w:rsidRPr="00800AC8">
      <w:instrText xml:space="preserve"> DOCPROPERTY</w:instrText>
    </w:r>
    <w:r w:rsidRPr="00800AC8">
      <w:rPr>
        <w:sz w:val="18"/>
      </w:rPr>
      <w:instrText xml:space="preserve"> "RubrikSvar" *\charformat </w:instrText>
    </w:r>
    <w:r w:rsidRPr="00800AC8">
      <w:fldChar w:fldCharType="separate"/>
    </w:r>
    <w:r w:rsidR="00674687" w:rsidRPr="00800AC8">
      <w:t>Forskning för bostäder och samhällsbyggnad</w:t>
    </w:r>
    <w:r w:rsidRPr="00800AC8">
      <w:fldChar w:fldCharType="end"/>
    </w:r>
  </w:p>
  <w:p w:rsidR="00CA1CC5" w:rsidRPr="00800AC8" w:rsidRDefault="00CA1CC5" w:rsidP="0065267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3646249"/>
    <w:multiLevelType w:val="multilevel"/>
    <w:tmpl w:val="33301D0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3F154089"/>
    <w:multiLevelType w:val="hybridMultilevel"/>
    <w:tmpl w:val="23CCBC1C"/>
    <w:lvl w:ilvl="0" w:tplc="F3DA901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9FA5054"/>
    <w:multiLevelType w:val="multilevel"/>
    <w:tmpl w:val="7400AC5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8506894">
    <w:abstractNumId w:val="15"/>
  </w:num>
  <w:num w:numId="2" w16cid:durableId="1723017774">
    <w:abstractNumId w:val="10"/>
  </w:num>
  <w:num w:numId="3" w16cid:durableId="1545410656">
    <w:abstractNumId w:val="11"/>
  </w:num>
  <w:num w:numId="4" w16cid:durableId="1141776392">
    <w:abstractNumId w:val="14"/>
  </w:num>
  <w:num w:numId="5" w16cid:durableId="210849099">
    <w:abstractNumId w:val="8"/>
  </w:num>
  <w:num w:numId="6" w16cid:durableId="1909802316">
    <w:abstractNumId w:val="3"/>
  </w:num>
  <w:num w:numId="7" w16cid:durableId="699860192">
    <w:abstractNumId w:val="2"/>
  </w:num>
  <w:num w:numId="8" w16cid:durableId="1109546594">
    <w:abstractNumId w:val="1"/>
  </w:num>
  <w:num w:numId="9" w16cid:durableId="1210461444">
    <w:abstractNumId w:val="0"/>
  </w:num>
  <w:num w:numId="10" w16cid:durableId="1051728269">
    <w:abstractNumId w:val="9"/>
  </w:num>
  <w:num w:numId="11" w16cid:durableId="1685744082">
    <w:abstractNumId w:val="7"/>
  </w:num>
  <w:num w:numId="12" w16cid:durableId="1653169613">
    <w:abstractNumId w:val="6"/>
  </w:num>
  <w:num w:numId="13" w16cid:durableId="1397237477">
    <w:abstractNumId w:val="5"/>
  </w:num>
  <w:num w:numId="14" w16cid:durableId="1401712810">
    <w:abstractNumId w:val="4"/>
  </w:num>
  <w:num w:numId="15" w16cid:durableId="1982418949">
    <w:abstractNumId w:val="13"/>
  </w:num>
  <w:num w:numId="16" w16cid:durableId="215243468">
    <w:abstractNumId w:val="12"/>
  </w:num>
  <w:num w:numId="17" w16cid:durableId="2064538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783EC3"/>
    <w:rsid w:val="0004381F"/>
    <w:rsid w:val="00064BC3"/>
    <w:rsid w:val="00066775"/>
    <w:rsid w:val="00072FB9"/>
    <w:rsid w:val="00100531"/>
    <w:rsid w:val="00201DFB"/>
    <w:rsid w:val="00204A63"/>
    <w:rsid w:val="00212FF1"/>
    <w:rsid w:val="00230193"/>
    <w:rsid w:val="0025068A"/>
    <w:rsid w:val="002818D3"/>
    <w:rsid w:val="002D11A8"/>
    <w:rsid w:val="002E4C72"/>
    <w:rsid w:val="00445271"/>
    <w:rsid w:val="004A0504"/>
    <w:rsid w:val="004E38D9"/>
    <w:rsid w:val="0052235A"/>
    <w:rsid w:val="005B145B"/>
    <w:rsid w:val="0065267E"/>
    <w:rsid w:val="00674687"/>
    <w:rsid w:val="00740D6D"/>
    <w:rsid w:val="00783EC3"/>
    <w:rsid w:val="00794149"/>
    <w:rsid w:val="007B67A7"/>
    <w:rsid w:val="007C6092"/>
    <w:rsid w:val="00800AC8"/>
    <w:rsid w:val="00A053C6"/>
    <w:rsid w:val="00B13BF0"/>
    <w:rsid w:val="00C1285C"/>
    <w:rsid w:val="00C27B7D"/>
    <w:rsid w:val="00CA1CC5"/>
    <w:rsid w:val="00CF7A43"/>
    <w:rsid w:val="00D1174F"/>
    <w:rsid w:val="00D13CC6"/>
    <w:rsid w:val="00D144DD"/>
    <w:rsid w:val="00D36AA6"/>
    <w:rsid w:val="00DC6C70"/>
    <w:rsid w:val="00E22893"/>
    <w:rsid w:val="00E336DF"/>
    <w:rsid w:val="00E360DE"/>
    <w:rsid w:val="00E75D28"/>
    <w:rsid w:val="00E84F25"/>
    <w:rsid w:val="00EC79F8"/>
    <w:rsid w:val="00F30EBD"/>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A2D3DE-C8FB-49A8-B24A-CFB87987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65267E"/>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5267E"/>
    <w:pPr>
      <w:numPr>
        <w:ilvl w:val="1"/>
      </w:numPr>
      <w:spacing w:before="500" w:line="250" w:lineRule="exact"/>
      <w:outlineLvl w:val="1"/>
    </w:pPr>
    <w:rPr>
      <w:sz w:val="27"/>
    </w:rPr>
  </w:style>
  <w:style w:type="paragraph" w:styleId="Rubrik3">
    <w:name w:val="heading 3"/>
    <w:aliases w:val="Mellanrubrik"/>
    <w:basedOn w:val="Rubrik2"/>
    <w:next w:val="Normal"/>
    <w:qFormat/>
    <w:rsid w:val="0065267E"/>
    <w:pPr>
      <w:numPr>
        <w:ilvl w:val="2"/>
      </w:numPr>
      <w:spacing w:before="250" w:after="0"/>
      <w:outlineLvl w:val="2"/>
    </w:pPr>
    <w:rPr>
      <w:b/>
      <w:sz w:val="21"/>
    </w:rPr>
  </w:style>
  <w:style w:type="paragraph" w:styleId="Rubrik4">
    <w:name w:val="heading 4"/>
    <w:aliases w:val="KursivRubrik"/>
    <w:basedOn w:val="Rubrik3"/>
    <w:next w:val="Normal"/>
    <w:qFormat/>
    <w:rsid w:val="0065267E"/>
    <w:pPr>
      <w:numPr>
        <w:ilvl w:val="3"/>
      </w:numPr>
      <w:outlineLvl w:val="3"/>
    </w:pPr>
    <w:rPr>
      <w:b w:val="0"/>
      <w:i/>
    </w:rPr>
  </w:style>
  <w:style w:type="paragraph" w:styleId="Rubrik5">
    <w:name w:val="heading 5"/>
    <w:aliases w:val="PackadFetRubrik,PackadKursivRubrik"/>
    <w:basedOn w:val="Rubrik4"/>
    <w:next w:val="Normal"/>
    <w:qFormat/>
    <w:rsid w:val="0065267E"/>
    <w:pPr>
      <w:numPr>
        <w:ilvl w:val="4"/>
      </w:numPr>
      <w:tabs>
        <w:tab w:val="clear" w:pos="1021"/>
      </w:tabs>
      <w:spacing w:before="125"/>
      <w:outlineLvl w:val="4"/>
    </w:pPr>
    <w:rPr>
      <w:i w:val="0"/>
      <w:sz w:val="19"/>
    </w:rPr>
  </w:style>
  <w:style w:type="paragraph" w:styleId="Rubrik6">
    <w:name w:val="heading 6"/>
    <w:basedOn w:val="Rubrik5"/>
    <w:next w:val="Normal"/>
    <w:qFormat/>
    <w:rsid w:val="0065267E"/>
    <w:pPr>
      <w:numPr>
        <w:ilvl w:val="5"/>
      </w:numPr>
      <w:spacing w:before="50" w:line="200" w:lineRule="exact"/>
      <w:outlineLvl w:val="5"/>
    </w:pPr>
    <w:rPr>
      <w:caps/>
      <w:sz w:val="14"/>
    </w:rPr>
  </w:style>
  <w:style w:type="paragraph" w:styleId="Rubrik7">
    <w:name w:val="heading 7"/>
    <w:basedOn w:val="Rubrik6"/>
    <w:next w:val="Normal"/>
    <w:qFormat/>
    <w:rsid w:val="0065267E"/>
    <w:pPr>
      <w:numPr>
        <w:ilvl w:val="6"/>
      </w:numPr>
      <w:spacing w:before="0"/>
      <w:outlineLvl w:val="6"/>
    </w:pPr>
  </w:style>
  <w:style w:type="paragraph" w:styleId="Rubrik8">
    <w:name w:val="heading 8"/>
    <w:basedOn w:val="Rubrik7"/>
    <w:next w:val="Normal"/>
    <w:qFormat/>
    <w:rsid w:val="0065267E"/>
    <w:pPr>
      <w:numPr>
        <w:ilvl w:val="7"/>
      </w:numPr>
      <w:outlineLvl w:val="7"/>
    </w:pPr>
  </w:style>
  <w:style w:type="paragraph" w:styleId="Rubrik9">
    <w:name w:val="heading 9"/>
    <w:basedOn w:val="Rubrik8"/>
    <w:next w:val="Normal"/>
    <w:qFormat/>
    <w:rsid w:val="0065267E"/>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Fotnotstext">
    <w:name w:val="footnote text"/>
    <w:basedOn w:val="Normal"/>
    <w:semiHidden/>
    <w:rsid w:val="00E336DF"/>
    <w:pPr>
      <w:spacing w:line="240" w:lineRule="auto"/>
      <w:ind w:left="1276"/>
    </w:pPr>
    <w:rPr>
      <w:sz w:val="20"/>
    </w:rPr>
  </w:style>
  <w:style w:type="character" w:styleId="Fotnotsreferens">
    <w:name w:val="footnote reference"/>
    <w:basedOn w:val="Standardstycketeckensnitt"/>
    <w:semiHidden/>
    <w:rsid w:val="00E336DF"/>
    <w:rPr>
      <w:vertAlign w:val="superscript"/>
    </w:rPr>
  </w:style>
  <w:style w:type="paragraph" w:customStyle="1" w:styleId="Hemstlrubrik">
    <w:name w:val="Hemstl_rubrik"/>
    <w:basedOn w:val="Rubrik1"/>
    <w:next w:val="Normal"/>
    <w:rsid w:val="0065267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5267E"/>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allongtext">
    <w:name w:val="Balloon Text"/>
    <w:basedOn w:val="Normal"/>
    <w:semiHidden/>
    <w:rsid w:val="00783E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802</Words>
  <Characters>5318</Characters>
  <Application>Microsoft Office Word</Application>
  <DocSecurity>4</DocSecurity>
  <Lines>102</Lines>
  <Paragraphs>30</Paragraphs>
  <ScaleCrop>false</ScaleCrop>
  <HeadingPairs>
    <vt:vector size="2" baseType="variant">
      <vt:variant>
        <vt:lpstr>Rubrik</vt:lpstr>
      </vt:variant>
      <vt:variant>
        <vt:i4>1</vt:i4>
      </vt:variant>
    </vt:vector>
  </HeadingPairs>
  <TitlesOfParts>
    <vt:vector size="1" baseType="lpstr">
      <vt:lpstr>Bo316</vt:lpstr>
    </vt:vector>
  </TitlesOfParts>
  <Company>Riksdagen</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Bo316</dc:title>
  <dc:subject>Bo316</dc:subject>
  <dc:creator>Riksdagen</dc:creator>
  <cp:keywords>Riksdagen</cp:keywords>
  <dc:description/>
  <cp:lastModifiedBy>Lars Brink</cp:lastModifiedBy>
  <cp:revision>2</cp:revision>
  <cp:lastPrinted>2006-01-14T12:34:00Z</cp:lastPrinted>
  <dcterms:created xsi:type="dcterms:W3CDTF">2025-12-16T19:03:00Z</dcterms:created>
  <dcterms:modified xsi:type="dcterms:W3CDTF">2025-12-16T19:03:00Z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Forskning för bostäder och samhällsbyggnad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för bostäder och samhällsbyggnad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kd448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Ragnwi Marcelind m.fl. (kd)</vt:lpwstr>
  </property>
  <property fmtid="{D5CDD505-2E9C-101B-9397-08002B2CF9AE}" pid="26" name="MotionarLista">
    <vt:lpwstr>Marcelind, Ragnwi (kd)\Kihlström, Dan (kd)\Gylling, Johnny (kd)\Gustafsson, Lars (kd)\Enochson, Annelie (kd)\Persson, Sven Gunnar (kd)\Skånberg, Tuve (kd)\von der Esch, Björn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Ragnwi Marcelind (kd), Dan Kihlström (kd), Johnny Gylling (kd), Lars Gustafsson (kd), Annelie Enochson (kd), Sven Gunnar Persson (kd), Tuve Skånberg (kd), Björn von der Esch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Bo316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anders.hallberg@riksdagen.se</vt:lpwstr>
  </property>
  <property fmtid="{D5CDD505-2E9C-101B-9397-08002B2CF9AE}" pid="45" name="ReservUID">
    <vt:lpwstr>roland lamvert</vt:lpwstr>
  </property>
  <property fmtid="{D5CDD505-2E9C-101B-9397-08002B2CF9AE}" pid="46" name="MotionID">
    <vt:lpwstr>20052006000001070100000004480075</vt:lpwstr>
  </property>
  <property fmtid="{D5CDD505-2E9C-101B-9397-08002B2CF9AE}" pid="47" name="datum">
    <vt:lpwstr>051005</vt:lpwstr>
  </property>
  <property fmtid="{D5CDD505-2E9C-101B-9397-08002B2CF9AE}" pid="48" name="avsändar-e-post">
    <vt:lpwstr>anders.hallberg@riksdagen.se</vt:lpwstr>
  </property>
  <property fmtid="{D5CDD505-2E9C-101B-9397-08002B2CF9AE}" pid="49" name="id">
    <vt:lpwstr>20052006000001070100000004480075</vt:lpwstr>
  </property>
  <property fmtid="{D5CDD505-2E9C-101B-9397-08002B2CF9AE}" pid="50" name="nummer">
    <vt:lpwstr>316</vt:lpwstr>
  </property>
  <property fmtid="{D5CDD505-2E9C-101B-9397-08002B2CF9AE}" pid="51" name="utskottsbeteckning">
    <vt:lpwstr>Bo</vt:lpwstr>
  </property>
</Properties>
</file>