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770ED-C095-40AB-8A74-3381BF370411}"/>
</file>

<file path=customXml/itemProps2.xml><?xml version="1.0" encoding="utf-8"?>
<ds:datastoreItem xmlns:ds="http://schemas.openxmlformats.org/officeDocument/2006/customXml" ds:itemID="{05F68E4A-CD49-4AC2-810F-46F42262E3C3}"/>
</file>

<file path=customXml/itemProps3.xml><?xml version="1.0" encoding="utf-8"?>
<ds:datastoreItem xmlns:ds="http://schemas.openxmlformats.org/officeDocument/2006/customXml" ds:itemID="{FF06E6DB-5A1C-4D61-8DCB-00CF8D668BD2}"/>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