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60809E782C74820BD89A02DE9689871"/>
        </w:placeholder>
        <w:text/>
      </w:sdtPr>
      <w:sdtEndPr/>
      <w:sdtContent>
        <w:p w:rsidRPr="009B062B" w:rsidR="00AF30DD" w:rsidP="00C25F3D" w:rsidRDefault="00AF30DD" w14:paraId="3C296E56" w14:textId="77777777">
          <w:pPr>
            <w:pStyle w:val="Rubrik1"/>
            <w:spacing w:after="300"/>
          </w:pPr>
          <w:r w:rsidRPr="009B062B">
            <w:t>Förslag till riksdagsbeslut</w:t>
          </w:r>
        </w:p>
      </w:sdtContent>
    </w:sdt>
    <w:sdt>
      <w:sdtPr>
        <w:alias w:val="Yrkande 1"/>
        <w:tag w:val="084b31b6-96d9-4cfb-b004-45a53a8714e9"/>
        <w:id w:val="-1531027421"/>
        <w:lock w:val="sdtLocked"/>
      </w:sdtPr>
      <w:sdtEndPr/>
      <w:sdtContent>
        <w:p w:rsidR="00E12D62" w:rsidRDefault="000C3026" w14:paraId="3629E7EC" w14:textId="77777777">
          <w:pPr>
            <w:pStyle w:val="Frslagstext"/>
          </w:pPr>
          <w:r>
            <w:t>Riksdagen ställer sig bakom det som anförs i motionen om att det efter två år bör genomföras en utvärdering för att säkerställa preventivlagens effektivitet, proportionalitet och rättssäkerhet och tillkännager detta för regeringen.</w:t>
          </w:r>
        </w:p>
      </w:sdtContent>
    </w:sdt>
    <w:sdt>
      <w:sdtPr>
        <w:alias w:val="Yrkande 2"/>
        <w:tag w:val="ef7839d5-9255-486d-b0d0-bc7b80de292c"/>
        <w:id w:val="-1480916688"/>
        <w:lock w:val="sdtLocked"/>
      </w:sdtPr>
      <w:sdtEndPr/>
      <w:sdtContent>
        <w:p w:rsidR="00E12D62" w:rsidRDefault="000C3026" w14:paraId="43EC1B3D" w14:textId="77777777">
          <w:pPr>
            <w:pStyle w:val="Frslagstext"/>
          </w:pPr>
          <w:r>
            <w:t>Riksdagen ställer sig bakom det som anförs i motionen om att det inom ett år bör utvärderas och säkerställas att myndigheterna har de resurser som krävs för att uppfylla sina uppgifter på ett effektivt, rättssäkert och förutsebart sätt,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4DD970FCCE4FC59E9C73C0E3B53A80"/>
        </w:placeholder>
        <w:text/>
      </w:sdtPr>
      <w:sdtEndPr/>
      <w:sdtContent>
        <w:p w:rsidRPr="009B062B" w:rsidR="006D79C9" w:rsidP="00333E95" w:rsidRDefault="006D79C9" w14:paraId="2B76EFD1" w14:textId="77777777">
          <w:pPr>
            <w:pStyle w:val="Rubrik1"/>
          </w:pPr>
          <w:r>
            <w:t>Motivering</w:t>
          </w:r>
        </w:p>
      </w:sdtContent>
    </w:sdt>
    <w:bookmarkEnd w:displacedByCustomXml="prev" w:id="3"/>
    <w:bookmarkEnd w:displacedByCustomXml="prev" w:id="4"/>
    <w:p w:rsidR="00677DCA" w:rsidP="00996844" w:rsidRDefault="00FE20CC" w14:paraId="477154CE" w14:textId="008F3E01">
      <w:pPr>
        <w:pStyle w:val="Normalutanindragellerluft"/>
      </w:pPr>
      <w:r>
        <w:t>Näst</w:t>
      </w:r>
      <w:r w:rsidR="00E35D38">
        <w:t xml:space="preserve"> </w:t>
      </w:r>
      <w:r>
        <w:t>intill varje dag skjuter gängkriminella någon i Sverige eller spränger byggnader, bilar eller människor. Det är ett kritiskt, ofta dödligt, hot mot individen och ett lika allvarligt hot mot samhället i stort. Statens våldsmonopol utmanas och den mellan</w:t>
      </w:r>
      <w:r w:rsidR="0015004C">
        <w:softHyphen/>
      </w:r>
      <w:r>
        <w:t xml:space="preserve">mänskliga tilliten urholkas. Och trenden går åt fel håll: </w:t>
      </w:r>
      <w:r w:rsidR="00B10DE1">
        <w:t>U</w:t>
      </w:r>
      <w:r>
        <w:t xml:space="preserve">nder många år minskade det dödliga våldet gradvis i förhållande till folkmängd men </w:t>
      </w:r>
      <w:r w:rsidR="00424788">
        <w:t xml:space="preserve">har sedan </w:t>
      </w:r>
      <w:r>
        <w:t>2014</w:t>
      </w:r>
      <w:r w:rsidR="00424788">
        <w:t xml:space="preserve"> börjat öka igen</w:t>
      </w:r>
      <w:r>
        <w:t>. Uppgången sedan dess beror direkt på konflikter i den kriminella miljön. Sverige är numera ett av de</w:t>
      </w:r>
      <w:r w:rsidR="000A0EFE">
        <w:t xml:space="preserve"> </w:t>
      </w:r>
      <w:r>
        <w:t xml:space="preserve">länder där det skjuts mest och det </w:t>
      </w:r>
      <w:r w:rsidR="00424788">
        <w:t>EU-l</w:t>
      </w:r>
      <w:r>
        <w:t xml:space="preserve">and där det skett den enskilt största ökningen av dödligt skjutvåld. Förra året </w:t>
      </w:r>
      <w:r w:rsidR="00C40237">
        <w:t xml:space="preserve">blev ett </w:t>
      </w:r>
      <w:r>
        <w:t>lågvattenmärke</w:t>
      </w:r>
      <w:r w:rsidR="00C40237">
        <w:t xml:space="preserve"> i antal </w:t>
      </w:r>
      <w:r>
        <w:t>sprängningar och skjutningar. Bara skjutningarna lämnade 107 personer skadade och 62 döda.</w:t>
      </w:r>
    </w:p>
    <w:p w:rsidR="00422B9E" w:rsidP="0015004C" w:rsidRDefault="00996844" w14:paraId="0CDAFD1F" w14:textId="124A59EC">
      <w:r>
        <w:t>Brottsligheten i de kriminella miljöerna är dock inte begränsad till skjutvapenvåld och sprängningar</w:t>
      </w:r>
      <w:r w:rsidR="008D7827">
        <w:t>,</w:t>
      </w:r>
      <w:r>
        <w:t xml:space="preserve"> utan även andra allvarliga brott är vanligt förekommande, såsom</w:t>
      </w:r>
      <w:r w:rsidR="00677DCA">
        <w:t xml:space="preserve"> </w:t>
      </w:r>
      <w:r>
        <w:t xml:space="preserve">narkotikabrott, smugglingsbrott och ekonomisk brottslighet. Narkotikahandeln utgör en betydande inkomstkälla för de kriminella nätverken, och våld och konflikter i de kriminella miljöerna är ofta narkotikarelaterade. Det kan t.ex. vara fråga om uppgörelser </w:t>
      </w:r>
      <w:r>
        <w:lastRenderedPageBreak/>
        <w:t xml:space="preserve">om vem som ska hantera narkotikamarknaden i ett visst område. </w:t>
      </w:r>
      <w:r w:rsidR="00007D3E">
        <w:t>Regeringens proposi</w:t>
      </w:r>
      <w:r w:rsidR="0015004C">
        <w:softHyphen/>
      </w:r>
      <w:r w:rsidR="00007D3E">
        <w:t xml:space="preserve">tion om hemliga tvångsmedel för att förhindra och utreda allvarliga brott är därför en välkommen och tyvärr nödvändig insats. Centerpartiet håller med om behovet av </w:t>
      </w:r>
      <w:r w:rsidR="000A0EFE">
        <w:t xml:space="preserve">en </w:t>
      </w:r>
      <w:r w:rsidR="00007D3E">
        <w:t xml:space="preserve">utökning av polisens och åklagarnas verktygslåda på sätt som verkligen kan göra skillnad i såväl brottsbekämpning som lagföring. </w:t>
      </w:r>
    </w:p>
    <w:p w:rsidR="0044166D" w:rsidP="0015004C" w:rsidRDefault="00677DCA" w14:paraId="247F3858" w14:textId="2B659D4C">
      <w:r>
        <w:t>Den lagstiftning som regeringen nu föreslår är som sagt</w:t>
      </w:r>
      <w:r w:rsidR="00E575A9">
        <w:t xml:space="preserve"> nödvändig, och i stora delar välavvägd. Det är en självklarhet att all lagstiftning ska vara väl genomtänkt</w:t>
      </w:r>
      <w:r w:rsidR="0007337E">
        <w:t xml:space="preserve"> och</w:t>
      </w:r>
      <w:r w:rsidR="00E575A9">
        <w:t xml:space="preserve"> </w:t>
      </w:r>
      <w:r w:rsidR="0007337E">
        <w:t xml:space="preserve">noggrant </w:t>
      </w:r>
      <w:r w:rsidR="00E575A9">
        <w:t xml:space="preserve">analyserad för att uppfylla de höga krav på lagstiftningens kvalitet som vi har i Sverige. Men det är i fall som detta </w:t>
      </w:r>
      <w:r w:rsidR="0040183D">
        <w:t>–</w:t>
      </w:r>
      <w:r w:rsidR="00E575A9">
        <w:t xml:space="preserve"> som rör lagstiftning av synnerlig vikt för ett av vår samtids största samhällsproblem</w:t>
      </w:r>
      <w:r w:rsidR="00FB0A33">
        <w:t xml:space="preserve"> och som</w:t>
      </w:r>
      <w:r w:rsidR="00E575A9">
        <w:t xml:space="preserve"> samtidigt</w:t>
      </w:r>
      <w:r w:rsidR="00E95601">
        <w:t xml:space="preserve"> har långtgående inverkan på individuella fri- och rättigheter – av avsevärd vikt att lagstiftningen </w:t>
      </w:r>
      <w:r w:rsidR="0007337E">
        <w:t xml:space="preserve">verkligen </w:t>
      </w:r>
      <w:r w:rsidR="00E95601">
        <w:t>är</w:t>
      </w:r>
      <w:r w:rsidR="0007337E">
        <w:t xml:space="preserve"> genomlyst och </w:t>
      </w:r>
      <w:r w:rsidR="0044166D">
        <w:t xml:space="preserve">att regeringen är ödmjuk inför de svårigheter och konsekvenser som lagstiftningen innebär. Flera remissinstanser, bl.a. JO, JK, Säkerhets- och </w:t>
      </w:r>
    </w:p>
    <w:p w:rsidR="00424788" w:rsidP="00071107" w:rsidRDefault="0044166D" w14:paraId="79CA1341" w14:textId="359548EF">
      <w:pPr>
        <w:ind w:firstLine="0"/>
      </w:pPr>
      <w:r>
        <w:t xml:space="preserve">integritetsskyddsnämnden, Sveriges advokatsamfund och </w:t>
      </w:r>
      <w:r w:rsidR="0081203B">
        <w:t>j</w:t>
      </w:r>
      <w:r>
        <w:t>uridiska fakulteten vid Uppsala universitet efterlyser</w:t>
      </w:r>
      <w:r w:rsidR="00F92F20">
        <w:t>,</w:t>
      </w:r>
      <w:r>
        <w:t xml:space="preserve"> också en helhetssyn på regleringen om hemliga tvångs</w:t>
      </w:r>
      <w:r w:rsidR="0015004C">
        <w:softHyphen/>
      </w:r>
      <w:r>
        <w:t xml:space="preserve">medel. De anser att det är svårt att få en överblick </w:t>
      </w:r>
      <w:r w:rsidR="00F92F20">
        <w:t>över</w:t>
      </w:r>
      <w:r>
        <w:t xml:space="preserve"> de samlade och långsiktiga effekterna av förslagen. Centrum för rättvisa </w:t>
      </w:r>
      <w:r w:rsidR="009B62EE">
        <w:t xml:space="preserve">m.fl. </w:t>
      </w:r>
      <w:r>
        <w:t>efterfrågar en mer ingående analys av förslagens förenlighet med Europadomstolens praxis</w:t>
      </w:r>
      <w:r w:rsidR="008846AE">
        <w:t xml:space="preserve"> </w:t>
      </w:r>
      <w:r>
        <w:t>på området</w:t>
      </w:r>
      <w:r w:rsidR="008846AE">
        <w:t>, särskilt vad gäller proportionalitetsprincipen</w:t>
      </w:r>
      <w:r>
        <w:t>.</w:t>
      </w:r>
      <w:r w:rsidR="000A0EFE">
        <w:t xml:space="preserve"> </w:t>
      </w:r>
      <w:r w:rsidR="008846AE">
        <w:t>A</w:t>
      </w:r>
      <w:r w:rsidR="00424788">
        <w:t xml:space="preserve">nsvaret </w:t>
      </w:r>
      <w:r w:rsidR="008846AE">
        <w:t xml:space="preserve">vilar därför </w:t>
      </w:r>
      <w:r w:rsidR="00424788">
        <w:t>tungt på regeringen och de</w:t>
      </w:r>
      <w:r w:rsidR="00097E89">
        <w:t>s</w:t>
      </w:r>
      <w:r w:rsidR="00424788">
        <w:t>s myndig</w:t>
      </w:r>
      <w:r w:rsidR="0015004C">
        <w:softHyphen/>
      </w:r>
      <w:r w:rsidR="00424788">
        <w:t xml:space="preserve">heter att genomföra </w:t>
      </w:r>
      <w:r w:rsidR="000A0EFE">
        <w:t xml:space="preserve">och uppfölja </w:t>
      </w:r>
      <w:r w:rsidR="00424788">
        <w:t xml:space="preserve">detta, att använda de verktyg </w:t>
      </w:r>
      <w:r w:rsidR="008846AE">
        <w:t xml:space="preserve">de nu får tillgång till </w:t>
      </w:r>
      <w:r w:rsidR="00424788">
        <w:t xml:space="preserve">och </w:t>
      </w:r>
      <w:r w:rsidR="008846AE">
        <w:t xml:space="preserve">att </w:t>
      </w:r>
      <w:r w:rsidR="00424788">
        <w:t>dessa befogenhete</w:t>
      </w:r>
      <w:r w:rsidR="008846AE">
        <w:t>r</w:t>
      </w:r>
      <w:r w:rsidR="00424788">
        <w:t xml:space="preserve"> inte används mer eller mer ingående än vad som krävs för ända</w:t>
      </w:r>
      <w:r w:rsidR="0015004C">
        <w:softHyphen/>
      </w:r>
      <w:r w:rsidR="00424788">
        <w:t>målet med åtgärden</w:t>
      </w:r>
      <w:r w:rsidR="00071107">
        <w:t>,</w:t>
      </w:r>
      <w:r w:rsidR="00424788">
        <w:t xml:space="preserve"> och att dokumentationen av dessa beslut sköts.</w:t>
      </w:r>
      <w:r w:rsidR="000A0EFE">
        <w:t xml:space="preserve"> </w:t>
      </w:r>
      <w:r w:rsidR="009B62EE">
        <w:t>P</w:t>
      </w:r>
      <w:r w:rsidR="00071107">
        <w:t>olis</w:t>
      </w:r>
      <w:r w:rsidR="009B62EE">
        <w:t>myndigheten</w:t>
      </w:r>
      <w:r w:rsidR="00071107">
        <w:t xml:space="preserve"> har </w:t>
      </w:r>
      <w:r w:rsidR="009B62EE">
        <w:t xml:space="preserve">också </w:t>
      </w:r>
      <w:r w:rsidR="00071107">
        <w:t xml:space="preserve">ett särskilt </w:t>
      </w:r>
      <w:r w:rsidR="00CF1C9C">
        <w:t>viktigt</w:t>
      </w:r>
      <w:r w:rsidR="00071107">
        <w:t xml:space="preserve"> </w:t>
      </w:r>
      <w:r w:rsidR="00424788">
        <w:t xml:space="preserve">ansvar att i det dagliga arbetet </w:t>
      </w:r>
      <w:r w:rsidR="00071107">
        <w:t xml:space="preserve">samvetsgrant </w:t>
      </w:r>
      <w:r w:rsidR="00CF1C9C">
        <w:t xml:space="preserve">och </w:t>
      </w:r>
      <w:r w:rsidR="00424788">
        <w:t>balanserat väga de repressiva och rättsstatliga principerna</w:t>
      </w:r>
      <w:r w:rsidR="00071107">
        <w:t xml:space="preserve"> mot varandra</w:t>
      </w:r>
      <w:r w:rsidR="00424788">
        <w:t xml:space="preserve">. </w:t>
      </w:r>
      <w:r w:rsidR="00CF1C9C">
        <w:t xml:space="preserve">Det är därför viktigt att en utvärdering av lagstiftningen genomförs för att utreda hur tolkning och tillämpning förhåller sig till </w:t>
      </w:r>
      <w:r w:rsidR="009B2D5A">
        <w:t>bl.a.</w:t>
      </w:r>
      <w:r w:rsidR="00CF1C9C">
        <w:t xml:space="preserve"> </w:t>
      </w:r>
      <w:r w:rsidR="000F77A6">
        <w:t>proportionalitetsprincipen under Europakonventionen, enskilda fri- och rättighetsaspekter, särskilt vad gäller rättssäkerhet</w:t>
      </w:r>
      <w:r w:rsidR="001B3BE2">
        <w:t>s</w:t>
      </w:r>
      <w:r w:rsidR="000F77A6">
        <w:t xml:space="preserve">- och </w:t>
      </w:r>
      <w:r w:rsidR="00CF1C9C">
        <w:t>integritet</w:t>
      </w:r>
      <w:r w:rsidR="000F77A6">
        <w:t>sfrågor</w:t>
      </w:r>
      <w:r w:rsidR="009B2D5A">
        <w:t>, helhets</w:t>
      </w:r>
      <w:r w:rsidR="0015004C">
        <w:softHyphen/>
      </w:r>
      <w:r w:rsidR="009B2D5A">
        <w:t xml:space="preserve">bilden av </w:t>
      </w:r>
      <w:r w:rsidR="001A40AD">
        <w:t xml:space="preserve">hemliga tvångsmedel </w:t>
      </w:r>
      <w:r w:rsidR="009B2D5A">
        <w:t>och avsedd effekt.</w:t>
      </w:r>
      <w:r w:rsidR="000F77A6">
        <w:t xml:space="preserve"> </w:t>
      </w:r>
      <w:r w:rsidR="00506384">
        <w:t>Centerpartiet anser att förslaget</w:t>
      </w:r>
      <w:r w:rsidR="008E2578">
        <w:t xml:space="preserve"> med</w:t>
      </w:r>
      <w:r w:rsidR="00506384">
        <w:t xml:space="preserve"> utvärdering inom fem år är alltför generöst i förhållande till dessa aspekter, och att en utredning bör tillsättas inom </w:t>
      </w:r>
      <w:r w:rsidR="009B2D5A">
        <w:t>två</w:t>
      </w:r>
      <w:r w:rsidR="00506384">
        <w:t xml:space="preserve"> år från ikraftträdandet för att säkerställa att lagen får de effekter som avses. </w:t>
      </w:r>
    </w:p>
    <w:p w:rsidR="00BB6339" w:rsidP="0015004C" w:rsidRDefault="009B62EE" w14:paraId="482D39B8" w14:textId="321D9B95">
      <w:r>
        <w:t>Förslagen leder</w:t>
      </w:r>
      <w:r w:rsidR="00152A7E">
        <w:t xml:space="preserve"> också</w:t>
      </w:r>
      <w:r>
        <w:t xml:space="preserve"> till ökade kostnader för Polismyndigheten, Åklagar</w:t>
      </w:r>
      <w:r w:rsidR="0015004C">
        <w:softHyphen/>
      </w:r>
      <w:r>
        <w:t>myndigheten, Tullverket, Ekobrottsmyndigheten, Säkerhets- och integritetsskydds</w:t>
      </w:r>
      <w:r w:rsidR="0015004C">
        <w:softHyphen/>
      </w:r>
      <w:r>
        <w:t>nämnden, Skatteverket och Sveriges Domstolar.</w:t>
      </w:r>
      <w:r w:rsidR="008456DF">
        <w:t xml:space="preserve"> R</w:t>
      </w:r>
      <w:r w:rsidR="00424788">
        <w:t xml:space="preserve">egeringen </w:t>
      </w:r>
      <w:r w:rsidR="008456DF">
        <w:t xml:space="preserve">måste därför tillse att </w:t>
      </w:r>
      <w:r w:rsidR="00424788">
        <w:t xml:space="preserve">myndigheterna och medarbetarna </w:t>
      </w:r>
      <w:r w:rsidR="008E2578">
        <w:t xml:space="preserve">har </w:t>
      </w:r>
      <w:r w:rsidR="00424788">
        <w:t>rätt stöd, resurser, verktyg och ledarskap för att genomföra detta</w:t>
      </w:r>
      <w:r w:rsidR="008456DF">
        <w:t xml:space="preserve"> och att det finns finansiering för de nya och utökade uppdrag som nu landar på berörda myndigheter. </w:t>
      </w:r>
      <w:r w:rsidR="00152A7E">
        <w:t>Regeringen måste därför inom ett år utvärdera och säkerställa att</w:t>
      </w:r>
      <w:r w:rsidR="008E2578">
        <w:t xml:space="preserve"> </w:t>
      </w:r>
      <w:r w:rsidR="00152A7E">
        <w:t>myndigheter</w:t>
      </w:r>
      <w:r w:rsidR="008E2578">
        <w:t>na</w:t>
      </w:r>
      <w:r w:rsidR="00152A7E">
        <w:t xml:space="preserve"> har de resurser som krävs för att uppfylla </w:t>
      </w:r>
      <w:r w:rsidR="002A6546">
        <w:t>sina uppgifter på ett effektivt, rättssäkert och förutsebart sätt.</w:t>
      </w:r>
    </w:p>
    <w:sdt>
      <w:sdtPr>
        <w:alias w:val="CC_Underskrifter"/>
        <w:tag w:val="CC_Underskrifter"/>
        <w:id w:val="583496634"/>
        <w:lock w:val="sdtContentLocked"/>
        <w:placeholder>
          <w:docPart w:val="E238BD77CE194B05B0D3873D2C7FB564"/>
        </w:placeholder>
      </w:sdtPr>
      <w:sdtEndPr>
        <w:rPr>
          <w:i/>
          <w:noProof/>
        </w:rPr>
      </w:sdtEndPr>
      <w:sdtContent>
        <w:p w:rsidR="00C25F3D" w:rsidP="00C25F3D" w:rsidRDefault="00C25F3D" w14:paraId="7B082F86" w14:textId="77777777"/>
        <w:p w:rsidR="00CC11BF" w:rsidP="00C25F3D" w:rsidRDefault="0015004C" w14:paraId="0A0C2F2C" w14:textId="6C87AD01"/>
      </w:sdtContent>
    </w:sdt>
    <w:tbl>
      <w:tblPr>
        <w:tblW w:w="5000" w:type="pct"/>
        <w:tblLook w:val="04A0" w:firstRow="1" w:lastRow="0" w:firstColumn="1" w:lastColumn="0" w:noHBand="0" w:noVBand="1"/>
        <w:tblCaption w:val="underskrifter"/>
      </w:tblPr>
      <w:tblGrid>
        <w:gridCol w:w="4252"/>
        <w:gridCol w:w="4252"/>
      </w:tblGrid>
      <w:tr w:rsidR="00E12D62" w14:paraId="01F6F8B8" w14:textId="77777777">
        <w:trPr>
          <w:cantSplit/>
        </w:trPr>
        <w:tc>
          <w:tcPr>
            <w:tcW w:w="50" w:type="pct"/>
            <w:vAlign w:val="bottom"/>
          </w:tcPr>
          <w:p w:rsidR="00E12D62" w:rsidRDefault="000C3026" w14:paraId="66022CE5" w14:textId="77777777">
            <w:pPr>
              <w:pStyle w:val="Underskrifter"/>
            </w:pPr>
            <w:r>
              <w:t>Ulrika Liljeberg (C)</w:t>
            </w:r>
          </w:p>
        </w:tc>
        <w:tc>
          <w:tcPr>
            <w:tcW w:w="50" w:type="pct"/>
            <w:vAlign w:val="bottom"/>
          </w:tcPr>
          <w:p w:rsidR="00E12D62" w:rsidRDefault="000C3026" w14:paraId="7C812860" w14:textId="77777777">
            <w:pPr>
              <w:pStyle w:val="Underskrifter"/>
            </w:pPr>
            <w:r>
              <w:t>Malin Björk (C)</w:t>
            </w:r>
          </w:p>
        </w:tc>
      </w:tr>
      <w:tr w:rsidR="00E12D62" w14:paraId="5A3F0B8D" w14:textId="77777777">
        <w:trPr>
          <w:gridAfter w:val="1"/>
          <w:wAfter w:w="4252" w:type="dxa"/>
          <w:cantSplit/>
        </w:trPr>
        <w:tc>
          <w:tcPr>
            <w:tcW w:w="50" w:type="pct"/>
            <w:vAlign w:val="bottom"/>
          </w:tcPr>
          <w:p w:rsidR="00E12D62" w:rsidRDefault="000C3026" w14:paraId="7AB05879" w14:textId="77777777">
            <w:pPr>
              <w:pStyle w:val="Underskrifter"/>
            </w:pPr>
            <w:r>
              <w:t>Martina Johansson (C)</w:t>
            </w:r>
          </w:p>
        </w:tc>
      </w:tr>
    </w:tbl>
    <w:p w:rsidRPr="008E0FE2" w:rsidR="004801AC" w:rsidP="00DF3554" w:rsidRDefault="004801AC" w14:paraId="107A70F8"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1DE5" w14:textId="77777777" w:rsidR="00BC429C" w:rsidRDefault="00BC429C" w:rsidP="000C1CAD">
      <w:pPr>
        <w:spacing w:line="240" w:lineRule="auto"/>
      </w:pPr>
      <w:r>
        <w:separator/>
      </w:r>
    </w:p>
  </w:endnote>
  <w:endnote w:type="continuationSeparator" w:id="0">
    <w:p w14:paraId="30CAE5E1" w14:textId="77777777" w:rsidR="00BC429C" w:rsidRDefault="00BC4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8D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EA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B701" w14:textId="2013983C" w:rsidR="00262EA3" w:rsidRPr="00C25F3D" w:rsidRDefault="00262EA3" w:rsidP="00C25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1B3E" w14:textId="77777777" w:rsidR="00BC429C" w:rsidRDefault="00BC429C" w:rsidP="000C1CAD">
      <w:pPr>
        <w:spacing w:line="240" w:lineRule="auto"/>
      </w:pPr>
      <w:r>
        <w:separator/>
      </w:r>
    </w:p>
  </w:footnote>
  <w:footnote w:type="continuationSeparator" w:id="0">
    <w:p w14:paraId="30D7E108" w14:textId="77777777" w:rsidR="00BC429C" w:rsidRDefault="00BC42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69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4833D" wp14:editId="093B7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04D790" w14:textId="27F01AD2" w:rsidR="00262EA3" w:rsidRDefault="0015004C" w:rsidP="008103B5">
                          <w:pPr>
                            <w:jc w:val="right"/>
                          </w:pPr>
                          <w:sdt>
                            <w:sdtPr>
                              <w:alias w:val="CC_Noformat_Partikod"/>
                              <w:tag w:val="CC_Noformat_Partikod"/>
                              <w:id w:val="-53464382"/>
                              <w:text/>
                            </w:sdtPr>
                            <w:sdtEndPr/>
                            <w:sdtContent>
                              <w:r w:rsidR="0043457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483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04D790" w14:textId="27F01AD2" w:rsidR="00262EA3" w:rsidRDefault="0015004C" w:rsidP="008103B5">
                    <w:pPr>
                      <w:jc w:val="right"/>
                    </w:pPr>
                    <w:sdt>
                      <w:sdtPr>
                        <w:alias w:val="CC_Noformat_Partikod"/>
                        <w:tag w:val="CC_Noformat_Partikod"/>
                        <w:id w:val="-53464382"/>
                        <w:text/>
                      </w:sdtPr>
                      <w:sdtEndPr/>
                      <w:sdtContent>
                        <w:r w:rsidR="0043457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5B28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EE8A" w14:textId="77777777" w:rsidR="00262EA3" w:rsidRDefault="00262EA3" w:rsidP="008563AC">
    <w:pPr>
      <w:jc w:val="right"/>
    </w:pPr>
  </w:p>
  <w:p w14:paraId="6D4528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9052" w14:textId="77777777" w:rsidR="00262EA3" w:rsidRDefault="001500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6EB999" wp14:editId="14D30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4A84CA" w14:textId="117B89C5" w:rsidR="00262EA3" w:rsidRDefault="0015004C" w:rsidP="00A314CF">
    <w:pPr>
      <w:pStyle w:val="FSHNormal"/>
      <w:spacing w:before="40"/>
    </w:pPr>
    <w:sdt>
      <w:sdtPr>
        <w:alias w:val="CC_Noformat_Motionstyp"/>
        <w:tag w:val="CC_Noformat_Motionstyp"/>
        <w:id w:val="1162973129"/>
        <w:lock w:val="sdtContentLocked"/>
        <w15:appearance w15:val="hidden"/>
        <w:text/>
      </w:sdtPr>
      <w:sdtEndPr/>
      <w:sdtContent>
        <w:r w:rsidR="00C25F3D">
          <w:t>Kommittémotion</w:t>
        </w:r>
      </w:sdtContent>
    </w:sdt>
    <w:r w:rsidR="00821B36">
      <w:t xml:space="preserve"> </w:t>
    </w:r>
    <w:sdt>
      <w:sdtPr>
        <w:alias w:val="CC_Noformat_Partikod"/>
        <w:tag w:val="CC_Noformat_Partikod"/>
        <w:id w:val="1471015553"/>
        <w:text/>
      </w:sdtPr>
      <w:sdtEndPr/>
      <w:sdtContent>
        <w:r w:rsidR="00434574">
          <w:t>C</w:t>
        </w:r>
      </w:sdtContent>
    </w:sdt>
    <w:sdt>
      <w:sdtPr>
        <w:alias w:val="CC_Noformat_Partinummer"/>
        <w:tag w:val="CC_Noformat_Partinummer"/>
        <w:id w:val="-2014525982"/>
        <w:showingPlcHdr/>
        <w:text/>
      </w:sdtPr>
      <w:sdtEndPr/>
      <w:sdtContent>
        <w:r w:rsidR="00821B36">
          <w:t xml:space="preserve"> </w:t>
        </w:r>
      </w:sdtContent>
    </w:sdt>
  </w:p>
  <w:p w14:paraId="7AD50701" w14:textId="77777777" w:rsidR="00262EA3" w:rsidRPr="008227B3" w:rsidRDefault="001500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7AB875" w14:textId="284B6283" w:rsidR="00262EA3" w:rsidRPr="008227B3" w:rsidRDefault="001500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5F3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5F3D">
          <w:t>:2404</w:t>
        </w:r>
      </w:sdtContent>
    </w:sdt>
  </w:p>
  <w:p w14:paraId="54034D86" w14:textId="3B2DAA1A" w:rsidR="00262EA3" w:rsidRDefault="0015004C" w:rsidP="00E03A3D">
    <w:pPr>
      <w:pStyle w:val="Motionr"/>
    </w:pPr>
    <w:sdt>
      <w:sdtPr>
        <w:alias w:val="CC_Noformat_Avtext"/>
        <w:tag w:val="CC_Noformat_Avtext"/>
        <w:id w:val="-2020768203"/>
        <w:lock w:val="sdtContentLocked"/>
        <w15:appearance w15:val="hidden"/>
        <w:text/>
      </w:sdtPr>
      <w:sdtEndPr/>
      <w:sdtContent>
        <w:r w:rsidR="00C25F3D">
          <w:t>av Ulrika Liljeberg m.fl. (C)</w:t>
        </w:r>
      </w:sdtContent>
    </w:sdt>
  </w:p>
  <w:sdt>
    <w:sdtPr>
      <w:alias w:val="CC_Noformat_Rubtext"/>
      <w:tag w:val="CC_Noformat_Rubtext"/>
      <w:id w:val="-218060500"/>
      <w:lock w:val="sdtLocked"/>
      <w:text/>
    </w:sdtPr>
    <w:sdtEndPr/>
    <w:sdtContent>
      <w:p w14:paraId="1DC1F289" w14:textId="31FADE8F" w:rsidR="00262EA3" w:rsidRDefault="00996844" w:rsidP="00283E0F">
        <w:pPr>
          <w:pStyle w:val="FSHRub2"/>
        </w:pPr>
        <w:r>
          <w:t>med anledning av prop. 2022/23:126 Hemliga tvångsmedel – effektiva verktyg för att förhindra och utreda allvarliga brott</w:t>
        </w:r>
      </w:p>
    </w:sdtContent>
  </w:sdt>
  <w:sdt>
    <w:sdtPr>
      <w:alias w:val="CC_Boilerplate_3"/>
      <w:tag w:val="CC_Boilerplate_3"/>
      <w:id w:val="1606463544"/>
      <w:lock w:val="sdtContentLocked"/>
      <w15:appearance w15:val="hidden"/>
      <w:text w:multiLine="1"/>
    </w:sdtPr>
    <w:sdtEndPr/>
    <w:sdtContent>
      <w:p w14:paraId="348237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A80845"/>
    <w:multiLevelType w:val="hybridMultilevel"/>
    <w:tmpl w:val="63A077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345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E"/>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20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07"/>
    <w:rsid w:val="00071630"/>
    <w:rsid w:val="00071671"/>
    <w:rsid w:val="000719B7"/>
    <w:rsid w:val="000721ED"/>
    <w:rsid w:val="000724B8"/>
    <w:rsid w:val="00072835"/>
    <w:rsid w:val="0007290B"/>
    <w:rsid w:val="000732C2"/>
    <w:rsid w:val="0007337E"/>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E89"/>
    <w:rsid w:val="000A06E9"/>
    <w:rsid w:val="000A0EFE"/>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026"/>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7A6"/>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7B"/>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4C"/>
    <w:rsid w:val="001500C1"/>
    <w:rsid w:val="00151546"/>
    <w:rsid w:val="00151EA2"/>
    <w:rsid w:val="00152A7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A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BE2"/>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4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E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83D"/>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8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74"/>
    <w:rsid w:val="0043480A"/>
    <w:rsid w:val="00434C54"/>
    <w:rsid w:val="0043512E"/>
    <w:rsid w:val="00435275"/>
    <w:rsid w:val="00435841"/>
    <w:rsid w:val="004365A5"/>
    <w:rsid w:val="0043660E"/>
    <w:rsid w:val="00436F91"/>
    <w:rsid w:val="00437455"/>
    <w:rsid w:val="00437FBC"/>
    <w:rsid w:val="004409FE"/>
    <w:rsid w:val="00440BFE"/>
    <w:rsid w:val="004412C0"/>
    <w:rsid w:val="0044166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7BD"/>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38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CA"/>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845"/>
    <w:rsid w:val="0080549D"/>
    <w:rsid w:val="00805573"/>
    <w:rsid w:val="00805EC4"/>
    <w:rsid w:val="00806F64"/>
    <w:rsid w:val="00807006"/>
    <w:rsid w:val="00807088"/>
    <w:rsid w:val="0080784F"/>
    <w:rsid w:val="00807D28"/>
    <w:rsid w:val="008103B5"/>
    <w:rsid w:val="00810830"/>
    <w:rsid w:val="008113C5"/>
    <w:rsid w:val="008119A4"/>
    <w:rsid w:val="00811D86"/>
    <w:rsid w:val="0081203B"/>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D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6AE"/>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827"/>
    <w:rsid w:val="008D7C55"/>
    <w:rsid w:val="008E07A5"/>
    <w:rsid w:val="008E0FE2"/>
    <w:rsid w:val="008E1B42"/>
    <w:rsid w:val="008E257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910"/>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844"/>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5A"/>
    <w:rsid w:val="009B2FC0"/>
    <w:rsid w:val="009B36AC"/>
    <w:rsid w:val="009B3876"/>
    <w:rsid w:val="009B4205"/>
    <w:rsid w:val="009B42D9"/>
    <w:rsid w:val="009B4D85"/>
    <w:rsid w:val="009B5013"/>
    <w:rsid w:val="009B62E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1"/>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9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3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3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C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62"/>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3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5A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0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20"/>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A3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C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EFC835"/>
  <w15:chartTrackingRefBased/>
  <w15:docId w15:val="{BA1910A0-0C02-412B-8AAE-760EEE29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0809E782C74820BD89A02DE9689871"/>
        <w:category>
          <w:name w:val="Allmänt"/>
          <w:gallery w:val="placeholder"/>
        </w:category>
        <w:types>
          <w:type w:val="bbPlcHdr"/>
        </w:types>
        <w:behaviors>
          <w:behavior w:val="content"/>
        </w:behaviors>
        <w:guid w:val="{33D09083-066C-495F-83EB-0FDB6374C0FC}"/>
      </w:docPartPr>
      <w:docPartBody>
        <w:p w:rsidR="00D02E59" w:rsidRDefault="006718F5">
          <w:pPr>
            <w:pStyle w:val="260809E782C74820BD89A02DE9689871"/>
          </w:pPr>
          <w:r w:rsidRPr="005A0A93">
            <w:rPr>
              <w:rStyle w:val="Platshllartext"/>
            </w:rPr>
            <w:t>Förslag till riksdagsbeslut</w:t>
          </w:r>
        </w:p>
      </w:docPartBody>
    </w:docPart>
    <w:docPart>
      <w:docPartPr>
        <w:name w:val="064DD970FCCE4FC59E9C73C0E3B53A80"/>
        <w:category>
          <w:name w:val="Allmänt"/>
          <w:gallery w:val="placeholder"/>
        </w:category>
        <w:types>
          <w:type w:val="bbPlcHdr"/>
        </w:types>
        <w:behaviors>
          <w:behavior w:val="content"/>
        </w:behaviors>
        <w:guid w:val="{612F3FBE-DB52-452A-A7CD-F2E023C7A5C3}"/>
      </w:docPartPr>
      <w:docPartBody>
        <w:p w:rsidR="00D02E59" w:rsidRDefault="006718F5">
          <w:pPr>
            <w:pStyle w:val="064DD970FCCE4FC59E9C73C0E3B53A80"/>
          </w:pPr>
          <w:r w:rsidRPr="005A0A93">
            <w:rPr>
              <w:rStyle w:val="Platshllartext"/>
            </w:rPr>
            <w:t>Motivering</w:t>
          </w:r>
        </w:p>
      </w:docPartBody>
    </w:docPart>
    <w:docPart>
      <w:docPartPr>
        <w:name w:val="E238BD77CE194B05B0D3873D2C7FB564"/>
        <w:category>
          <w:name w:val="Allmänt"/>
          <w:gallery w:val="placeholder"/>
        </w:category>
        <w:types>
          <w:type w:val="bbPlcHdr"/>
        </w:types>
        <w:behaviors>
          <w:behavior w:val="content"/>
        </w:behaviors>
        <w:guid w:val="{C97842C1-18EA-4A1E-8248-303BA00BD370}"/>
      </w:docPartPr>
      <w:docPartBody>
        <w:p w:rsidR="005A530A" w:rsidRDefault="005A5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F5"/>
    <w:rsid w:val="0052079A"/>
    <w:rsid w:val="005A530A"/>
    <w:rsid w:val="006718F5"/>
    <w:rsid w:val="00D02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809E782C74820BD89A02DE9689871">
    <w:name w:val="260809E782C74820BD89A02DE9689871"/>
  </w:style>
  <w:style w:type="paragraph" w:customStyle="1" w:styleId="064DD970FCCE4FC59E9C73C0E3B53A80">
    <w:name w:val="064DD970FCCE4FC59E9C73C0E3B53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FDC78-FCB5-4468-BB72-E39CA71E2550}"/>
</file>

<file path=customXml/itemProps2.xml><?xml version="1.0" encoding="utf-8"?>
<ds:datastoreItem xmlns:ds="http://schemas.openxmlformats.org/officeDocument/2006/customXml" ds:itemID="{A6C16981-B4B9-406A-A22E-28AC00514AD3}"/>
</file>

<file path=customXml/itemProps3.xml><?xml version="1.0" encoding="utf-8"?>
<ds:datastoreItem xmlns:ds="http://schemas.openxmlformats.org/officeDocument/2006/customXml" ds:itemID="{1338EAA3-F9A0-4F63-81F5-DA76ECF0657A}"/>
</file>

<file path=docProps/app.xml><?xml version="1.0" encoding="utf-8"?>
<Properties xmlns="http://schemas.openxmlformats.org/officeDocument/2006/extended-properties" xmlns:vt="http://schemas.openxmlformats.org/officeDocument/2006/docPropsVTypes">
  <Template>Normal</Template>
  <TotalTime>87</TotalTime>
  <Pages>2</Pages>
  <Words>715</Words>
  <Characters>4305</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2022 23 126 Hemliga tvångsmedel   effektiva verktyg för att  förhindra och utreda allvarliga brott</vt:lpstr>
      <vt:lpstr>
      </vt:lpstr>
    </vt:vector>
  </TitlesOfParts>
  <Company>Sveriges riksdag</Company>
  <LinksUpToDate>false</LinksUpToDate>
  <CharactersWithSpaces>5006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