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35F00-CEEB-49AC-AF2E-0C9F1008AD09}"/>
</file>

<file path=customXml/itemProps2.xml><?xml version="1.0" encoding="utf-8"?>
<ds:datastoreItem xmlns:ds="http://schemas.openxmlformats.org/officeDocument/2006/customXml" ds:itemID="{2A5EB831-02EA-4AC2-8D34-D0756C11D435}"/>
</file>

<file path=customXml/itemProps3.xml><?xml version="1.0" encoding="utf-8"?>
<ds:datastoreItem xmlns:ds="http://schemas.openxmlformats.org/officeDocument/2006/customXml" ds:itemID="{4CD57ABA-C944-4204-A53A-5A8420CBC0C7}"/>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