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7186D89711F475AB7270470F34F3EAC"/>
        </w:placeholder>
        <w:text/>
      </w:sdtPr>
      <w:sdtEndPr/>
      <w:sdtContent>
        <w:p w:rsidRPr="009B062B" w:rsidR="00AF30DD" w:rsidP="00654C2F" w:rsidRDefault="00AF30DD" w14:paraId="472A2E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43057" w:displacedByCustomXml="next" w:id="0"/>
    <w:sdt>
      <w:sdtPr>
        <w:alias w:val="Yrkande 1"/>
        <w:tag w:val="dc76dce5-dee8-4163-a0e9-a3b50da1004f"/>
        <w:id w:val="1851445105"/>
        <w:lock w:val="sdtLocked"/>
      </w:sdtPr>
      <w:sdtEndPr/>
      <w:sdtContent>
        <w:p w:rsidR="006A42BA" w:rsidRDefault="00DC50BF" w14:paraId="38389DB4" w14:textId="77777777">
          <w:pPr>
            <w:pStyle w:val="Frslagstext"/>
          </w:pPr>
          <w:r>
            <w:t>Riksdagen ställer sig bakom det som anförs i motionen om utbildning och forskning inom utveckling av digitala spel och tillkännager detta för regeringen.</w:t>
          </w:r>
        </w:p>
      </w:sdtContent>
    </w:sdt>
    <w:bookmarkEnd w:displacedByCustomXml="next" w:id="0"/>
    <w:bookmarkStart w:name="_Hlk52543058" w:displacedByCustomXml="next" w:id="1"/>
    <w:sdt>
      <w:sdtPr>
        <w:alias w:val="Yrkande 2"/>
        <w:tag w:val="d3eef314-d8e4-4dae-ad02-cb57715b0345"/>
        <w:id w:val="-1004817727"/>
        <w:lock w:val="sdtLocked"/>
      </w:sdtPr>
      <w:sdtEndPr/>
      <w:sdtContent>
        <w:p w:rsidR="006A42BA" w:rsidRDefault="00DC50BF" w14:paraId="6F06C393" w14:textId="5102D17B">
          <w:pPr>
            <w:pStyle w:val="Frslagstext"/>
          </w:pPr>
          <w:r>
            <w:t xml:space="preserve">Riksdagen ställer sig bakom det som anförs i motionen om att utreda att utveckla FoU-avdraget till </w:t>
          </w:r>
          <w:r w:rsidR="00D377BB">
            <w:t>i</w:t>
          </w:r>
          <w:r>
            <w:t>nnovationsavdraget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72FFFDDCF8CD4E3BBA1E7F2A47546985"/>
        </w:placeholder>
        <w:text/>
      </w:sdtPr>
      <w:sdtEndPr/>
      <w:sdtContent>
        <w:p w:rsidRPr="009B062B" w:rsidR="006D79C9" w:rsidP="00333E95" w:rsidRDefault="006D79C9" w14:paraId="7189DFA7" w14:textId="77777777">
          <w:pPr>
            <w:pStyle w:val="Rubrik1"/>
          </w:pPr>
          <w:r>
            <w:t>Motivering</w:t>
          </w:r>
        </w:p>
      </w:sdtContent>
    </w:sdt>
    <w:p w:rsidRPr="00036702" w:rsidR="00036702" w:rsidP="00036702" w:rsidRDefault="00213D75" w14:paraId="440F71BA" w14:textId="6137EC20">
      <w:pPr>
        <w:pStyle w:val="Normalutanindragellerluft"/>
        <w:rPr>
          <w:spacing w:val="-1"/>
        </w:rPr>
      </w:pPr>
      <w:r w:rsidRPr="00036702">
        <w:rPr>
          <w:spacing w:val="-1"/>
        </w:rPr>
        <w:t>Spelutveckling är en tillväxtbransch. Företagen agerar på en internationell marknad med stark tillväxt</w:t>
      </w:r>
      <w:r w:rsidRPr="00036702" w:rsidR="00731E68">
        <w:rPr>
          <w:spacing w:val="-1"/>
        </w:rPr>
        <w:t>,</w:t>
      </w:r>
      <w:r w:rsidRPr="00036702">
        <w:rPr>
          <w:spacing w:val="-1"/>
        </w:rPr>
        <w:t xml:space="preserve"> och även kompetensförsörjningen sker i hög grad på en global arbetsmark</w:t>
      </w:r>
      <w:r w:rsidRPr="00036702" w:rsidR="00036702">
        <w:rPr>
          <w:spacing w:val="-1"/>
        </w:rPr>
        <w:softHyphen/>
      </w:r>
      <w:r w:rsidRPr="00036702">
        <w:rPr>
          <w:spacing w:val="-1"/>
        </w:rPr>
        <w:t xml:space="preserve">nad. </w:t>
      </w:r>
    </w:p>
    <w:p w:rsidR="00513870" w:rsidP="00036702" w:rsidRDefault="00513870" w14:paraId="1DFE593B" w14:textId="02895F1E">
      <w:r>
        <w:t xml:space="preserve">Enligt </w:t>
      </w:r>
      <w:r w:rsidRPr="003532D6">
        <w:t>Spelutvecklarindex</w:t>
      </w:r>
      <w:r>
        <w:t xml:space="preserve"> från 2019, </w:t>
      </w:r>
      <w:r w:rsidRPr="003532D6">
        <w:t xml:space="preserve">en årlig rapport </w:t>
      </w:r>
      <w:r w:rsidR="00087A1D">
        <w:t>från organisationen Dataspels</w:t>
      </w:r>
      <w:r w:rsidR="00036702">
        <w:softHyphen/>
      </w:r>
      <w:r w:rsidR="00087A1D">
        <w:t xml:space="preserve">branschen, </w:t>
      </w:r>
      <w:r w:rsidRPr="003532D6">
        <w:t>som kartlägger tillväxten hos svenska spelföretag</w:t>
      </w:r>
      <w:r>
        <w:t xml:space="preserve">, </w:t>
      </w:r>
      <w:r w:rsidR="00213D75">
        <w:t>sysselsätter</w:t>
      </w:r>
      <w:r w:rsidR="00D627DD">
        <w:t xml:space="preserve"> svenska spel</w:t>
      </w:r>
      <w:r w:rsidR="00036702">
        <w:softHyphen/>
      </w:r>
      <w:r w:rsidR="00D627DD">
        <w:t>bolag</w:t>
      </w:r>
      <w:r w:rsidR="00213D75">
        <w:t xml:space="preserve"> drygt 5</w:t>
      </w:r>
      <w:r w:rsidR="00731E68">
        <w:t> </w:t>
      </w:r>
      <w:r w:rsidR="00213D75">
        <w:t>300 personer i Sverige och närmare 8</w:t>
      </w:r>
      <w:r w:rsidR="00731E68">
        <w:t> </w:t>
      </w:r>
      <w:r w:rsidR="00213D75">
        <w:t>000 personer globalt</w:t>
      </w:r>
      <w:r>
        <w:t>. Samma rap</w:t>
      </w:r>
      <w:r w:rsidR="00036702">
        <w:softHyphen/>
      </w:r>
      <w:r>
        <w:t xml:space="preserve">port visade även att </w:t>
      </w:r>
      <w:r w:rsidR="003532D6">
        <w:t xml:space="preserve">svenska spelutvecklares omsättning </w:t>
      </w:r>
      <w:r>
        <w:t xml:space="preserve">ökade </w:t>
      </w:r>
      <w:r w:rsidR="003532D6">
        <w:t xml:space="preserve">till 19,2 miljarder kronor under 2018. </w:t>
      </w:r>
      <w:r w:rsidR="005D2B7C">
        <w:t>Det är en tredubbling på fem år.</w:t>
      </w:r>
    </w:p>
    <w:p w:rsidR="00036702" w:rsidP="00036702" w:rsidRDefault="00513870" w14:paraId="2BB0A762" w14:textId="6B12C110">
      <w:r>
        <w:t>Exemplen på svenska framgångsrika spelutvecklingsföretag är många</w:t>
      </w:r>
      <w:r w:rsidR="00087A1D">
        <w:t xml:space="preserve">. I </w:t>
      </w:r>
      <w:r w:rsidR="003532D6">
        <w:t>Karlstad hittar vi exempelvis</w:t>
      </w:r>
      <w:r w:rsidR="008B4505">
        <w:t xml:space="preserve"> huvudkontoret för</w:t>
      </w:r>
      <w:r w:rsidR="003532D6">
        <w:t xml:space="preserve"> </w:t>
      </w:r>
      <w:r w:rsidRPr="003532D6" w:rsidR="003532D6">
        <w:t>Embracer</w:t>
      </w:r>
      <w:r w:rsidR="003532D6">
        <w:t xml:space="preserve"> Group, </w:t>
      </w:r>
      <w:r w:rsidRPr="003532D6" w:rsidR="003532D6">
        <w:t>ett moderbolag till företag som utvecklar och förlägger PC, konsol- och mobilspel för den globala spelmarknaden</w:t>
      </w:r>
      <w:r w:rsidR="003532D6">
        <w:t xml:space="preserve">. </w:t>
      </w:r>
      <w:r w:rsidRPr="00036702" w:rsidR="003532D6">
        <w:rPr>
          <w:spacing w:val="-1"/>
        </w:rPr>
        <w:t>Med närmare 4</w:t>
      </w:r>
      <w:r w:rsidRPr="00036702" w:rsidR="00731E68">
        <w:rPr>
          <w:spacing w:val="-1"/>
        </w:rPr>
        <w:t> </w:t>
      </w:r>
      <w:r w:rsidRPr="00036702" w:rsidR="003532D6">
        <w:rPr>
          <w:spacing w:val="-1"/>
        </w:rPr>
        <w:t>500 anställda världen över har de idag ett börsvärde på över 60 miljarder kro</w:t>
      </w:r>
      <w:r w:rsidR="00036702">
        <w:rPr>
          <w:spacing w:val="-1"/>
        </w:rPr>
        <w:softHyphen/>
      </w:r>
      <w:r w:rsidRPr="00036702" w:rsidR="003532D6">
        <w:rPr>
          <w:spacing w:val="-1"/>
        </w:rPr>
        <w:t>nor</w:t>
      </w:r>
      <w:r w:rsidRPr="00036702" w:rsidR="00731E68">
        <w:rPr>
          <w:spacing w:val="-1"/>
        </w:rPr>
        <w:t>,</w:t>
      </w:r>
      <w:r w:rsidRPr="00036702" w:rsidR="003532D6">
        <w:rPr>
          <w:spacing w:val="-1"/>
        </w:rPr>
        <w:t xml:space="preserve"> vilket gör dem till det näst största bolaget</w:t>
      </w:r>
      <w:r w:rsidRPr="00036702" w:rsidR="0022788A">
        <w:rPr>
          <w:spacing w:val="-1"/>
        </w:rPr>
        <w:t xml:space="preserve"> inom branschen</w:t>
      </w:r>
      <w:r w:rsidRPr="00036702" w:rsidR="003532D6">
        <w:rPr>
          <w:spacing w:val="-1"/>
        </w:rPr>
        <w:t xml:space="preserve"> i Europa, efter franska </w:t>
      </w:r>
      <w:proofErr w:type="spellStart"/>
      <w:r w:rsidRPr="00036702" w:rsidR="003532D6">
        <w:rPr>
          <w:spacing w:val="-1"/>
        </w:rPr>
        <w:t>Ubisoft</w:t>
      </w:r>
      <w:proofErr w:type="spellEnd"/>
      <w:r w:rsidRPr="00036702" w:rsidR="003532D6">
        <w:rPr>
          <w:spacing w:val="-1"/>
        </w:rPr>
        <w:t>.</w:t>
      </w:r>
    </w:p>
    <w:p w:rsidR="00036702" w:rsidP="00036702" w:rsidRDefault="00213D75" w14:paraId="5C89A3B0" w14:textId="77777777">
      <w:r>
        <w:t>Branschen har mycket goda möjligheter att växa än mer och sätta Sverige på kartan.</w:t>
      </w:r>
      <w:r w:rsidR="00087A1D">
        <w:t xml:space="preserve"> Men för att branschen ska ha lika goda utvecklingsmöjligheter som</w:t>
      </w:r>
      <w:r w:rsidR="00731E68">
        <w:t xml:space="preserve"> i</w:t>
      </w:r>
      <w:r w:rsidR="00087A1D">
        <w:t xml:space="preserve"> andra länder krävs flertalet åtgärder.</w:t>
      </w:r>
    </w:p>
    <w:p w:rsidRPr="00036702" w:rsidR="00036702" w:rsidP="00036702" w:rsidRDefault="0022788A" w14:paraId="2E060B6E" w14:textId="49856160">
      <w:pPr>
        <w:rPr>
          <w:spacing w:val="-1"/>
        </w:rPr>
      </w:pPr>
      <w:r w:rsidRPr="00036702">
        <w:rPr>
          <w:spacing w:val="-1"/>
        </w:rPr>
        <w:t xml:space="preserve">Utbildning är en viktig framgångsfaktor. </w:t>
      </w:r>
      <w:r w:rsidRPr="00036702" w:rsidR="0085133A">
        <w:rPr>
          <w:spacing w:val="-1"/>
        </w:rPr>
        <w:t>Brist på spelutvecklare bromsar hela bran</w:t>
      </w:r>
      <w:r w:rsidRPr="00036702" w:rsidR="00036702">
        <w:rPr>
          <w:spacing w:val="-1"/>
        </w:rPr>
        <w:softHyphen/>
      </w:r>
      <w:r w:rsidRPr="00036702" w:rsidR="0085133A">
        <w:rPr>
          <w:spacing w:val="-1"/>
        </w:rPr>
        <w:t xml:space="preserve">schen. </w:t>
      </w:r>
      <w:r w:rsidRPr="00036702">
        <w:rPr>
          <w:spacing w:val="-1"/>
        </w:rPr>
        <w:t>Den akademiska forskningen inom dat</w:t>
      </w:r>
      <w:r w:rsidRPr="00036702" w:rsidR="00213646">
        <w:rPr>
          <w:spacing w:val="-1"/>
        </w:rPr>
        <w:t>or</w:t>
      </w:r>
      <w:r w:rsidRPr="00036702">
        <w:rPr>
          <w:spacing w:val="-1"/>
        </w:rPr>
        <w:t xml:space="preserve">spel är ett av få områden där Sverige inte </w:t>
      </w:r>
      <w:r w:rsidRPr="00036702">
        <w:rPr>
          <w:spacing w:val="-1"/>
        </w:rPr>
        <w:lastRenderedPageBreak/>
        <w:t xml:space="preserve">är med i världstoppen. </w:t>
      </w:r>
      <w:r w:rsidRPr="00036702" w:rsidR="005D2B7C">
        <w:rPr>
          <w:spacing w:val="-1"/>
        </w:rPr>
        <w:t xml:space="preserve">Forskning skulle stärka </w:t>
      </w:r>
      <w:r w:rsidRPr="00036702" w:rsidR="00087A1D">
        <w:rPr>
          <w:spacing w:val="-1"/>
        </w:rPr>
        <w:t>branschens</w:t>
      </w:r>
      <w:r w:rsidRPr="00036702" w:rsidR="005D2B7C">
        <w:rPr>
          <w:spacing w:val="-1"/>
        </w:rPr>
        <w:t xml:space="preserve"> enorma utveckling vi sett det senaste decenniet. </w:t>
      </w:r>
    </w:p>
    <w:p w:rsidR="00036702" w:rsidP="00036702" w:rsidRDefault="005D2B7C" w14:paraId="1CB994DF" w14:textId="593194BA">
      <w:r>
        <w:t>Den kreativa branschen är som oftast i ständig</w:t>
      </w:r>
      <w:r w:rsidR="0049090B">
        <w:t xml:space="preserve"> attack från kriminella konkurrenter.</w:t>
      </w:r>
      <w:r>
        <w:t xml:space="preserve"> </w:t>
      </w:r>
      <w:r w:rsidRPr="005D2B7C">
        <w:t xml:space="preserve">Mindre företag är ofta chanslösa </w:t>
      </w:r>
      <w:r w:rsidR="0049090B">
        <w:t>mot dem</w:t>
      </w:r>
      <w:r w:rsidRPr="005D2B7C">
        <w:t xml:space="preserve"> som sprider deras spel utan tillstånd. Här be</w:t>
      </w:r>
      <w:r w:rsidR="00036702">
        <w:softHyphen/>
      </w:r>
      <w:r w:rsidRPr="005D2B7C">
        <w:t>hövs både enklare regler och internationell samordning</w:t>
      </w:r>
      <w:r w:rsidR="004760B9">
        <w:t>. Kort och gott</w:t>
      </w:r>
      <w:r w:rsidR="00731E68">
        <w:t>:</w:t>
      </w:r>
      <w:r w:rsidRPr="005D2B7C">
        <w:t xml:space="preserve"> bättre skydd för kreatörerna.</w:t>
      </w:r>
    </w:p>
    <w:p w:rsidRPr="00036702" w:rsidR="0049090B" w:rsidP="00036702" w:rsidRDefault="00087A1D" w14:paraId="6DD5E7DC" w14:textId="021CE76A">
      <w:pPr>
        <w:rPr>
          <w:spacing w:val="-2"/>
        </w:rPr>
      </w:pPr>
      <w:r w:rsidRPr="00036702">
        <w:rPr>
          <w:spacing w:val="-2"/>
        </w:rPr>
        <w:t>Sedan 2014 finns det ett FoU-avdrag som ger möjlighet att göra avdrag på arbetsgivar</w:t>
      </w:r>
      <w:r w:rsidR="00036702">
        <w:rPr>
          <w:spacing w:val="-2"/>
        </w:rPr>
        <w:softHyphen/>
      </w:r>
      <w:r w:rsidRPr="00036702">
        <w:rPr>
          <w:spacing w:val="-2"/>
        </w:rPr>
        <w:t>avgifterna.</w:t>
      </w:r>
      <w:r w:rsidRPr="00036702">
        <w:rPr>
          <w:spacing w:val="-1"/>
        </w:rPr>
        <w:t xml:space="preserve"> </w:t>
      </w:r>
      <w:r w:rsidRPr="00036702">
        <w:rPr>
          <w:spacing w:val="-2"/>
        </w:rPr>
        <w:t xml:space="preserve">Dock har det visat sig i Skatteverkets bedömning och även de fåtaliga fall som prövats i </w:t>
      </w:r>
      <w:r w:rsidRPr="00036702" w:rsidR="00731E68">
        <w:rPr>
          <w:spacing w:val="-2"/>
        </w:rPr>
        <w:t xml:space="preserve">förvaltningsrätten </w:t>
      </w:r>
      <w:r w:rsidRPr="00036702">
        <w:rPr>
          <w:spacing w:val="-2"/>
        </w:rPr>
        <w:t xml:space="preserve">(och ett i </w:t>
      </w:r>
      <w:r w:rsidRPr="00036702" w:rsidR="00731E68">
        <w:rPr>
          <w:spacing w:val="-2"/>
        </w:rPr>
        <w:t>kammarrätten</w:t>
      </w:r>
      <w:r w:rsidRPr="00036702">
        <w:rPr>
          <w:spacing w:val="-2"/>
        </w:rPr>
        <w:t xml:space="preserve">) att definitionen av FoU är ganska snäv. </w:t>
      </w:r>
      <w:r w:rsidRPr="00036702" w:rsidR="00C64749">
        <w:rPr>
          <w:spacing w:val="-2"/>
        </w:rPr>
        <w:t>Idag</w:t>
      </w:r>
      <w:r w:rsidRPr="00036702">
        <w:rPr>
          <w:spacing w:val="-2"/>
        </w:rPr>
        <w:t xml:space="preserve"> lutar </w:t>
      </w:r>
      <w:r w:rsidRPr="00036702" w:rsidR="00C64749">
        <w:rPr>
          <w:spacing w:val="-2"/>
        </w:rPr>
        <w:t xml:space="preserve">lagen </w:t>
      </w:r>
      <w:r w:rsidRPr="00036702">
        <w:rPr>
          <w:spacing w:val="-2"/>
        </w:rPr>
        <w:t>sig på OECD och de s</w:t>
      </w:r>
      <w:r w:rsidRPr="00036702" w:rsidR="00C64749">
        <w:rPr>
          <w:spacing w:val="-2"/>
        </w:rPr>
        <w:t>å</w:t>
      </w:r>
      <w:r w:rsidRPr="00036702">
        <w:rPr>
          <w:spacing w:val="-2"/>
        </w:rPr>
        <w:t xml:space="preserve"> k</w:t>
      </w:r>
      <w:r w:rsidRPr="00036702" w:rsidR="00C64749">
        <w:rPr>
          <w:spacing w:val="-2"/>
        </w:rPr>
        <w:t>allade</w:t>
      </w:r>
      <w:r w:rsidRPr="00036702">
        <w:rPr>
          <w:spacing w:val="-2"/>
        </w:rPr>
        <w:t xml:space="preserve"> Frascati-kriterierna för FoU. Följ</w:t>
      </w:r>
      <w:r w:rsidR="00036702">
        <w:rPr>
          <w:spacing w:val="-2"/>
        </w:rPr>
        <w:softHyphen/>
      </w:r>
      <w:r w:rsidRPr="00036702">
        <w:rPr>
          <w:spacing w:val="-2"/>
        </w:rPr>
        <w:t xml:space="preserve">den är att avdraget främst kan utnyttjas av etablerade verksamheter </w:t>
      </w:r>
      <w:r w:rsidRPr="00036702" w:rsidR="00C64749">
        <w:rPr>
          <w:spacing w:val="-2"/>
        </w:rPr>
        <w:t>inom exempelvis</w:t>
      </w:r>
      <w:r w:rsidRPr="00036702">
        <w:rPr>
          <w:spacing w:val="-2"/>
        </w:rPr>
        <w:t xml:space="preserve"> läke</w:t>
      </w:r>
      <w:r w:rsidR="00036702">
        <w:rPr>
          <w:spacing w:val="-2"/>
        </w:rPr>
        <w:softHyphen/>
      </w:r>
      <w:r w:rsidRPr="00036702">
        <w:rPr>
          <w:spacing w:val="-2"/>
        </w:rPr>
        <w:t xml:space="preserve">medel och teknik. </w:t>
      </w:r>
      <w:r w:rsidRPr="00036702" w:rsidR="00C64749">
        <w:rPr>
          <w:spacing w:val="-1"/>
        </w:rPr>
        <w:t>Sverige</w:t>
      </w:r>
      <w:r w:rsidRPr="00036702">
        <w:rPr>
          <w:spacing w:val="-1"/>
        </w:rPr>
        <w:t xml:space="preserve"> missa</w:t>
      </w:r>
      <w:r w:rsidRPr="00036702" w:rsidR="00C64749">
        <w:rPr>
          <w:spacing w:val="-1"/>
        </w:rPr>
        <w:t>r därmed</w:t>
      </w:r>
      <w:r w:rsidRPr="00036702">
        <w:rPr>
          <w:spacing w:val="-1"/>
        </w:rPr>
        <w:t xml:space="preserve"> att öka konkurrenskraften hos många nya krea</w:t>
      </w:r>
      <w:r w:rsidR="00036702">
        <w:rPr>
          <w:spacing w:val="-1"/>
        </w:rPr>
        <w:softHyphen/>
      </w:r>
      <w:r w:rsidRPr="00036702">
        <w:rPr>
          <w:spacing w:val="-1"/>
        </w:rPr>
        <w:t>tiva och digitala näringar. FoU-avdraget</w:t>
      </w:r>
      <w:r w:rsidRPr="00036702" w:rsidR="00C64749">
        <w:rPr>
          <w:spacing w:val="-1"/>
        </w:rPr>
        <w:t xml:space="preserve"> borde utvecklas</w:t>
      </w:r>
      <w:r w:rsidRPr="00036702">
        <w:rPr>
          <w:spacing w:val="-1"/>
        </w:rPr>
        <w:t xml:space="preserve"> till </w:t>
      </w:r>
      <w:r w:rsidRPr="00036702" w:rsidR="00D377BB">
        <w:rPr>
          <w:spacing w:val="-1"/>
        </w:rPr>
        <w:t>i</w:t>
      </w:r>
      <w:r w:rsidRPr="00036702">
        <w:rPr>
          <w:spacing w:val="-1"/>
        </w:rPr>
        <w:t>nnovationsavdraget och använd</w:t>
      </w:r>
      <w:r w:rsidRPr="00036702" w:rsidR="00C64749">
        <w:rPr>
          <w:spacing w:val="-1"/>
        </w:rPr>
        <w:t>a</w:t>
      </w:r>
      <w:r w:rsidRPr="00036702">
        <w:rPr>
          <w:spacing w:val="-1"/>
        </w:rPr>
        <w:t xml:space="preserve"> OECD:s Oslo-kriterier för innovation istället för Frascati. I så fall skulle även innovation inom </w:t>
      </w:r>
      <w:r w:rsidRPr="00036702" w:rsidR="00C64749">
        <w:rPr>
          <w:spacing w:val="-1"/>
        </w:rPr>
        <w:t>exempelvis</w:t>
      </w:r>
      <w:r w:rsidRPr="00036702">
        <w:rPr>
          <w:spacing w:val="-1"/>
        </w:rPr>
        <w:t xml:space="preserve"> affärsmodeller, organisation, tjänster, innehåll</w:t>
      </w:r>
      <w:r w:rsidRPr="00036702" w:rsidR="00D377BB">
        <w:rPr>
          <w:spacing w:val="-1"/>
        </w:rPr>
        <w:t xml:space="preserve"> och</w:t>
      </w:r>
      <w:r w:rsidRPr="00036702">
        <w:rPr>
          <w:spacing w:val="-1"/>
        </w:rPr>
        <w:t xml:space="preserve"> mark</w:t>
      </w:r>
      <w:r w:rsidR="00036702">
        <w:rPr>
          <w:spacing w:val="-1"/>
        </w:rPr>
        <w:softHyphen/>
      </w:r>
      <w:r w:rsidRPr="00036702">
        <w:rPr>
          <w:spacing w:val="-1"/>
        </w:rPr>
        <w:t>nadsföring kunna komma i fråga. Det skulle öka Sveriges konkurrenskraft, ge fler inve</w:t>
      </w:r>
      <w:r w:rsidR="00036702">
        <w:rPr>
          <w:spacing w:val="-1"/>
        </w:rPr>
        <w:softHyphen/>
      </w:r>
      <w:r w:rsidRPr="00036702">
        <w:rPr>
          <w:spacing w:val="-1"/>
        </w:rPr>
        <w:t>steringar, ny kompetens, fler jobb</w:t>
      </w:r>
      <w:r w:rsidRPr="00036702" w:rsidR="00C64749">
        <w:rPr>
          <w:spacing w:val="-1"/>
        </w:rPr>
        <w:t xml:space="preserve"> och</w:t>
      </w:r>
      <w:r w:rsidRPr="00036702">
        <w:rPr>
          <w:spacing w:val="-1"/>
        </w:rPr>
        <w:t xml:space="preserve"> högre skatteintäkter</w:t>
      </w:r>
      <w:r w:rsidRPr="00036702" w:rsidR="00C64749">
        <w:rPr>
          <w:spacing w:val="-1"/>
        </w:rPr>
        <w:t>.</w:t>
      </w:r>
    </w:p>
    <w:p w:rsidR="0020234C" w:rsidP="00036702" w:rsidRDefault="0049090B" w14:paraId="422CDEC7" w14:textId="77777777">
      <w:r>
        <w:t xml:space="preserve">Spelutvecklingsbranschen är </w:t>
      </w:r>
      <w:r w:rsidR="0085133A">
        <w:t>en industri</w:t>
      </w:r>
      <w:r>
        <w:t xml:space="preserve"> som Sverige måste värna om. </w:t>
      </w:r>
      <w:r w:rsidR="00213D75">
        <w:t xml:space="preserve">Sverige har inte råd att titta på när andra länder springer om oss med tydliga strategier för branschen och politik som möjliggör att branschen växer. </w:t>
      </w:r>
    </w:p>
    <w:sdt>
      <w:sdtPr>
        <w:alias w:val="CC_Underskrifter"/>
        <w:tag w:val="CC_Underskrifter"/>
        <w:id w:val="583496634"/>
        <w:lock w:val="sdtContentLocked"/>
        <w:placeholder>
          <w:docPart w:val="AF4BE34E3F104B7C82D583209003A684"/>
        </w:placeholder>
      </w:sdtPr>
      <w:sdtEndPr/>
      <w:sdtContent>
        <w:p w:rsidR="00654C2F" w:rsidP="00C868BC" w:rsidRDefault="00654C2F" w14:paraId="4E6B5BDF" w14:textId="77777777"/>
        <w:p w:rsidRPr="008E0FE2" w:rsidR="004801AC" w:rsidP="00C868BC" w:rsidRDefault="00036702" w14:paraId="07B0633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04690" w:rsidRDefault="00604690" w14:paraId="0011F053" w14:textId="77777777">
      <w:bookmarkStart w:name="_GoBack" w:id="3"/>
      <w:bookmarkEnd w:id="3"/>
    </w:p>
    <w:sectPr w:rsidR="006046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5066A" w14:textId="77777777" w:rsidR="00381A89" w:rsidRDefault="00381A89" w:rsidP="000C1CAD">
      <w:pPr>
        <w:spacing w:line="240" w:lineRule="auto"/>
      </w:pPr>
      <w:r>
        <w:separator/>
      </w:r>
    </w:p>
  </w:endnote>
  <w:endnote w:type="continuationSeparator" w:id="0">
    <w:p w14:paraId="4FF77DEB" w14:textId="77777777" w:rsidR="00381A89" w:rsidRDefault="00381A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98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8E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D568F" w14:textId="77777777" w:rsidR="00B625EE" w:rsidRDefault="00B625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E51D9" w14:textId="77777777" w:rsidR="00381A89" w:rsidRDefault="00381A89" w:rsidP="000C1CAD">
      <w:pPr>
        <w:spacing w:line="240" w:lineRule="auto"/>
      </w:pPr>
      <w:r>
        <w:separator/>
      </w:r>
    </w:p>
  </w:footnote>
  <w:footnote w:type="continuationSeparator" w:id="0">
    <w:p w14:paraId="1ED8AA3A" w14:textId="77777777" w:rsidR="00381A89" w:rsidRDefault="00381A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B918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AC7E04" wp14:anchorId="64ED10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6702" w14:paraId="53772BA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8271A737354B858C5DE4804E29A081"/>
                              </w:placeholder>
                              <w:text/>
                            </w:sdtPr>
                            <w:sdtEndPr/>
                            <w:sdtContent>
                              <w:r w:rsidR="00213D7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96AB27003B4CC3956ADCC827E7A62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ED10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6702" w14:paraId="53772BA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8271A737354B858C5DE4804E29A081"/>
                        </w:placeholder>
                        <w:text/>
                      </w:sdtPr>
                      <w:sdtEndPr/>
                      <w:sdtContent>
                        <w:r w:rsidR="00213D7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96AB27003B4CC3956ADCC827E7A62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DEE1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0EA327" w14:textId="77777777">
    <w:pPr>
      <w:jc w:val="right"/>
    </w:pPr>
  </w:p>
  <w:p w:rsidR="00262EA3" w:rsidP="00776B74" w:rsidRDefault="00262EA3" w14:paraId="0095D78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36702" w14:paraId="079B3B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163835" wp14:anchorId="756B65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6702" w14:paraId="694320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13D75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36702" w14:paraId="4F5338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6702" w14:paraId="46BDCBF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:1426</w:t>
        </w:r>
      </w:sdtContent>
    </w:sdt>
  </w:p>
  <w:p w:rsidR="00262EA3" w:rsidP="00E03A3D" w:rsidRDefault="00036702" w14:paraId="7A4610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C1D7D" w14:paraId="6CE69111" w14:textId="77777777">
        <w:pPr>
          <w:pStyle w:val="FSHRub2"/>
        </w:pPr>
        <w:r>
          <w:t>Stärk den svenska spelutvecklingsbranschen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581E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13D7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702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A1D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FE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34C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646"/>
    <w:rsid w:val="00213D75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88A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2D6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A89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0B9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90B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870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2B7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690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4C2F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2BA"/>
    <w:rsid w:val="006A46A8"/>
    <w:rsid w:val="006A55E1"/>
    <w:rsid w:val="006A5665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AB4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1E68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552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33A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3EB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505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5E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749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8BC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1D7D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7BB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7DD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0BF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56855B"/>
  <w15:chartTrackingRefBased/>
  <w15:docId w15:val="{3728FCC8-4BD6-4E4F-851F-8759DE7E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186D89711F475AB7270470F34F3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457C1-80F3-4C03-8158-EEC52D6F9AFA}"/>
      </w:docPartPr>
      <w:docPartBody>
        <w:p w:rsidR="00786F08" w:rsidRDefault="00786F08">
          <w:pPr>
            <w:pStyle w:val="E7186D89711F475AB7270470F34F3E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FFFDDCF8CD4E3BBA1E7F2A47546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CBCFC-18CF-4E87-85AB-390EB523C1CF}"/>
      </w:docPartPr>
      <w:docPartBody>
        <w:p w:rsidR="00786F08" w:rsidRDefault="00786F08">
          <w:pPr>
            <w:pStyle w:val="72FFFDDCF8CD4E3BBA1E7F2A475469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8271A737354B858C5DE4804E29A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E701A-8F0B-4F40-B125-86545274977D}"/>
      </w:docPartPr>
      <w:docPartBody>
        <w:p w:rsidR="00786F08" w:rsidRDefault="00786F08">
          <w:pPr>
            <w:pStyle w:val="E18271A737354B858C5DE4804E29A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96AB27003B4CC3956ADCC827E7A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095FE-4C54-4437-BC0F-95569AFB1B16}"/>
      </w:docPartPr>
      <w:docPartBody>
        <w:p w:rsidR="00786F08" w:rsidRDefault="00786F08">
          <w:pPr>
            <w:pStyle w:val="7396AB27003B4CC3956ADCC827E7A624"/>
          </w:pPr>
          <w:r>
            <w:t xml:space="preserve"> </w:t>
          </w:r>
        </w:p>
      </w:docPartBody>
    </w:docPart>
    <w:docPart>
      <w:docPartPr>
        <w:name w:val="AF4BE34E3F104B7C82D583209003A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76A84-8948-4008-BAC2-4D759F595B99}"/>
      </w:docPartPr>
      <w:docPartBody>
        <w:p w:rsidR="00242F89" w:rsidRDefault="00242F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08"/>
    <w:rsid w:val="00242F89"/>
    <w:rsid w:val="00257AB9"/>
    <w:rsid w:val="0078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6F08"/>
    <w:rPr>
      <w:color w:val="F4B083" w:themeColor="accent2" w:themeTint="99"/>
    </w:rPr>
  </w:style>
  <w:style w:type="paragraph" w:customStyle="1" w:styleId="E7186D89711F475AB7270470F34F3EAC">
    <w:name w:val="E7186D89711F475AB7270470F34F3EAC"/>
  </w:style>
  <w:style w:type="paragraph" w:customStyle="1" w:styleId="472A58879A0A46F485FCBF621B0533A8">
    <w:name w:val="472A58879A0A46F485FCBF621B0533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97E95A37B674254AE65A520E6DC7B77">
    <w:name w:val="E97E95A37B674254AE65A520E6DC7B77"/>
  </w:style>
  <w:style w:type="paragraph" w:customStyle="1" w:styleId="72FFFDDCF8CD4E3BBA1E7F2A47546985">
    <w:name w:val="72FFFDDCF8CD4E3BBA1E7F2A47546985"/>
  </w:style>
  <w:style w:type="paragraph" w:customStyle="1" w:styleId="41A8ADD13506444E909B1DB4D8A13CF7">
    <w:name w:val="41A8ADD13506444E909B1DB4D8A13CF7"/>
  </w:style>
  <w:style w:type="paragraph" w:customStyle="1" w:styleId="3954984C09F94DAB9229F0DA1582650A">
    <w:name w:val="3954984C09F94DAB9229F0DA1582650A"/>
  </w:style>
  <w:style w:type="paragraph" w:customStyle="1" w:styleId="E18271A737354B858C5DE4804E29A081">
    <w:name w:val="E18271A737354B858C5DE4804E29A081"/>
  </w:style>
  <w:style w:type="paragraph" w:customStyle="1" w:styleId="7396AB27003B4CC3956ADCC827E7A624">
    <w:name w:val="7396AB27003B4CC3956ADCC827E7A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99050-AD5B-49E6-A054-0842E68273C2}"/>
</file>

<file path=customXml/itemProps2.xml><?xml version="1.0" encoding="utf-8"?>
<ds:datastoreItem xmlns:ds="http://schemas.openxmlformats.org/officeDocument/2006/customXml" ds:itemID="{93BA44FD-1F6A-4097-A9B2-99F36DA24ABA}"/>
</file>

<file path=customXml/itemProps3.xml><?xml version="1.0" encoding="utf-8"?>
<ds:datastoreItem xmlns:ds="http://schemas.openxmlformats.org/officeDocument/2006/customXml" ds:itemID="{E5BFC1FE-5BD5-45E1-9411-6B8484C9E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2814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Stärk den svenska spelutvecklingsbranschen</vt:lpstr>
      <vt:lpstr>
      </vt:lpstr>
    </vt:vector>
  </TitlesOfParts>
  <Company>Sveriges riksdag</Company>
  <LinksUpToDate>false</LinksUpToDate>
  <CharactersWithSpaces>3271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