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15" w:type="dxa"/>
        <w:tblLayout w:type="fixed"/>
        <w:tblCellMar>
          <w:left w:w="107" w:type="dxa"/>
          <w:right w:w="107" w:type="dxa"/>
        </w:tblCellMar>
        <w:tblLook w:val="0000" w:firstRow="0" w:lastRow="0" w:firstColumn="0" w:lastColumn="0" w:noHBand="0" w:noVBand="0"/>
      </w:tblPr>
      <w:tblGrid>
        <w:gridCol w:w="3368"/>
        <w:gridCol w:w="1134"/>
        <w:gridCol w:w="1213"/>
      </w:tblGrid>
      <w:tr w:rsidR="009C10C7" w:rsidRPr="00840BC5">
        <w:tblPrEx>
          <w:tblCellMar>
            <w:top w:w="0" w:type="dxa"/>
            <w:bottom w:w="0" w:type="dxa"/>
          </w:tblCellMar>
        </w:tblPrEx>
        <w:tc>
          <w:tcPr>
            <w:tcW w:w="3368" w:type="dxa"/>
          </w:tcPr>
          <w:p w:rsidR="009C10C7" w:rsidRPr="00840BC5" w:rsidRDefault="009C10C7" w:rsidP="00974AFA">
            <w:pPr>
              <w:framePr w:w="4400" w:h="1644" w:wrap="notBeside" w:vAnchor="page" w:hAnchor="page" w:x="6573" w:y="721"/>
              <w:rPr>
                <w:rFonts w:ascii="TradeGothic" w:hAnsi="TradeGothic"/>
                <w:i/>
                <w:sz w:val="18"/>
              </w:rPr>
            </w:pPr>
          </w:p>
        </w:tc>
        <w:tc>
          <w:tcPr>
            <w:tcW w:w="2347" w:type="dxa"/>
            <w:gridSpan w:val="2"/>
          </w:tcPr>
          <w:p w:rsidR="009C10C7" w:rsidRPr="00840BC5" w:rsidRDefault="009C10C7" w:rsidP="00974AFA">
            <w:pPr>
              <w:framePr w:w="4400" w:h="1644" w:wrap="notBeside" w:vAnchor="page" w:hAnchor="page" w:x="6573" w:y="721"/>
              <w:rPr>
                <w:rFonts w:ascii="TradeGothic" w:hAnsi="TradeGothic"/>
                <w:i/>
                <w:sz w:val="18"/>
              </w:rPr>
            </w:pPr>
          </w:p>
        </w:tc>
      </w:tr>
      <w:tr w:rsidR="009C10C7" w:rsidRPr="00840BC5">
        <w:tblPrEx>
          <w:tblCellMar>
            <w:top w:w="0" w:type="dxa"/>
            <w:bottom w:w="0" w:type="dxa"/>
          </w:tblCellMar>
        </w:tblPrEx>
        <w:tc>
          <w:tcPr>
            <w:tcW w:w="3368" w:type="dxa"/>
          </w:tcPr>
          <w:p w:rsidR="009C10C7" w:rsidRPr="00840BC5" w:rsidRDefault="009C10C7" w:rsidP="00974AFA">
            <w:pPr>
              <w:framePr w:w="4400" w:h="1644" w:wrap="notBeside" w:vAnchor="page" w:hAnchor="page" w:x="6573" w:y="721"/>
              <w:rPr>
                <w:rFonts w:ascii="TradeGothic" w:hAnsi="TradeGothic"/>
                <w:b/>
                <w:sz w:val="22"/>
              </w:rPr>
            </w:pPr>
            <w:r w:rsidRPr="00840BC5">
              <w:rPr>
                <w:rFonts w:ascii="TradeGothic" w:hAnsi="TradeGothic"/>
                <w:b/>
                <w:sz w:val="22"/>
              </w:rPr>
              <w:t>Promemoria</w:t>
            </w:r>
          </w:p>
        </w:tc>
        <w:tc>
          <w:tcPr>
            <w:tcW w:w="2347" w:type="dxa"/>
            <w:gridSpan w:val="2"/>
          </w:tcPr>
          <w:p w:rsidR="009C10C7" w:rsidRPr="00840BC5" w:rsidRDefault="009C10C7" w:rsidP="00974AFA">
            <w:pPr>
              <w:framePr w:w="4400" w:h="1644" w:wrap="notBeside" w:vAnchor="page" w:hAnchor="page" w:x="6573" w:y="721"/>
              <w:rPr>
                <w:rFonts w:ascii="TradeGothic" w:hAnsi="TradeGothic"/>
                <w:b/>
                <w:sz w:val="22"/>
              </w:rPr>
            </w:pPr>
          </w:p>
        </w:tc>
      </w:tr>
      <w:tr w:rsidR="009C10C7" w:rsidRPr="00840BC5">
        <w:tblPrEx>
          <w:tblCellMar>
            <w:top w:w="0" w:type="dxa"/>
            <w:bottom w:w="0" w:type="dxa"/>
          </w:tblCellMar>
        </w:tblPrEx>
        <w:tc>
          <w:tcPr>
            <w:tcW w:w="4502" w:type="dxa"/>
            <w:gridSpan w:val="2"/>
          </w:tcPr>
          <w:p w:rsidR="009C10C7" w:rsidRPr="00840BC5" w:rsidRDefault="009C10C7" w:rsidP="00974AFA">
            <w:pPr>
              <w:framePr w:w="4400" w:h="1644" w:wrap="notBeside" w:vAnchor="page" w:hAnchor="page" w:x="6573" w:y="721"/>
            </w:pPr>
          </w:p>
        </w:tc>
        <w:tc>
          <w:tcPr>
            <w:tcW w:w="1213" w:type="dxa"/>
          </w:tcPr>
          <w:p w:rsidR="009C10C7" w:rsidRPr="00840BC5" w:rsidRDefault="009C10C7" w:rsidP="00974AFA">
            <w:pPr>
              <w:framePr w:w="4400" w:h="1644" w:wrap="notBeside" w:vAnchor="page" w:hAnchor="page" w:x="6573" w:y="721"/>
            </w:pPr>
          </w:p>
        </w:tc>
      </w:tr>
      <w:tr w:rsidR="009C10C7" w:rsidRPr="00840BC5">
        <w:tblPrEx>
          <w:tblCellMar>
            <w:top w:w="0" w:type="dxa"/>
            <w:bottom w:w="0" w:type="dxa"/>
          </w:tblCellMar>
        </w:tblPrEx>
        <w:tc>
          <w:tcPr>
            <w:tcW w:w="3368" w:type="dxa"/>
          </w:tcPr>
          <w:p w:rsidR="009C10C7" w:rsidRPr="00840BC5" w:rsidRDefault="009C10C7" w:rsidP="00974AFA">
            <w:pPr>
              <w:framePr w:w="4400" w:h="1644" w:wrap="notBeside" w:vAnchor="page" w:hAnchor="page" w:x="6573" w:y="721"/>
            </w:pPr>
            <w:r w:rsidRPr="00840BC5">
              <w:t>2007-06-11</w:t>
            </w:r>
          </w:p>
          <w:p w:rsidR="009C10C7" w:rsidRPr="00840BC5" w:rsidRDefault="009C10C7" w:rsidP="00974AFA">
            <w:pPr>
              <w:framePr w:w="4400" w:h="1644" w:wrap="notBeside" w:vAnchor="page" w:hAnchor="page" w:x="6573" w:y="721"/>
            </w:pPr>
          </w:p>
        </w:tc>
        <w:tc>
          <w:tcPr>
            <w:tcW w:w="2347" w:type="dxa"/>
            <w:gridSpan w:val="2"/>
          </w:tcPr>
          <w:p w:rsidR="009C10C7" w:rsidRPr="00840BC5" w:rsidRDefault="009C10C7" w:rsidP="00974AFA">
            <w:pPr>
              <w:framePr w:w="4400" w:h="1644" w:wrap="notBeside" w:vAnchor="page" w:hAnchor="page" w:x="6573" w:y="721"/>
            </w:pPr>
          </w:p>
        </w:tc>
      </w:tr>
      <w:tr w:rsidR="009C10C7" w:rsidRPr="00840BC5">
        <w:tblPrEx>
          <w:tblCellMar>
            <w:top w:w="0" w:type="dxa"/>
            <w:bottom w:w="0" w:type="dxa"/>
          </w:tblCellMar>
        </w:tblPrEx>
        <w:tc>
          <w:tcPr>
            <w:tcW w:w="3368" w:type="dxa"/>
          </w:tcPr>
          <w:p w:rsidR="009C10C7" w:rsidRPr="00840BC5" w:rsidRDefault="009C10C7" w:rsidP="00974AFA">
            <w:pPr>
              <w:framePr w:w="4400" w:h="1644" w:wrap="notBeside" w:vAnchor="page" w:hAnchor="page" w:x="6573" w:y="721"/>
            </w:pPr>
            <w:r w:rsidRPr="00840BC5">
              <w:t>Delges: EU-nämndens kansli</w:t>
            </w:r>
          </w:p>
        </w:tc>
        <w:tc>
          <w:tcPr>
            <w:tcW w:w="2347" w:type="dxa"/>
            <w:gridSpan w:val="2"/>
          </w:tcPr>
          <w:p w:rsidR="009C10C7" w:rsidRPr="00840BC5" w:rsidRDefault="009C10C7" w:rsidP="00974AF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9C10C7" w:rsidRPr="00840BC5">
        <w:tblPrEx>
          <w:tblCellMar>
            <w:top w:w="0" w:type="dxa"/>
            <w:bottom w:w="0" w:type="dxa"/>
          </w:tblCellMar>
        </w:tblPrEx>
        <w:trPr>
          <w:trHeight w:val="284"/>
        </w:trPr>
        <w:tc>
          <w:tcPr>
            <w:tcW w:w="4911" w:type="dxa"/>
          </w:tcPr>
          <w:p w:rsidR="009C10C7" w:rsidRPr="00840BC5" w:rsidRDefault="009C10C7" w:rsidP="00974AFA">
            <w:pPr>
              <w:pStyle w:val="Avsndare"/>
              <w:framePr w:h="2483" w:wrap="notBeside" w:x="1504"/>
              <w:rPr>
                <w:b/>
                <w:i w:val="0"/>
                <w:sz w:val="22"/>
              </w:rPr>
            </w:pPr>
            <w:r w:rsidRPr="00840BC5">
              <w:rPr>
                <w:b/>
                <w:i w:val="0"/>
                <w:sz w:val="22"/>
              </w:rPr>
              <w:t>Statsrådsberedningen</w:t>
            </w:r>
          </w:p>
        </w:tc>
      </w:tr>
      <w:tr w:rsidR="009C10C7" w:rsidRPr="00840BC5">
        <w:tblPrEx>
          <w:tblCellMar>
            <w:top w:w="0" w:type="dxa"/>
            <w:bottom w:w="0" w:type="dxa"/>
          </w:tblCellMar>
        </w:tblPrEx>
        <w:trPr>
          <w:trHeight w:val="284"/>
        </w:trPr>
        <w:tc>
          <w:tcPr>
            <w:tcW w:w="4911" w:type="dxa"/>
          </w:tcPr>
          <w:p w:rsidR="009C10C7" w:rsidRPr="00840BC5" w:rsidRDefault="009C10C7" w:rsidP="00974AFA">
            <w:pPr>
              <w:pStyle w:val="Avsndare"/>
              <w:framePr w:h="2483" w:wrap="notBeside" w:x="1504"/>
              <w:rPr>
                <w:bCs/>
                <w:iCs/>
              </w:rPr>
            </w:pPr>
          </w:p>
        </w:tc>
      </w:tr>
      <w:tr w:rsidR="009C10C7" w:rsidRPr="00840BC5">
        <w:tblPrEx>
          <w:tblCellMar>
            <w:top w:w="0" w:type="dxa"/>
            <w:bottom w:w="0" w:type="dxa"/>
          </w:tblCellMar>
        </w:tblPrEx>
        <w:trPr>
          <w:trHeight w:val="284"/>
        </w:trPr>
        <w:tc>
          <w:tcPr>
            <w:tcW w:w="4911" w:type="dxa"/>
          </w:tcPr>
          <w:p w:rsidR="009C10C7" w:rsidRPr="00840BC5" w:rsidRDefault="009C10C7" w:rsidP="00974AFA">
            <w:pPr>
              <w:pStyle w:val="Avsndare"/>
              <w:framePr w:h="2483" w:wrap="notBeside" w:x="1504"/>
              <w:rPr>
                <w:bCs/>
                <w:iCs/>
              </w:rPr>
            </w:pPr>
            <w:r w:rsidRPr="00840BC5">
              <w:rPr>
                <w:bCs/>
                <w:iCs/>
              </w:rPr>
              <w:t>EU-kansliet</w:t>
            </w:r>
          </w:p>
        </w:tc>
      </w:tr>
      <w:tr w:rsidR="009C10C7" w:rsidRPr="00840BC5">
        <w:tblPrEx>
          <w:tblCellMar>
            <w:top w:w="0" w:type="dxa"/>
            <w:bottom w:w="0" w:type="dxa"/>
          </w:tblCellMar>
        </w:tblPrEx>
        <w:trPr>
          <w:trHeight w:val="284"/>
        </w:trPr>
        <w:tc>
          <w:tcPr>
            <w:tcW w:w="4911" w:type="dxa"/>
          </w:tcPr>
          <w:p w:rsidR="009C10C7" w:rsidRPr="00840BC5" w:rsidRDefault="009C10C7" w:rsidP="00974AFA">
            <w:pPr>
              <w:pStyle w:val="Avsndare"/>
              <w:framePr w:h="2483" w:wrap="notBeside" w:x="1504"/>
              <w:rPr>
                <w:bCs/>
                <w:iCs/>
              </w:rPr>
            </w:pPr>
            <w:r w:rsidRPr="00840BC5">
              <w:rPr>
                <w:bCs/>
                <w:iCs/>
              </w:rPr>
              <w:t>Johanna Jansson</w:t>
            </w:r>
          </w:p>
        </w:tc>
      </w:tr>
      <w:tr w:rsidR="009C10C7" w:rsidRPr="00840BC5">
        <w:tblPrEx>
          <w:tblCellMar>
            <w:top w:w="0" w:type="dxa"/>
            <w:bottom w:w="0" w:type="dxa"/>
          </w:tblCellMar>
        </w:tblPrEx>
        <w:trPr>
          <w:trHeight w:val="284"/>
        </w:trPr>
        <w:tc>
          <w:tcPr>
            <w:tcW w:w="4911" w:type="dxa"/>
          </w:tcPr>
          <w:p w:rsidR="009C10C7" w:rsidRPr="00840BC5" w:rsidRDefault="009C10C7" w:rsidP="00974AFA">
            <w:pPr>
              <w:pStyle w:val="Avsndare"/>
              <w:framePr w:h="2483" w:wrap="notBeside" w:x="1504"/>
              <w:rPr>
                <w:bCs/>
                <w:iCs/>
              </w:rPr>
            </w:pPr>
            <w:r w:rsidRPr="00840BC5">
              <w:rPr>
                <w:bCs/>
                <w:iCs/>
              </w:rPr>
              <w:t>Telefon 08-405 52 52</w:t>
            </w:r>
          </w:p>
        </w:tc>
      </w:tr>
      <w:tr w:rsidR="009C10C7" w:rsidRPr="00840BC5">
        <w:tblPrEx>
          <w:tblCellMar>
            <w:top w:w="0" w:type="dxa"/>
            <w:bottom w:w="0" w:type="dxa"/>
          </w:tblCellMar>
        </w:tblPrEx>
        <w:trPr>
          <w:trHeight w:val="284"/>
        </w:trPr>
        <w:tc>
          <w:tcPr>
            <w:tcW w:w="4911" w:type="dxa"/>
          </w:tcPr>
          <w:p w:rsidR="009C10C7" w:rsidRPr="00840BC5" w:rsidRDefault="009C10C7" w:rsidP="00974AFA">
            <w:pPr>
              <w:pStyle w:val="Avsndare"/>
              <w:framePr w:h="2483" w:wrap="notBeside" w:x="1504"/>
              <w:rPr>
                <w:bCs/>
                <w:iCs/>
              </w:rPr>
            </w:pPr>
          </w:p>
        </w:tc>
      </w:tr>
    </w:tbl>
    <w:p w:rsidR="009C10C7" w:rsidRPr="00840BC5" w:rsidRDefault="009C10C7" w:rsidP="009C10C7">
      <w:pPr>
        <w:framePr w:w="4400" w:h="2523" w:wrap="notBeside" w:vAnchor="page" w:hAnchor="page" w:x="6382" w:y="2465"/>
        <w:ind w:left="142"/>
      </w:pPr>
    </w:p>
    <w:p w:rsidR="009C10C7" w:rsidRPr="00840BC5" w:rsidRDefault="009C10C7" w:rsidP="009C10C7">
      <w:pPr>
        <w:pStyle w:val="RKrubrik"/>
        <w:pBdr>
          <w:bottom w:val="single" w:sz="4" w:space="1" w:color="000000"/>
        </w:pBdr>
        <w:spacing w:before="0" w:after="0"/>
      </w:pPr>
      <w:r w:rsidRPr="00840BC5">
        <w:t>Underlag för information till EU-nämnden den 15 juni samt inför GAERC (juni) Antagna resolutioner i Europaparlamentet under perioden 9-10 maj</w:t>
      </w:r>
      <w:r w:rsidR="00AF0ED4" w:rsidRPr="00840BC5">
        <w:t xml:space="preserve"> 2007 och 21-24 maj</w:t>
      </w:r>
      <w:r w:rsidRPr="00840BC5">
        <w:t xml:space="preserve"> 2007</w:t>
      </w:r>
    </w:p>
    <w:p w:rsidR="009C10C7" w:rsidRPr="00840BC5" w:rsidRDefault="009C10C7" w:rsidP="009C10C7">
      <w:pPr>
        <w:rPr>
          <w:i/>
          <w:iCs/>
        </w:rPr>
      </w:pPr>
      <w:r w:rsidRPr="00840BC5">
        <w:rPr>
          <w:i/>
        </w:rPr>
        <w:t>Under maj månad antog Europaparlamentet bl.a. nedanstående resolutioner. Dessutom antogs ett antal lagstiftningsresolutioner som redovisas i sedvanlig ordning inför behandling i respektive rådskonstellation.</w:t>
      </w:r>
    </w:p>
    <w:p w:rsidR="009C10C7" w:rsidRPr="00840BC5" w:rsidRDefault="009C10C7" w:rsidP="009C10C7">
      <w:pPr>
        <w:pStyle w:val="RKnormal"/>
      </w:pPr>
    </w:p>
    <w:p w:rsidR="009C10C7" w:rsidRPr="00840BC5" w:rsidRDefault="009C10C7" w:rsidP="009C10C7">
      <w:pPr>
        <w:pStyle w:val="RKnormal"/>
      </w:pPr>
    </w:p>
    <w:p w:rsidR="009C10C7" w:rsidRPr="00840BC5" w:rsidRDefault="009C10C7" w:rsidP="009C10C7">
      <w:pPr>
        <w:numPr>
          <w:ilvl w:val="0"/>
          <w:numId w:val="2"/>
        </w:numPr>
        <w:rPr>
          <w:b/>
          <w:sz w:val="28"/>
          <w:szCs w:val="28"/>
        </w:rPr>
      </w:pPr>
      <w:r w:rsidRPr="00840BC5">
        <w:rPr>
          <w:b/>
          <w:sz w:val="28"/>
          <w:szCs w:val="28"/>
        </w:rPr>
        <w:t xml:space="preserve">Reformer i </w:t>
      </w:r>
      <w:r w:rsidR="00F47874" w:rsidRPr="00840BC5">
        <w:rPr>
          <w:b/>
          <w:sz w:val="28"/>
          <w:szCs w:val="28"/>
        </w:rPr>
        <w:t>A</w:t>
      </w:r>
      <w:r w:rsidRPr="00840BC5">
        <w:rPr>
          <w:b/>
          <w:sz w:val="28"/>
          <w:szCs w:val="28"/>
        </w:rPr>
        <w:t>rabvärlden: vilken strategi bör Europaparlamentet anta</w:t>
      </w:r>
    </w:p>
    <w:p w:rsidR="009C10C7" w:rsidRPr="00840BC5" w:rsidRDefault="009C10C7" w:rsidP="009C10C7">
      <w:pPr>
        <w:ind w:left="1080"/>
        <w:rPr>
          <w:szCs w:val="24"/>
        </w:rPr>
      </w:pPr>
    </w:p>
    <w:p w:rsidR="00245E40" w:rsidRPr="00840BC5" w:rsidRDefault="00245E40" w:rsidP="00BA7597">
      <w:pPr>
        <w:ind w:left="360"/>
        <w:rPr>
          <w:szCs w:val="24"/>
        </w:rPr>
      </w:pPr>
      <w:r w:rsidRPr="00840BC5">
        <w:rPr>
          <w:szCs w:val="24"/>
        </w:rPr>
        <w:t>Parlamentet uppmanar till ett förstärkt samarbete mellan EMPA, kommissionen och rådet. Dessutom uppmanas EU och medlemsländerna liksom hela FN att utveckla balanserade relationer med länderna i regionen</w:t>
      </w:r>
    </w:p>
    <w:p w:rsidR="00245E40" w:rsidRPr="00840BC5" w:rsidRDefault="00245E40" w:rsidP="009C10C7">
      <w:pPr>
        <w:ind w:left="1080"/>
        <w:rPr>
          <w:szCs w:val="24"/>
        </w:rPr>
      </w:pPr>
    </w:p>
    <w:p w:rsidR="00245E40" w:rsidRPr="00840BC5" w:rsidRDefault="00245E40" w:rsidP="00BA7597">
      <w:pPr>
        <w:ind w:left="360"/>
        <w:rPr>
          <w:szCs w:val="24"/>
        </w:rPr>
      </w:pPr>
      <w:r w:rsidRPr="00840BC5">
        <w:rPr>
          <w:szCs w:val="24"/>
        </w:rPr>
        <w:t xml:space="preserve">Europaparlamentet uppmanar vidare Europa att ge ett </w:t>
      </w:r>
      <w:r w:rsidR="0054277E" w:rsidRPr="00840BC5">
        <w:rPr>
          <w:szCs w:val="24"/>
        </w:rPr>
        <w:t>tydligt</w:t>
      </w:r>
      <w:r w:rsidRPr="00840BC5">
        <w:rPr>
          <w:szCs w:val="24"/>
        </w:rPr>
        <w:t xml:space="preserve"> stöd till a</w:t>
      </w:r>
      <w:r w:rsidR="0054277E" w:rsidRPr="00840BC5">
        <w:rPr>
          <w:szCs w:val="24"/>
        </w:rPr>
        <w:t xml:space="preserve">ktörer i det civila samhället, </w:t>
      </w:r>
      <w:r w:rsidRPr="00840BC5">
        <w:rPr>
          <w:szCs w:val="24"/>
        </w:rPr>
        <w:t xml:space="preserve">och särskilt till de politiska organisationer </w:t>
      </w:r>
      <w:r w:rsidR="00C24511" w:rsidRPr="00840BC5">
        <w:rPr>
          <w:szCs w:val="24"/>
        </w:rPr>
        <w:t xml:space="preserve">som främjar demokrati genom </w:t>
      </w:r>
      <w:r w:rsidR="00AF0ED4" w:rsidRPr="00840BC5">
        <w:rPr>
          <w:szCs w:val="24"/>
        </w:rPr>
        <w:t>fredliga metoder</w:t>
      </w:r>
      <w:r w:rsidR="00C24511" w:rsidRPr="00840BC5">
        <w:rPr>
          <w:szCs w:val="24"/>
        </w:rPr>
        <w:t>.</w:t>
      </w:r>
    </w:p>
    <w:p w:rsidR="00F47874" w:rsidRPr="00840BC5" w:rsidRDefault="00F47874" w:rsidP="00BA7597">
      <w:pPr>
        <w:ind w:left="360"/>
        <w:rPr>
          <w:szCs w:val="24"/>
        </w:rPr>
      </w:pPr>
    </w:p>
    <w:p w:rsidR="00C24511" w:rsidRPr="00840BC5" w:rsidRDefault="00C24511" w:rsidP="00BA7597">
      <w:pPr>
        <w:ind w:left="360"/>
        <w:rPr>
          <w:szCs w:val="24"/>
        </w:rPr>
      </w:pPr>
      <w:r w:rsidRPr="00840BC5">
        <w:rPr>
          <w:szCs w:val="24"/>
        </w:rPr>
        <w:t>Kommissionen uppmanas också att ge stöd till skapandet av gemensamma institutioner</w:t>
      </w:r>
      <w:r w:rsidR="008B32BA" w:rsidRPr="00840BC5">
        <w:rPr>
          <w:szCs w:val="24"/>
        </w:rPr>
        <w:t xml:space="preserve"> för arabländerna</w:t>
      </w:r>
      <w:r w:rsidRPr="00840BC5">
        <w:rPr>
          <w:szCs w:val="24"/>
        </w:rPr>
        <w:t>, särkilt parlamentariska institutioner</w:t>
      </w:r>
      <w:r w:rsidR="008B32BA" w:rsidRPr="00840BC5">
        <w:rPr>
          <w:szCs w:val="24"/>
        </w:rPr>
        <w:t>.</w:t>
      </w:r>
    </w:p>
    <w:p w:rsidR="004735F0" w:rsidRPr="00840BC5" w:rsidRDefault="004735F0" w:rsidP="009C10C7">
      <w:pPr>
        <w:ind w:left="1080"/>
        <w:rPr>
          <w:szCs w:val="24"/>
        </w:rPr>
      </w:pPr>
    </w:p>
    <w:p w:rsidR="004735F0" w:rsidRPr="00840BC5" w:rsidRDefault="004735F0" w:rsidP="00BA7597">
      <w:pPr>
        <w:ind w:left="360"/>
        <w:rPr>
          <w:szCs w:val="24"/>
        </w:rPr>
      </w:pPr>
      <w:r w:rsidRPr="00840BC5">
        <w:rPr>
          <w:szCs w:val="24"/>
        </w:rPr>
        <w:t xml:space="preserve">Europaparlamentet uppmanar vidare kommissionen, rådet och medlemsstaterna att </w:t>
      </w:r>
      <w:r w:rsidR="00AF0ED4" w:rsidRPr="00840BC5">
        <w:rPr>
          <w:szCs w:val="24"/>
        </w:rPr>
        <w:t>främja och underlätta för</w:t>
      </w:r>
      <w:r w:rsidRPr="00840BC5">
        <w:rPr>
          <w:szCs w:val="24"/>
        </w:rPr>
        <w:t xml:space="preserve"> utbyte av studenter, lärare, akademiker och forskare mellan EU och arabländer</w:t>
      </w:r>
      <w:r w:rsidR="00AF0ED4" w:rsidRPr="00840BC5">
        <w:rPr>
          <w:szCs w:val="24"/>
        </w:rPr>
        <w:t>.</w:t>
      </w:r>
    </w:p>
    <w:p w:rsidR="00974AFA" w:rsidRPr="00840BC5" w:rsidRDefault="00974AFA" w:rsidP="009C10C7">
      <w:pPr>
        <w:ind w:left="1080"/>
        <w:rPr>
          <w:szCs w:val="24"/>
        </w:rPr>
      </w:pPr>
    </w:p>
    <w:p w:rsidR="00974AFA" w:rsidRPr="00840BC5" w:rsidRDefault="00974AFA" w:rsidP="00BA7597">
      <w:pPr>
        <w:ind w:left="360"/>
        <w:rPr>
          <w:szCs w:val="24"/>
        </w:rPr>
      </w:pPr>
      <w:r w:rsidRPr="00840BC5">
        <w:rPr>
          <w:szCs w:val="24"/>
        </w:rPr>
        <w:t>Kommissionen uppmanas också att upp</w:t>
      </w:r>
      <w:r w:rsidR="00AF0ED4" w:rsidRPr="00840BC5">
        <w:rPr>
          <w:szCs w:val="24"/>
        </w:rPr>
        <w:t>m</w:t>
      </w:r>
      <w:r w:rsidRPr="00840BC5">
        <w:rPr>
          <w:szCs w:val="24"/>
        </w:rPr>
        <w:t>untra forskning i arabvärlden</w:t>
      </w:r>
      <w:r w:rsidR="00AF0ED4" w:rsidRPr="00840BC5">
        <w:rPr>
          <w:szCs w:val="24"/>
        </w:rPr>
        <w:t xml:space="preserve"> och att</w:t>
      </w:r>
      <w:r w:rsidRPr="00840BC5">
        <w:rPr>
          <w:szCs w:val="24"/>
        </w:rPr>
        <w:t xml:space="preserve"> stödja initiativ som syftar till att bekämpa korruption</w:t>
      </w:r>
      <w:r w:rsidR="00AF0ED4" w:rsidRPr="00840BC5">
        <w:rPr>
          <w:szCs w:val="24"/>
        </w:rPr>
        <w:t>.</w:t>
      </w:r>
    </w:p>
    <w:p w:rsidR="00245E40" w:rsidRPr="00840BC5" w:rsidRDefault="00245E40" w:rsidP="009C10C7">
      <w:pPr>
        <w:ind w:left="1080"/>
        <w:rPr>
          <w:szCs w:val="24"/>
        </w:rPr>
      </w:pPr>
    </w:p>
    <w:p w:rsidR="00245E40" w:rsidRPr="00840BC5" w:rsidRDefault="00245E40" w:rsidP="009C10C7">
      <w:pPr>
        <w:ind w:left="1080"/>
        <w:rPr>
          <w:szCs w:val="24"/>
        </w:rPr>
      </w:pPr>
    </w:p>
    <w:p w:rsidR="009C10C7" w:rsidRPr="00840BC5" w:rsidRDefault="0006511B" w:rsidP="009C10C7">
      <w:pPr>
        <w:numPr>
          <w:ilvl w:val="0"/>
          <w:numId w:val="2"/>
        </w:numPr>
        <w:rPr>
          <w:b/>
          <w:sz w:val="28"/>
          <w:szCs w:val="28"/>
        </w:rPr>
      </w:pPr>
      <w:r w:rsidRPr="00840BC5">
        <w:rPr>
          <w:b/>
          <w:sz w:val="28"/>
          <w:szCs w:val="28"/>
        </w:rPr>
        <w:t>EU-Ryssland</w:t>
      </w:r>
      <w:r w:rsidR="008E0225" w:rsidRPr="00840BC5">
        <w:rPr>
          <w:b/>
          <w:sz w:val="28"/>
          <w:szCs w:val="28"/>
        </w:rPr>
        <w:t>m</w:t>
      </w:r>
      <w:r w:rsidRPr="00840BC5">
        <w:rPr>
          <w:b/>
          <w:sz w:val="28"/>
          <w:szCs w:val="28"/>
        </w:rPr>
        <w:t>ötet i Samara den 18 maj 2007</w:t>
      </w:r>
      <w:r w:rsidR="009C10C7" w:rsidRPr="00840BC5">
        <w:rPr>
          <w:b/>
          <w:sz w:val="28"/>
          <w:szCs w:val="28"/>
        </w:rPr>
        <w:t xml:space="preserve"> </w:t>
      </w:r>
    </w:p>
    <w:p w:rsidR="009C10C7" w:rsidRPr="00840BC5" w:rsidRDefault="009C10C7" w:rsidP="009C10C7">
      <w:pPr>
        <w:ind w:left="360"/>
        <w:rPr>
          <w:b/>
          <w:sz w:val="28"/>
          <w:szCs w:val="28"/>
        </w:rPr>
      </w:pPr>
    </w:p>
    <w:p w:rsidR="008E0225" w:rsidRPr="00840BC5" w:rsidRDefault="009C10C7" w:rsidP="009C10C7">
      <w:pPr>
        <w:ind w:left="360"/>
        <w:rPr>
          <w:szCs w:val="24"/>
        </w:rPr>
      </w:pPr>
      <w:r w:rsidRPr="00840BC5">
        <w:rPr>
          <w:szCs w:val="24"/>
        </w:rPr>
        <w:lastRenderedPageBreak/>
        <w:t xml:space="preserve">Europaparlamentet uppmanar </w:t>
      </w:r>
      <w:r w:rsidR="008E0225" w:rsidRPr="00840BC5">
        <w:rPr>
          <w:szCs w:val="24"/>
        </w:rPr>
        <w:t xml:space="preserve">EU att visa </w:t>
      </w:r>
      <w:r w:rsidR="00AF0ED4" w:rsidRPr="00840BC5">
        <w:rPr>
          <w:szCs w:val="24"/>
        </w:rPr>
        <w:t>solidaritet</w:t>
      </w:r>
      <w:r w:rsidR="008E0225" w:rsidRPr="00840BC5">
        <w:rPr>
          <w:szCs w:val="24"/>
        </w:rPr>
        <w:t xml:space="preserve"> med Estland och att tala till Ryssland med en </w:t>
      </w:r>
      <w:r w:rsidR="008B32BA" w:rsidRPr="00840BC5">
        <w:rPr>
          <w:szCs w:val="24"/>
        </w:rPr>
        <w:t xml:space="preserve">enad </w:t>
      </w:r>
      <w:r w:rsidR="008E0225" w:rsidRPr="00840BC5">
        <w:rPr>
          <w:szCs w:val="24"/>
        </w:rPr>
        <w:t>röst</w:t>
      </w:r>
      <w:r w:rsidR="008B32BA" w:rsidRPr="00840BC5">
        <w:rPr>
          <w:szCs w:val="24"/>
        </w:rPr>
        <w:t xml:space="preserve"> när det gäller</w:t>
      </w:r>
      <w:r w:rsidR="008E0225" w:rsidRPr="00840BC5">
        <w:rPr>
          <w:szCs w:val="24"/>
        </w:rPr>
        <w:t xml:space="preserve"> händelserna i Tallinn. Ryssland uppmanas att till ful</w:t>
      </w:r>
      <w:r w:rsidR="008B32BA" w:rsidRPr="00840BC5">
        <w:rPr>
          <w:szCs w:val="24"/>
        </w:rPr>
        <w:t>lo respektera dess skyldigheter</w:t>
      </w:r>
      <w:r w:rsidR="008E0225" w:rsidRPr="00840BC5">
        <w:rPr>
          <w:szCs w:val="24"/>
        </w:rPr>
        <w:t xml:space="preserve"> under Wienkonventionen om diplomatiska relationer genom att garantera skyddet för utländska diplomater och den normala fun</w:t>
      </w:r>
      <w:r w:rsidR="00AF0ED4" w:rsidRPr="00840BC5">
        <w:rPr>
          <w:szCs w:val="24"/>
        </w:rPr>
        <w:t>k</w:t>
      </w:r>
      <w:r w:rsidR="008E0225" w:rsidRPr="00840BC5">
        <w:rPr>
          <w:szCs w:val="24"/>
        </w:rPr>
        <w:t>tionen för utländska ambassader.</w:t>
      </w:r>
    </w:p>
    <w:p w:rsidR="008E0225" w:rsidRPr="00840BC5" w:rsidRDefault="008E0225" w:rsidP="009C10C7">
      <w:pPr>
        <w:ind w:left="360"/>
        <w:rPr>
          <w:szCs w:val="24"/>
        </w:rPr>
      </w:pPr>
    </w:p>
    <w:p w:rsidR="009C10C7" w:rsidRPr="00840BC5" w:rsidRDefault="008E0225" w:rsidP="009C10C7">
      <w:pPr>
        <w:ind w:left="360"/>
        <w:rPr>
          <w:szCs w:val="24"/>
        </w:rPr>
      </w:pPr>
      <w:r w:rsidRPr="00840BC5">
        <w:rPr>
          <w:szCs w:val="24"/>
        </w:rPr>
        <w:t>Vidare uppmanar parlamentet kommissionen och rådet att driva på gemensamma initiativ med Rysslands regering i syfte att stärka säkerheten</w:t>
      </w:r>
      <w:r w:rsidR="00AF0ED4" w:rsidRPr="00840BC5">
        <w:rPr>
          <w:szCs w:val="24"/>
        </w:rPr>
        <w:t xml:space="preserve"> och stabiliteten i det gemensamma grannskapet</w:t>
      </w:r>
      <w:r w:rsidRPr="00840BC5">
        <w:rPr>
          <w:szCs w:val="24"/>
        </w:rPr>
        <w:t xml:space="preserve">. EU och Ryssland uppmanas </w:t>
      </w:r>
      <w:r w:rsidR="00A30B69" w:rsidRPr="00840BC5">
        <w:rPr>
          <w:szCs w:val="24"/>
        </w:rPr>
        <w:t xml:space="preserve">vidare </w:t>
      </w:r>
      <w:r w:rsidRPr="00840BC5">
        <w:rPr>
          <w:szCs w:val="24"/>
        </w:rPr>
        <w:t>som medlemmar av FN:s säkerhetsråd att ta</w:t>
      </w:r>
      <w:r w:rsidR="008B32BA" w:rsidRPr="00840BC5">
        <w:rPr>
          <w:szCs w:val="24"/>
        </w:rPr>
        <w:t xml:space="preserve"> på sig ansvaret för frågan om </w:t>
      </w:r>
      <w:r w:rsidR="00AF0ED4" w:rsidRPr="00840BC5">
        <w:rPr>
          <w:szCs w:val="24"/>
        </w:rPr>
        <w:t>kärnkraft i Iran</w:t>
      </w:r>
      <w:r w:rsidRPr="00840BC5">
        <w:rPr>
          <w:szCs w:val="24"/>
        </w:rPr>
        <w:t>.</w:t>
      </w:r>
    </w:p>
    <w:p w:rsidR="008E0225" w:rsidRPr="00840BC5" w:rsidRDefault="008E0225" w:rsidP="009C10C7">
      <w:pPr>
        <w:ind w:left="360"/>
        <w:rPr>
          <w:szCs w:val="24"/>
        </w:rPr>
      </w:pPr>
    </w:p>
    <w:p w:rsidR="008E0225" w:rsidRPr="00840BC5" w:rsidRDefault="008E0225" w:rsidP="009C10C7">
      <w:pPr>
        <w:ind w:left="360"/>
        <w:rPr>
          <w:szCs w:val="24"/>
        </w:rPr>
      </w:pPr>
      <w:r w:rsidRPr="00840BC5">
        <w:rPr>
          <w:szCs w:val="24"/>
        </w:rPr>
        <w:t>Parlamentet uppmanar också EU och Ryssland, som medlemmar av kvartetten att ta på sig ansvar för resolutionen om konflikten i Mellanöstern</w:t>
      </w:r>
      <w:r w:rsidR="00601B6A" w:rsidRPr="00840BC5">
        <w:rPr>
          <w:szCs w:val="24"/>
        </w:rPr>
        <w:t xml:space="preserve"> och för att främja ansträngningar för att hålla en internationell fredskonferens om en regional Mellanösternfred. Vidare uppmanas Ryssland som en medlem av ” the Contact Group”  och av FN:s säkerhetsråd att samarbeta med att finna en långsiktig lösning på Kosovofrågan</w:t>
      </w:r>
      <w:r w:rsidR="00A30B69" w:rsidRPr="00840BC5">
        <w:rPr>
          <w:szCs w:val="24"/>
        </w:rPr>
        <w:t>,</w:t>
      </w:r>
      <w:r w:rsidR="00601B6A" w:rsidRPr="00840BC5">
        <w:rPr>
          <w:szCs w:val="24"/>
        </w:rPr>
        <w:t xml:space="preserve"> och som en av parterna i </w:t>
      </w:r>
      <w:r w:rsidR="008B32BA" w:rsidRPr="00840BC5">
        <w:rPr>
          <w:szCs w:val="24"/>
        </w:rPr>
        <w:t>”</w:t>
      </w:r>
      <w:r w:rsidR="00601B6A" w:rsidRPr="00840BC5">
        <w:rPr>
          <w:szCs w:val="24"/>
        </w:rPr>
        <w:t>Six Party Talks</w:t>
      </w:r>
      <w:r w:rsidR="008B32BA" w:rsidRPr="00840BC5">
        <w:rPr>
          <w:szCs w:val="24"/>
        </w:rPr>
        <w:t>”</w:t>
      </w:r>
      <w:r w:rsidR="00601B6A" w:rsidRPr="00840BC5">
        <w:rPr>
          <w:szCs w:val="24"/>
        </w:rPr>
        <w:t xml:space="preserve"> att hjälpa till med att finna en lösning på problemet med spridning av kärnvapen i Nordkorea.</w:t>
      </w:r>
    </w:p>
    <w:p w:rsidR="00601B6A" w:rsidRPr="00840BC5" w:rsidRDefault="00601B6A" w:rsidP="009C10C7">
      <w:pPr>
        <w:ind w:left="360"/>
        <w:rPr>
          <w:szCs w:val="24"/>
        </w:rPr>
      </w:pPr>
    </w:p>
    <w:p w:rsidR="00152DFC" w:rsidRPr="00840BC5" w:rsidRDefault="00152DFC" w:rsidP="009C10C7">
      <w:pPr>
        <w:ind w:left="360"/>
        <w:rPr>
          <w:szCs w:val="24"/>
        </w:rPr>
      </w:pPr>
      <w:r w:rsidRPr="00840BC5">
        <w:rPr>
          <w:szCs w:val="24"/>
        </w:rPr>
        <w:t>Europaparlamentet uppmanar också Ryssland att inte ytterliggare försena beslutet om den slutliga statusen för Kosovo baserad på Ahtisaariplanen för övervakat oberoende.</w:t>
      </w:r>
    </w:p>
    <w:p w:rsidR="00152DFC" w:rsidRPr="00840BC5" w:rsidRDefault="00152DFC" w:rsidP="009C10C7">
      <w:pPr>
        <w:ind w:left="360"/>
        <w:rPr>
          <w:szCs w:val="24"/>
        </w:rPr>
      </w:pPr>
    </w:p>
    <w:p w:rsidR="00152DFC" w:rsidRPr="00840BC5" w:rsidRDefault="00152DFC" w:rsidP="009C10C7">
      <w:pPr>
        <w:ind w:left="360"/>
        <w:rPr>
          <w:szCs w:val="24"/>
        </w:rPr>
      </w:pPr>
      <w:r w:rsidRPr="00840BC5">
        <w:rPr>
          <w:szCs w:val="24"/>
        </w:rPr>
        <w:t xml:space="preserve">Parlamentet uppmanar också till etablerandet av en </w:t>
      </w:r>
      <w:r w:rsidR="00E309A0" w:rsidRPr="00840BC5">
        <w:rPr>
          <w:szCs w:val="24"/>
        </w:rPr>
        <w:t xml:space="preserve">gemenskap för </w:t>
      </w:r>
      <w:r w:rsidRPr="00840BC5">
        <w:rPr>
          <w:szCs w:val="24"/>
        </w:rPr>
        <w:t xml:space="preserve">Svarta havet </w:t>
      </w:r>
      <w:r w:rsidR="00E309A0" w:rsidRPr="00840BC5">
        <w:rPr>
          <w:szCs w:val="24"/>
        </w:rPr>
        <w:t>vid sidan av</w:t>
      </w:r>
      <w:r w:rsidRPr="00840BC5">
        <w:rPr>
          <w:szCs w:val="24"/>
        </w:rPr>
        <w:t xml:space="preserve"> </w:t>
      </w:r>
      <w:r w:rsidR="00E309A0" w:rsidRPr="00840BC5">
        <w:rPr>
          <w:szCs w:val="24"/>
        </w:rPr>
        <w:t>”</w:t>
      </w:r>
      <w:r w:rsidRPr="00840BC5">
        <w:rPr>
          <w:szCs w:val="24"/>
        </w:rPr>
        <w:t>den Nordliga dimensionen</w:t>
      </w:r>
      <w:r w:rsidR="00E309A0" w:rsidRPr="00840BC5">
        <w:rPr>
          <w:szCs w:val="24"/>
        </w:rPr>
        <w:t>”</w:t>
      </w:r>
      <w:r w:rsidRPr="00840BC5">
        <w:rPr>
          <w:szCs w:val="24"/>
        </w:rPr>
        <w:t xml:space="preserve">, </w:t>
      </w:r>
      <w:r w:rsidR="00E309A0" w:rsidRPr="00840BC5">
        <w:rPr>
          <w:szCs w:val="24"/>
        </w:rPr>
        <w:t>för att uppmuntra bättre dialog</w:t>
      </w:r>
      <w:r w:rsidRPr="00840BC5">
        <w:rPr>
          <w:szCs w:val="24"/>
        </w:rPr>
        <w:t xml:space="preserve"> för e</w:t>
      </w:r>
      <w:r w:rsidR="00E309A0" w:rsidRPr="00840BC5">
        <w:rPr>
          <w:szCs w:val="24"/>
        </w:rPr>
        <w:t>tt</w:t>
      </w:r>
      <w:r w:rsidRPr="00840BC5">
        <w:rPr>
          <w:szCs w:val="24"/>
        </w:rPr>
        <w:t xml:space="preserve"> mer stabilt, säkert och demokratiskt grannskap.</w:t>
      </w:r>
    </w:p>
    <w:p w:rsidR="00152DFC" w:rsidRPr="00840BC5" w:rsidRDefault="00152DFC" w:rsidP="009C10C7">
      <w:pPr>
        <w:ind w:left="360"/>
        <w:rPr>
          <w:szCs w:val="24"/>
        </w:rPr>
      </w:pPr>
    </w:p>
    <w:p w:rsidR="00A17E62" w:rsidRPr="00840BC5" w:rsidRDefault="00152DFC" w:rsidP="009C10C7">
      <w:pPr>
        <w:ind w:left="360"/>
        <w:rPr>
          <w:szCs w:val="24"/>
        </w:rPr>
      </w:pPr>
      <w:r w:rsidRPr="00840BC5">
        <w:rPr>
          <w:szCs w:val="24"/>
        </w:rPr>
        <w:t xml:space="preserve">Vidare uppmanas Ryssland och EU:s medlemsländer att nå de föreskrivna målen för Kyotoprotokollet och uppmanar Ryssland att spela en aktiv roll i framtida internationella förhandlingar </w:t>
      </w:r>
      <w:r w:rsidR="00E309A0" w:rsidRPr="00840BC5">
        <w:rPr>
          <w:szCs w:val="24"/>
        </w:rPr>
        <w:t>samt</w:t>
      </w:r>
      <w:r w:rsidRPr="00840BC5">
        <w:rPr>
          <w:szCs w:val="24"/>
        </w:rPr>
        <w:t xml:space="preserve"> att underlätta för en snabb överenskommelse</w:t>
      </w:r>
      <w:r w:rsidR="00AF0ED4" w:rsidRPr="00840BC5">
        <w:rPr>
          <w:szCs w:val="24"/>
        </w:rPr>
        <w:t xml:space="preserve"> </w:t>
      </w:r>
      <w:r w:rsidR="00A17E62" w:rsidRPr="00840BC5">
        <w:rPr>
          <w:szCs w:val="24"/>
        </w:rPr>
        <w:t>för att säkerställa kontinuiteten på den globala marknaden för kol.</w:t>
      </w:r>
    </w:p>
    <w:p w:rsidR="00A17E62" w:rsidRPr="00840BC5" w:rsidRDefault="00A17E62" w:rsidP="009C10C7">
      <w:pPr>
        <w:ind w:left="360"/>
        <w:rPr>
          <w:szCs w:val="24"/>
        </w:rPr>
      </w:pPr>
    </w:p>
    <w:p w:rsidR="00152DFC" w:rsidRPr="00840BC5" w:rsidRDefault="00A17E62" w:rsidP="009C10C7">
      <w:pPr>
        <w:ind w:left="360"/>
        <w:rPr>
          <w:szCs w:val="24"/>
        </w:rPr>
      </w:pPr>
      <w:r w:rsidRPr="00840BC5">
        <w:rPr>
          <w:szCs w:val="24"/>
        </w:rPr>
        <w:t>Rådet och kommissionen uppmanas slutligen att fördubbla deras ansträngningar för att lösa problemen som det innebär att korsa gränsen mellan EU och Ryssland</w:t>
      </w:r>
      <w:r w:rsidR="00E309A0" w:rsidRPr="00840BC5">
        <w:rPr>
          <w:szCs w:val="24"/>
        </w:rPr>
        <w:t>,</w:t>
      </w:r>
      <w:r w:rsidRPr="00840BC5">
        <w:rPr>
          <w:szCs w:val="24"/>
        </w:rPr>
        <w:t xml:space="preserve"> att engagera sig i konkreta projekt och </w:t>
      </w:r>
      <w:r w:rsidR="00E309A0" w:rsidRPr="00840BC5">
        <w:rPr>
          <w:szCs w:val="24"/>
        </w:rPr>
        <w:t>att fullt ut använda de</w:t>
      </w:r>
      <w:r w:rsidRPr="00840BC5">
        <w:rPr>
          <w:szCs w:val="24"/>
        </w:rPr>
        <w:t xml:space="preserve"> nya grannskaps- och partnerskapinstrumenten och interregmedel för gränsöverskridande samarbete.</w:t>
      </w:r>
    </w:p>
    <w:p w:rsidR="009C10C7" w:rsidRPr="00840BC5" w:rsidRDefault="009C10C7" w:rsidP="009C10C7"/>
    <w:p w:rsidR="009C10C7" w:rsidRPr="00840BC5" w:rsidRDefault="006F08BA" w:rsidP="009C10C7">
      <w:pPr>
        <w:numPr>
          <w:ilvl w:val="0"/>
          <w:numId w:val="1"/>
        </w:numPr>
      </w:pPr>
      <w:r w:rsidRPr="00840BC5">
        <w:rPr>
          <w:b/>
          <w:sz w:val="28"/>
          <w:szCs w:val="28"/>
        </w:rPr>
        <w:t>Afrikas horn</w:t>
      </w:r>
    </w:p>
    <w:p w:rsidR="006F08BA" w:rsidRPr="00840BC5" w:rsidRDefault="006F08BA" w:rsidP="006F08BA">
      <w:pPr>
        <w:rPr>
          <w:b/>
          <w:sz w:val="28"/>
          <w:szCs w:val="28"/>
        </w:rPr>
      </w:pPr>
    </w:p>
    <w:p w:rsidR="006F08BA" w:rsidRPr="00840BC5" w:rsidRDefault="002A5E0E" w:rsidP="006F08BA">
      <w:pPr>
        <w:rPr>
          <w:szCs w:val="24"/>
        </w:rPr>
      </w:pPr>
      <w:r w:rsidRPr="00840BC5">
        <w:rPr>
          <w:szCs w:val="24"/>
        </w:rPr>
        <w:t xml:space="preserve">Europaparlamentet uppmanar rådet och kommissionen att ta bestämda steg för att </w:t>
      </w:r>
      <w:r w:rsidR="00494BAC" w:rsidRPr="00840BC5">
        <w:rPr>
          <w:szCs w:val="24"/>
        </w:rPr>
        <w:t>bekämpa straffrihet</w:t>
      </w:r>
      <w:r w:rsidRPr="00840BC5">
        <w:rPr>
          <w:szCs w:val="24"/>
        </w:rPr>
        <w:t>, vapen smuggling, brott mot mänskliga rättigheter, brott mot vapenvila och attacker mot civila, fredsfrämjare och humanitära hjälparbetare</w:t>
      </w:r>
      <w:r w:rsidR="00AF0ED4" w:rsidRPr="00840BC5">
        <w:rPr>
          <w:szCs w:val="24"/>
        </w:rPr>
        <w:t xml:space="preserve"> i regionen</w:t>
      </w:r>
      <w:r w:rsidRPr="00840BC5">
        <w:rPr>
          <w:szCs w:val="24"/>
        </w:rPr>
        <w:t>, och att stötta involverand</w:t>
      </w:r>
      <w:r w:rsidR="00AF0ED4" w:rsidRPr="00840BC5">
        <w:rPr>
          <w:szCs w:val="24"/>
        </w:rPr>
        <w:t>et av den internationella brott</w:t>
      </w:r>
      <w:r w:rsidRPr="00840BC5">
        <w:rPr>
          <w:szCs w:val="24"/>
        </w:rPr>
        <w:t xml:space="preserve">målsdomstolen. Vidare uppmanas EU att öppet </w:t>
      </w:r>
      <w:r w:rsidR="00AF0ED4" w:rsidRPr="00840BC5">
        <w:rPr>
          <w:szCs w:val="24"/>
        </w:rPr>
        <w:t>fördöma</w:t>
      </w:r>
      <w:r w:rsidRPr="00840BC5">
        <w:rPr>
          <w:szCs w:val="24"/>
        </w:rPr>
        <w:t xml:space="preserve"> den förtryckande regimen i regionen.</w:t>
      </w:r>
    </w:p>
    <w:p w:rsidR="002A5E0E" w:rsidRPr="00840BC5" w:rsidRDefault="002A5E0E" w:rsidP="006F08BA">
      <w:pPr>
        <w:rPr>
          <w:szCs w:val="24"/>
        </w:rPr>
      </w:pPr>
    </w:p>
    <w:p w:rsidR="002A5E0E" w:rsidRPr="00840BC5" w:rsidRDefault="00AF0ED4" w:rsidP="006F08BA">
      <w:pPr>
        <w:rPr>
          <w:szCs w:val="24"/>
        </w:rPr>
      </w:pPr>
      <w:r w:rsidRPr="00840BC5">
        <w:rPr>
          <w:szCs w:val="24"/>
        </w:rPr>
        <w:t>P</w:t>
      </w:r>
      <w:r w:rsidR="002A5E0E" w:rsidRPr="00840BC5">
        <w:rPr>
          <w:szCs w:val="24"/>
        </w:rPr>
        <w:t xml:space="preserve">arlamentet </w:t>
      </w:r>
      <w:r w:rsidRPr="00840BC5">
        <w:rPr>
          <w:szCs w:val="24"/>
        </w:rPr>
        <w:t xml:space="preserve">uppmanar </w:t>
      </w:r>
      <w:r w:rsidR="002A5E0E" w:rsidRPr="00840BC5">
        <w:rPr>
          <w:szCs w:val="24"/>
        </w:rPr>
        <w:t xml:space="preserve">till konsolidering av EU:s närvaro i regionen genom att utse en EU-representant för Afrikas horn. </w:t>
      </w:r>
      <w:r w:rsidR="002B55F8" w:rsidRPr="00840BC5">
        <w:rPr>
          <w:szCs w:val="24"/>
        </w:rPr>
        <w:t xml:space="preserve">Kommissionen och rådet uppmanas också att börja en konsultationsprocess med andra aktörer i regionen såsom FN, AU, IGAD, </w:t>
      </w:r>
      <w:r w:rsidRPr="00840BC5">
        <w:rPr>
          <w:szCs w:val="24"/>
        </w:rPr>
        <w:t>Arabförbundet</w:t>
      </w:r>
      <w:r w:rsidR="002B55F8" w:rsidRPr="00840BC5">
        <w:rPr>
          <w:szCs w:val="24"/>
        </w:rPr>
        <w:t>, USA och Kina om initiativet om att skapa en begriplig säkerhets</w:t>
      </w:r>
      <w:r w:rsidR="00E309A0" w:rsidRPr="00840BC5">
        <w:rPr>
          <w:szCs w:val="24"/>
        </w:rPr>
        <w:t>-</w:t>
      </w:r>
      <w:r w:rsidR="002B55F8" w:rsidRPr="00840BC5">
        <w:rPr>
          <w:szCs w:val="24"/>
        </w:rPr>
        <w:t>, freds</w:t>
      </w:r>
      <w:r w:rsidR="00E309A0" w:rsidRPr="00840BC5">
        <w:rPr>
          <w:szCs w:val="24"/>
        </w:rPr>
        <w:t>-</w:t>
      </w:r>
      <w:r w:rsidR="002B55F8" w:rsidRPr="00840BC5">
        <w:rPr>
          <w:szCs w:val="24"/>
        </w:rPr>
        <w:t xml:space="preserve"> och utvecklingskonferens för att </w:t>
      </w:r>
      <w:r w:rsidRPr="00840BC5">
        <w:rPr>
          <w:szCs w:val="24"/>
        </w:rPr>
        <w:t xml:space="preserve">behandla </w:t>
      </w:r>
      <w:r w:rsidR="002B55F8" w:rsidRPr="00840BC5">
        <w:rPr>
          <w:szCs w:val="24"/>
        </w:rPr>
        <w:t>dessa säkerhets</w:t>
      </w:r>
      <w:r w:rsidRPr="00840BC5">
        <w:rPr>
          <w:szCs w:val="24"/>
        </w:rPr>
        <w:t>frågor</w:t>
      </w:r>
      <w:r w:rsidR="002B55F8" w:rsidRPr="00840BC5">
        <w:rPr>
          <w:szCs w:val="24"/>
        </w:rPr>
        <w:t xml:space="preserve"> hos alla stater i Afrikas horn samtidigt.</w:t>
      </w:r>
    </w:p>
    <w:p w:rsidR="002B55F8" w:rsidRPr="00840BC5" w:rsidRDefault="002B55F8" w:rsidP="006F08BA">
      <w:pPr>
        <w:rPr>
          <w:szCs w:val="24"/>
        </w:rPr>
      </w:pPr>
    </w:p>
    <w:p w:rsidR="002B55F8" w:rsidRPr="00840BC5" w:rsidRDefault="002B55F8" w:rsidP="006F08BA">
      <w:pPr>
        <w:rPr>
          <w:szCs w:val="24"/>
        </w:rPr>
      </w:pPr>
      <w:r w:rsidRPr="00840BC5">
        <w:rPr>
          <w:szCs w:val="24"/>
        </w:rPr>
        <w:t xml:space="preserve">Vidare uppmanar parlamentet rådet och kommissionen att </w:t>
      </w:r>
      <w:r w:rsidR="00606577" w:rsidRPr="00840BC5">
        <w:rPr>
          <w:szCs w:val="24"/>
        </w:rPr>
        <w:t>intensifiera och utöka de</w:t>
      </w:r>
      <w:r w:rsidRPr="00840BC5">
        <w:rPr>
          <w:szCs w:val="24"/>
        </w:rPr>
        <w:t xml:space="preserve"> existerande </w:t>
      </w:r>
      <w:r w:rsidR="00606577" w:rsidRPr="00840BC5">
        <w:rPr>
          <w:szCs w:val="24"/>
        </w:rPr>
        <w:t>initiativen</w:t>
      </w:r>
      <w:r w:rsidR="00BD1244" w:rsidRPr="00840BC5">
        <w:rPr>
          <w:szCs w:val="24"/>
        </w:rPr>
        <w:t xml:space="preserve"> till andra</w:t>
      </w:r>
      <w:r w:rsidR="00606577" w:rsidRPr="00840BC5">
        <w:rPr>
          <w:szCs w:val="24"/>
        </w:rPr>
        <w:t xml:space="preserve"> länder/regioner.</w:t>
      </w:r>
    </w:p>
    <w:p w:rsidR="00606577" w:rsidRPr="00840BC5" w:rsidRDefault="00606577" w:rsidP="006F08BA">
      <w:pPr>
        <w:rPr>
          <w:szCs w:val="24"/>
        </w:rPr>
      </w:pPr>
    </w:p>
    <w:p w:rsidR="00606577" w:rsidRPr="00840BC5" w:rsidRDefault="00606577" w:rsidP="006F08BA">
      <w:pPr>
        <w:rPr>
          <w:szCs w:val="24"/>
        </w:rPr>
      </w:pPr>
      <w:r w:rsidRPr="00840BC5">
        <w:rPr>
          <w:szCs w:val="24"/>
        </w:rPr>
        <w:t>Kommissionen uppmanas vidare att främja bättre koordinering mellan dess</w:t>
      </w:r>
      <w:r w:rsidR="00E309A0" w:rsidRPr="00840BC5">
        <w:rPr>
          <w:szCs w:val="24"/>
        </w:rPr>
        <w:t xml:space="preserve"> </w:t>
      </w:r>
      <w:r w:rsidRPr="00840BC5">
        <w:rPr>
          <w:szCs w:val="24"/>
        </w:rPr>
        <w:t>avdelningar och medlemsstater för att harmonisera dess ingripande</w:t>
      </w:r>
      <w:r w:rsidR="00BD1244" w:rsidRPr="00840BC5">
        <w:rPr>
          <w:szCs w:val="24"/>
        </w:rPr>
        <w:t xml:space="preserve"> på</w:t>
      </w:r>
      <w:r w:rsidRPr="00840BC5">
        <w:rPr>
          <w:szCs w:val="24"/>
        </w:rPr>
        <w:t xml:space="preserve"> områden som EU-Afrika infrastrukturpartnerskapet och EU:s gouvernance inititativ och för att säkra koordinering inom dessa områden med FN, USA, Kina och andra internationella aktörer.</w:t>
      </w:r>
    </w:p>
    <w:p w:rsidR="00606577" w:rsidRPr="00840BC5" w:rsidRDefault="00606577" w:rsidP="006F08BA">
      <w:pPr>
        <w:rPr>
          <w:szCs w:val="24"/>
        </w:rPr>
      </w:pPr>
    </w:p>
    <w:p w:rsidR="005E4E48" w:rsidRPr="00840BC5" w:rsidRDefault="00606577" w:rsidP="006F08BA">
      <w:pPr>
        <w:rPr>
          <w:szCs w:val="24"/>
        </w:rPr>
      </w:pPr>
      <w:r w:rsidRPr="00840BC5">
        <w:rPr>
          <w:szCs w:val="24"/>
        </w:rPr>
        <w:t>Parlamentet uppmanar också rådet och kommissionen att söka dialog med Kina, beaktande faktumet att Kina har inte</w:t>
      </w:r>
      <w:r w:rsidR="000A1A46" w:rsidRPr="00840BC5">
        <w:rPr>
          <w:szCs w:val="24"/>
        </w:rPr>
        <w:t>n</w:t>
      </w:r>
      <w:r w:rsidRPr="00840BC5">
        <w:rPr>
          <w:szCs w:val="24"/>
        </w:rPr>
        <w:t>sifierat dess politiska och ekonomiska inblandning i Afrika. Vidare uppmanas rådet och kommissionen att uppmuntra EAC, COMESA och Nile Basin</w:t>
      </w:r>
      <w:r w:rsidR="000A1A46" w:rsidRPr="00840BC5">
        <w:rPr>
          <w:szCs w:val="24"/>
        </w:rPr>
        <w:t>-</w:t>
      </w:r>
      <w:r w:rsidRPr="00840BC5">
        <w:rPr>
          <w:szCs w:val="24"/>
        </w:rPr>
        <w:t>initiativet för att dela information om deras respektive roller och aktiviteter mellan de</w:t>
      </w:r>
      <w:r w:rsidR="000A1A46" w:rsidRPr="00840BC5">
        <w:rPr>
          <w:szCs w:val="24"/>
        </w:rPr>
        <w:t>m</w:t>
      </w:r>
      <w:r w:rsidR="005E4E48" w:rsidRPr="00840BC5">
        <w:rPr>
          <w:szCs w:val="24"/>
        </w:rPr>
        <w:t xml:space="preserve"> och med </w:t>
      </w:r>
      <w:r w:rsidR="00856EE0" w:rsidRPr="00840BC5">
        <w:rPr>
          <w:szCs w:val="24"/>
        </w:rPr>
        <w:t xml:space="preserve">stater och nyckelpersoner i </w:t>
      </w:r>
      <w:r w:rsidR="005E4E48" w:rsidRPr="00840BC5">
        <w:rPr>
          <w:szCs w:val="24"/>
        </w:rPr>
        <w:t>Afrikas horn</w:t>
      </w:r>
      <w:r w:rsidR="00856EE0" w:rsidRPr="00840BC5">
        <w:rPr>
          <w:szCs w:val="24"/>
        </w:rPr>
        <w:t>.</w:t>
      </w:r>
      <w:r w:rsidR="005E4E48" w:rsidRPr="00840BC5">
        <w:rPr>
          <w:szCs w:val="24"/>
        </w:rPr>
        <w:t xml:space="preserve"> </w:t>
      </w:r>
    </w:p>
    <w:p w:rsidR="00856EE0" w:rsidRPr="00840BC5" w:rsidRDefault="00856EE0" w:rsidP="006F08BA">
      <w:pPr>
        <w:rPr>
          <w:szCs w:val="24"/>
        </w:rPr>
      </w:pPr>
    </w:p>
    <w:p w:rsidR="005E4E48" w:rsidRPr="00840BC5" w:rsidRDefault="005E4E48" w:rsidP="006F08BA">
      <w:pPr>
        <w:rPr>
          <w:szCs w:val="24"/>
        </w:rPr>
      </w:pPr>
      <w:r w:rsidRPr="00840BC5">
        <w:rPr>
          <w:szCs w:val="24"/>
        </w:rPr>
        <w:t>Rådet, kommissionen och medlemsstaterna uppmanas också att till fullo ta på sig ansvaret och göra varje möjlig ansträngning för att skydda folket i Darfur från den humanitära katastrofen som är resultatet av det fortsatta brottet mot vapenvilan och framförallt våldet som riktats mot civilbefolkningen och civilhjälp.</w:t>
      </w:r>
    </w:p>
    <w:p w:rsidR="00AE7E2A" w:rsidRPr="00840BC5" w:rsidRDefault="00AE7E2A" w:rsidP="006F08BA">
      <w:pPr>
        <w:rPr>
          <w:szCs w:val="24"/>
        </w:rPr>
      </w:pPr>
    </w:p>
    <w:p w:rsidR="00AE7E2A" w:rsidRPr="00840BC5" w:rsidRDefault="00AE7E2A" w:rsidP="006F08BA">
      <w:pPr>
        <w:rPr>
          <w:szCs w:val="24"/>
        </w:rPr>
      </w:pPr>
      <w:r w:rsidRPr="00840BC5">
        <w:rPr>
          <w:szCs w:val="24"/>
        </w:rPr>
        <w:t>Vidare uppmanas alla parter i konflikten att uppfylla sina plikter att respektera mänskliga rättigheter och att säkra full säker och obehindrad tillgång till räddningspersonal för alla människor i behov i Darfur</w:t>
      </w:r>
      <w:r w:rsidR="00BD1244" w:rsidRPr="00840BC5">
        <w:rPr>
          <w:szCs w:val="24"/>
        </w:rPr>
        <w:t>.</w:t>
      </w:r>
    </w:p>
    <w:p w:rsidR="00AE7E2A" w:rsidRPr="00840BC5" w:rsidRDefault="00AE7E2A" w:rsidP="006F08BA">
      <w:pPr>
        <w:rPr>
          <w:szCs w:val="24"/>
        </w:rPr>
      </w:pPr>
    </w:p>
    <w:p w:rsidR="00AE7E2A" w:rsidRPr="00840BC5" w:rsidRDefault="00AE7E2A" w:rsidP="006F08BA">
      <w:pPr>
        <w:rPr>
          <w:szCs w:val="24"/>
        </w:rPr>
      </w:pPr>
      <w:r w:rsidRPr="00840BC5">
        <w:rPr>
          <w:szCs w:val="24"/>
        </w:rPr>
        <w:t xml:space="preserve">Europaparlamentet uppmanar också till implementering av FN:s säkerhetsråds sanktioner inklusive reseförbud, frysning av tillgångar och hotet om ett oljeembargo. Dessutom uppmanas till en omvärdering av </w:t>
      </w:r>
      <w:r w:rsidR="00E86C09" w:rsidRPr="00840BC5">
        <w:rPr>
          <w:szCs w:val="24"/>
        </w:rPr>
        <w:t>”</w:t>
      </w:r>
      <w:r w:rsidRPr="00840BC5">
        <w:rPr>
          <w:szCs w:val="24"/>
        </w:rPr>
        <w:t>the Inte</w:t>
      </w:r>
      <w:r w:rsidR="005D140C" w:rsidRPr="00840BC5">
        <w:rPr>
          <w:szCs w:val="24"/>
        </w:rPr>
        <w:t>rnational Somalia Contact Group</w:t>
      </w:r>
      <w:r w:rsidR="00E86C09" w:rsidRPr="00840BC5">
        <w:rPr>
          <w:szCs w:val="24"/>
        </w:rPr>
        <w:t>”</w:t>
      </w:r>
      <w:r w:rsidR="005D140C" w:rsidRPr="00840BC5">
        <w:rPr>
          <w:szCs w:val="24"/>
        </w:rPr>
        <w:t xml:space="preserve"> som involverar EU, Italien, Sverige</w:t>
      </w:r>
      <w:r w:rsidR="00E86C09" w:rsidRPr="00840BC5">
        <w:rPr>
          <w:szCs w:val="24"/>
        </w:rPr>
        <w:t xml:space="preserve">, Storbritannien, FN, AU, IGAD och </w:t>
      </w:r>
      <w:r w:rsidR="00BD1244" w:rsidRPr="00840BC5">
        <w:rPr>
          <w:szCs w:val="24"/>
        </w:rPr>
        <w:t>Arabförbundet</w:t>
      </w:r>
      <w:r w:rsidR="005D140C" w:rsidRPr="00840BC5">
        <w:rPr>
          <w:szCs w:val="24"/>
        </w:rPr>
        <w:t>.</w:t>
      </w:r>
    </w:p>
    <w:p w:rsidR="005D140C" w:rsidRPr="00840BC5" w:rsidRDefault="005D140C" w:rsidP="006F08BA">
      <w:pPr>
        <w:rPr>
          <w:szCs w:val="24"/>
        </w:rPr>
      </w:pPr>
    </w:p>
    <w:p w:rsidR="002B55F8" w:rsidRPr="00840BC5" w:rsidRDefault="005D140C" w:rsidP="006F08BA">
      <w:pPr>
        <w:rPr>
          <w:szCs w:val="24"/>
        </w:rPr>
      </w:pPr>
      <w:r w:rsidRPr="00840BC5">
        <w:rPr>
          <w:szCs w:val="24"/>
        </w:rPr>
        <w:t>Parlamentet uppmanar också rådet och kommissionen att sätta press på Etiopiens regering att avslöja det totala antalet personer som är anhållna i landet, att tillåta besök från Röda korset och att tillåta de anhålla få träffa sina familjer, juridiska ombud och att få den medicinska vård som deras hälsa kan kräva, och också att genast släppa alla politiska fångar och att uppfylla sina skyldigheter när det gäller mänskliga rättigheter</w:t>
      </w:r>
      <w:r w:rsidR="00BD1244" w:rsidRPr="00840BC5">
        <w:rPr>
          <w:szCs w:val="24"/>
        </w:rPr>
        <w:t xml:space="preserve"> och </w:t>
      </w:r>
      <w:r w:rsidRPr="00840BC5">
        <w:rPr>
          <w:szCs w:val="24"/>
        </w:rPr>
        <w:t>demokratiska principer</w:t>
      </w:r>
      <w:r w:rsidR="00BD1244" w:rsidRPr="00840BC5">
        <w:rPr>
          <w:szCs w:val="24"/>
        </w:rPr>
        <w:t>.</w:t>
      </w:r>
    </w:p>
    <w:p w:rsidR="00A34F12" w:rsidRPr="00840BC5" w:rsidRDefault="00A34F12" w:rsidP="006F08BA">
      <w:pPr>
        <w:rPr>
          <w:szCs w:val="24"/>
        </w:rPr>
      </w:pPr>
    </w:p>
    <w:p w:rsidR="00A34F12" w:rsidRPr="00840BC5" w:rsidRDefault="00A34F12" w:rsidP="006F08BA">
      <w:pPr>
        <w:rPr>
          <w:szCs w:val="24"/>
        </w:rPr>
      </w:pPr>
      <w:r w:rsidRPr="00840BC5">
        <w:rPr>
          <w:szCs w:val="24"/>
        </w:rPr>
        <w:t xml:space="preserve">Etiopien uppmanas att acceptera sitt lands gränser </w:t>
      </w:r>
      <w:r w:rsidR="00BD1244" w:rsidRPr="00840BC5">
        <w:rPr>
          <w:szCs w:val="24"/>
        </w:rPr>
        <w:t xml:space="preserve">så </w:t>
      </w:r>
      <w:r w:rsidRPr="00840BC5">
        <w:rPr>
          <w:szCs w:val="24"/>
        </w:rPr>
        <w:t xml:space="preserve">som de satts upp av FN:s Boundary Commission. Vidare uppmanas rådet och kommissionen att underlätta fredsprocessen i norra Uganda och Parlamentet uppmanar till lanserandet av en sann försoningsprocess med de ansvariga för krigsförbrytelser och uppmanar rådet och kommissionen att stödja lokala processer för att försoning ska äga rum i norra Uganda mellan norrbor </w:t>
      </w:r>
      <w:r w:rsidR="00E86C09" w:rsidRPr="00840BC5">
        <w:rPr>
          <w:szCs w:val="24"/>
        </w:rPr>
        <w:t xml:space="preserve">såväl </w:t>
      </w:r>
      <w:r w:rsidR="00BD1244" w:rsidRPr="00840BC5">
        <w:rPr>
          <w:szCs w:val="24"/>
        </w:rPr>
        <w:t>som med</w:t>
      </w:r>
      <w:r w:rsidRPr="00840BC5">
        <w:rPr>
          <w:szCs w:val="24"/>
        </w:rPr>
        <w:t xml:space="preserve"> resten av landet. </w:t>
      </w:r>
    </w:p>
    <w:p w:rsidR="002B55F8" w:rsidRPr="00840BC5" w:rsidRDefault="002B55F8" w:rsidP="006F08BA">
      <w:pPr>
        <w:rPr>
          <w:szCs w:val="24"/>
        </w:rPr>
      </w:pPr>
    </w:p>
    <w:p w:rsidR="009C10C7" w:rsidRPr="00840BC5" w:rsidRDefault="009D3F12" w:rsidP="009D3F12">
      <w:pPr>
        <w:numPr>
          <w:ilvl w:val="0"/>
          <w:numId w:val="1"/>
        </w:numPr>
        <w:rPr>
          <w:b/>
          <w:sz w:val="28"/>
          <w:szCs w:val="28"/>
        </w:rPr>
      </w:pPr>
      <w:r w:rsidRPr="00840BC5">
        <w:rPr>
          <w:b/>
          <w:sz w:val="28"/>
          <w:szCs w:val="28"/>
        </w:rPr>
        <w:t>Konkurrenskraftens externa effekter</w:t>
      </w:r>
    </w:p>
    <w:p w:rsidR="009D3F12" w:rsidRPr="00840BC5" w:rsidRDefault="009D3F12" w:rsidP="009D3F12">
      <w:pPr>
        <w:ind w:left="180"/>
        <w:rPr>
          <w:b/>
          <w:sz w:val="28"/>
          <w:szCs w:val="28"/>
        </w:rPr>
      </w:pPr>
    </w:p>
    <w:p w:rsidR="009D3F12" w:rsidRPr="00840BC5" w:rsidRDefault="009D3F12" w:rsidP="009D3F12">
      <w:r w:rsidRPr="00840BC5">
        <w:t>Europaparlamentet uppmanar kommissionen och medlemsstaterna att bättre informera Europas medborgare om alla aspekterna av globaliseringen och de konkreta fördelar som följer av EU:s deltagande i det internationella handelssystemet.</w:t>
      </w:r>
    </w:p>
    <w:p w:rsidR="009D3F12" w:rsidRPr="00840BC5" w:rsidRDefault="009D3F12" w:rsidP="009D3F12"/>
    <w:p w:rsidR="009D3F12" w:rsidRPr="00840BC5" w:rsidRDefault="00BD1244" w:rsidP="009D3F12">
      <w:r w:rsidRPr="00840BC5">
        <w:t>Parlamentet</w:t>
      </w:r>
      <w:r w:rsidR="009D3F12" w:rsidRPr="00840BC5">
        <w:t xml:space="preserve"> begär </w:t>
      </w:r>
      <w:r w:rsidRPr="00840BC5">
        <w:t xml:space="preserve">vidare </w:t>
      </w:r>
      <w:r w:rsidR="009D3F12" w:rsidRPr="00840BC5">
        <w:t>att EU:s externa politik skall garantera en rättvis ekonomisk utveckling i partnerländerna, bekämpa social dumpning och främja respekten för anständiga sociala och arbetsrelaterade villkor</w:t>
      </w:r>
      <w:r w:rsidRPr="00840BC5">
        <w:t>.</w:t>
      </w:r>
    </w:p>
    <w:p w:rsidR="009C10C7" w:rsidRPr="00840BC5" w:rsidRDefault="009C10C7" w:rsidP="009C10C7">
      <w:pPr>
        <w:ind w:left="360"/>
        <w:rPr>
          <w:b/>
          <w:sz w:val="28"/>
          <w:szCs w:val="28"/>
        </w:rPr>
      </w:pPr>
    </w:p>
    <w:p w:rsidR="009D3F12" w:rsidRPr="00840BC5" w:rsidRDefault="009D3F12" w:rsidP="009D3F12">
      <w:r w:rsidRPr="00840BC5">
        <w:t>Europaparlamentet uppmanar rådet att skilja på tillväxtekonomier och utvecklingsekonomier när man formulerar frihandelsavtal eller mandat för förhandlingar om associeringsavtal, och att se till att man är inriktad på utvecklingsbehoven när man förhandlar med utvecklingsländerna.</w:t>
      </w:r>
    </w:p>
    <w:p w:rsidR="009D3F12" w:rsidRPr="00840BC5" w:rsidRDefault="009D3F12" w:rsidP="009D3F12"/>
    <w:p w:rsidR="009D3F12" w:rsidRPr="00840BC5" w:rsidRDefault="00BD1244" w:rsidP="009D3F12">
      <w:pPr>
        <w:rPr>
          <w:rFonts w:ascii="Arial" w:hAnsi="Arial" w:cs="Arial"/>
          <w:color w:val="666666"/>
          <w:sz w:val="18"/>
          <w:szCs w:val="18"/>
        </w:rPr>
      </w:pPr>
      <w:r w:rsidRPr="00840BC5">
        <w:t>P</w:t>
      </w:r>
      <w:r w:rsidR="009D3F12" w:rsidRPr="00840BC5">
        <w:t xml:space="preserve">arlamentet kräver </w:t>
      </w:r>
      <w:r w:rsidRPr="00840BC5">
        <w:t xml:space="preserve">också </w:t>
      </w:r>
      <w:r w:rsidR="009D3F12" w:rsidRPr="00840BC5">
        <w:t>att alla nya frihandelsavtal som EU ingår måste innehålla en mekanism som tillåter unionen att helt eller delvis sluta att tillämpa avtalet om det framkommer bevis för att den andra parten inte uppfyller förpliktelserna enligt frihandelsavtalet. Kommissionen bör samtycka till att ta sådana mekanismer i anspråk närhelst man blir uppmanad därtill genom en resolution från parlamentet</w:t>
      </w:r>
      <w:r w:rsidR="009D3F12" w:rsidRPr="00840BC5">
        <w:rPr>
          <w:rFonts w:ascii="Arial" w:hAnsi="Arial" w:cs="Arial"/>
          <w:color w:val="666666"/>
          <w:sz w:val="18"/>
          <w:szCs w:val="18"/>
        </w:rPr>
        <w:t>.</w:t>
      </w:r>
    </w:p>
    <w:p w:rsidR="009D3F12" w:rsidRPr="00840BC5" w:rsidRDefault="009D3F12" w:rsidP="009D3F12">
      <w:pPr>
        <w:rPr>
          <w:rFonts w:ascii="Arial" w:hAnsi="Arial" w:cs="Arial"/>
          <w:color w:val="666666"/>
          <w:sz w:val="18"/>
          <w:szCs w:val="18"/>
        </w:rPr>
      </w:pPr>
    </w:p>
    <w:p w:rsidR="009D3F12" w:rsidRPr="00840BC5" w:rsidRDefault="009D3F12" w:rsidP="009D3F12">
      <w:r w:rsidRPr="00840BC5">
        <w:t>Europaparlamentet uppmanar kommissionen att klargöra hur man uppfattar de sociala normernas och miljönormernas roll inom den internationella handelspolitiken, fastställa principerna och innehållet i det planerade kapitlet om sociala frågor och miljö i nya frihandelsavtal och associeringsavtal, och utarbeta en övertygande strategi för att främja godkännandet av ett sådant kapitel bland EU:s handelspartner.</w:t>
      </w:r>
    </w:p>
    <w:p w:rsidR="009D3F12" w:rsidRPr="00840BC5" w:rsidRDefault="009D3F12" w:rsidP="009D3F12"/>
    <w:p w:rsidR="009D3F12" w:rsidRPr="00840BC5" w:rsidRDefault="00BD1244" w:rsidP="009D3F12">
      <w:pPr>
        <w:rPr>
          <w:szCs w:val="24"/>
        </w:rPr>
      </w:pPr>
      <w:r w:rsidRPr="00840BC5">
        <w:rPr>
          <w:szCs w:val="24"/>
        </w:rPr>
        <w:t>Pa</w:t>
      </w:r>
      <w:r w:rsidR="009D3F12" w:rsidRPr="00840BC5">
        <w:rPr>
          <w:szCs w:val="24"/>
        </w:rPr>
        <w:t xml:space="preserve">rlamentet uppmanar </w:t>
      </w:r>
      <w:r w:rsidRPr="00840BC5">
        <w:rPr>
          <w:szCs w:val="24"/>
        </w:rPr>
        <w:t xml:space="preserve">vidare rådet </w:t>
      </w:r>
      <w:r w:rsidR="009D3F12" w:rsidRPr="00840BC5">
        <w:rPr>
          <w:szCs w:val="24"/>
        </w:rPr>
        <w:t>att anta kommissionens förslag till rådets förordning om obligatoriskt angivande av ursprungsland för vissa produkter som importeras från tredjeländer (</w:t>
      </w:r>
      <w:hyperlink r:id="rId7" w:history="1">
        <w:r w:rsidR="009D3F12" w:rsidRPr="00840BC5">
          <w:rPr>
            <w:b/>
            <w:bCs/>
            <w:color w:val="FFAE63"/>
            <w:szCs w:val="24"/>
          </w:rPr>
          <w:t>KOM(2005)0661</w:t>
        </w:r>
      </w:hyperlink>
      <w:r w:rsidR="009D3F12" w:rsidRPr="00840BC5">
        <w:rPr>
          <w:szCs w:val="24"/>
        </w:rPr>
        <w:t>), vilket parlamentet krävde i sin resolution av den 6 juli 2006 om ursprungsmärkning.</w:t>
      </w:r>
    </w:p>
    <w:p w:rsidR="009D3F12" w:rsidRPr="00840BC5" w:rsidRDefault="009D3F12" w:rsidP="009D3F12">
      <w:pPr>
        <w:rPr>
          <w:szCs w:val="24"/>
        </w:rPr>
      </w:pPr>
    </w:p>
    <w:p w:rsidR="009C10C7" w:rsidRPr="00840BC5" w:rsidRDefault="009D3F12" w:rsidP="009D3F12">
      <w:r w:rsidRPr="00840BC5">
        <w:t xml:space="preserve">Europaparlamentet uppmanar </w:t>
      </w:r>
      <w:r w:rsidR="00BD1244" w:rsidRPr="00840BC5">
        <w:t xml:space="preserve">också </w:t>
      </w:r>
      <w:r w:rsidRPr="00840BC5">
        <w:t>kommissionen och medlemsstaterna att allvarligt överväga idén att inrätta en gemensam EU-tulltjänst för en effektivare tillämpning av tullbestämmelser och tullförfaranden inom EU:s tullområde.</w:t>
      </w:r>
    </w:p>
    <w:p w:rsidR="009D3F12" w:rsidRPr="00840BC5" w:rsidRDefault="009D3F12" w:rsidP="009D3F12"/>
    <w:p w:rsidR="00961CB6" w:rsidRPr="00840BC5" w:rsidRDefault="00BD1244" w:rsidP="00BD1244">
      <w:pPr>
        <w:pStyle w:val="RKnormal"/>
        <w:ind w:left="180"/>
        <w:rPr>
          <w:b/>
          <w:sz w:val="28"/>
          <w:szCs w:val="28"/>
        </w:rPr>
      </w:pPr>
      <w:r w:rsidRPr="00840BC5">
        <w:rPr>
          <w:b/>
          <w:sz w:val="28"/>
          <w:szCs w:val="28"/>
        </w:rPr>
        <w:t xml:space="preserve">5. </w:t>
      </w:r>
      <w:r w:rsidR="00961CB6" w:rsidRPr="00840BC5">
        <w:rPr>
          <w:b/>
          <w:sz w:val="28"/>
          <w:szCs w:val="28"/>
        </w:rPr>
        <w:t>EU:s handelsrelaterade bistånd</w:t>
      </w:r>
    </w:p>
    <w:p w:rsidR="00961CB6" w:rsidRPr="00840BC5" w:rsidRDefault="00961CB6" w:rsidP="00961CB6">
      <w:pPr>
        <w:pStyle w:val="RKnormal"/>
        <w:ind w:left="180"/>
        <w:rPr>
          <w:b/>
          <w:sz w:val="28"/>
          <w:szCs w:val="28"/>
        </w:rPr>
      </w:pPr>
    </w:p>
    <w:p w:rsidR="00961CB6" w:rsidRPr="00840BC5" w:rsidRDefault="00961CB6" w:rsidP="005D28B5">
      <w:pPr>
        <w:pStyle w:val="RKnormal"/>
      </w:pPr>
      <w:r w:rsidRPr="00840BC5">
        <w:t>Europaparlamentet uppmanar EU att uppfylla de åtaganden som unionen gjorde gentemot de minst utvecklade länderna inom ramen för Doharundan genom att förhandsdistribuera utvecklingspaketet och avskaffa jordbruksexportsubventionerna senast 2013. Parlamentet betonar att EU måste uppmana övriga WTO-medlemmar att också uppfylla sina åtaganden gentemot de minst utvecklade länderna.</w:t>
      </w:r>
    </w:p>
    <w:p w:rsidR="005D28B5" w:rsidRPr="00840BC5" w:rsidRDefault="005D28B5" w:rsidP="005D28B5">
      <w:pPr>
        <w:pStyle w:val="RKnormal"/>
      </w:pPr>
    </w:p>
    <w:p w:rsidR="005D28B5" w:rsidRPr="00840BC5" w:rsidRDefault="00961CB6" w:rsidP="005D28B5">
      <w:pPr>
        <w:pStyle w:val="RKnormal"/>
      </w:pPr>
      <w:r w:rsidRPr="00840BC5">
        <w:t>Europaparlamentet uppmanar</w:t>
      </w:r>
      <w:r w:rsidR="00CD7EE8" w:rsidRPr="00840BC5">
        <w:t xml:space="preserve"> vidare</w:t>
      </w:r>
      <w:r w:rsidRPr="00840BC5">
        <w:t xml:space="preserve"> kommissionen, medlemsstaterna och Europeiska investeringsbanken (EIB) att tillhandahålla en tydlig översikt över befintligt bistånd och planerade initiativ där handelsinfrastrukturen tydligt ingår. </w:t>
      </w:r>
    </w:p>
    <w:p w:rsidR="00CD7EE8" w:rsidRPr="00840BC5" w:rsidRDefault="00CD7EE8" w:rsidP="005D28B5">
      <w:pPr>
        <w:pStyle w:val="RKnormal"/>
      </w:pPr>
    </w:p>
    <w:p w:rsidR="00961CB6" w:rsidRPr="00840BC5" w:rsidRDefault="00CD7EE8" w:rsidP="005D28B5">
      <w:pPr>
        <w:pStyle w:val="RKnormal"/>
      </w:pPr>
      <w:r w:rsidRPr="00840BC5">
        <w:t>P</w:t>
      </w:r>
      <w:r w:rsidR="00961CB6" w:rsidRPr="00840BC5">
        <w:t xml:space="preserve">arlamentet uppmanar </w:t>
      </w:r>
      <w:r w:rsidRPr="00840BC5">
        <w:t xml:space="preserve">också </w:t>
      </w:r>
      <w:r w:rsidR="00961CB6" w:rsidRPr="00840BC5">
        <w:t>kommissionen att lägga fram specifika förslag om hur man skall följa rekommendationerna från WTO:s arbetsgrupp för handelsrelaterat bistånd för områden som kan falla utanför räckvidden för ett mer snävt definierat handelsrelaterat EU-bistånd, särskilt uppbyggande av produktiv kapacitet, handelsrelaterad infrastruktur och anpassningsutmaningar som följer av avregleringen av handeln.</w:t>
      </w:r>
    </w:p>
    <w:p w:rsidR="005D28B5" w:rsidRPr="00840BC5" w:rsidRDefault="005D28B5" w:rsidP="005D28B5">
      <w:pPr>
        <w:pStyle w:val="RKnormal"/>
      </w:pPr>
    </w:p>
    <w:p w:rsidR="005D28B5" w:rsidRPr="00840BC5" w:rsidRDefault="005D28B5" w:rsidP="005D28B5">
      <w:pPr>
        <w:pStyle w:val="RKnormal"/>
      </w:pPr>
      <w:r w:rsidRPr="00840BC5">
        <w:t xml:space="preserve">Europaparlamentet uppmanar </w:t>
      </w:r>
      <w:r w:rsidR="00CD7EE8" w:rsidRPr="00840BC5">
        <w:t xml:space="preserve">vidare </w:t>
      </w:r>
      <w:r w:rsidRPr="00840BC5">
        <w:t>EU och medlemsstaterna att till fullo och snarast genomföra sina respektive åtaganden avseende det handelsrelaterade biståndet i enlighet med de allmänna principer som fastställs i denna resolution.</w:t>
      </w:r>
    </w:p>
    <w:p w:rsidR="005D28B5" w:rsidRPr="00840BC5" w:rsidRDefault="005D28B5" w:rsidP="005D28B5">
      <w:pPr>
        <w:pStyle w:val="RKnormal"/>
      </w:pPr>
    </w:p>
    <w:p w:rsidR="005D28B5" w:rsidRPr="00840BC5" w:rsidRDefault="00CD7EE8" w:rsidP="005D28B5">
      <w:pPr>
        <w:pStyle w:val="RKnormal"/>
      </w:pPr>
      <w:r w:rsidRPr="00840BC5">
        <w:t>P</w:t>
      </w:r>
      <w:r w:rsidR="005D28B5" w:rsidRPr="00840BC5">
        <w:t>arlamentet uppmanar kommissionen att i ett specifikt arbetsprogram förklara hur den skall konkretisera sitt löfte att öka nuvarande och planerad gemenskapsfinansiering till stöd för det handelsrelaterade biståndet från det nuvarande genomsnittet på cirka 850 miljoner EUR per år till 1 miljard EUR per år. Parlamentet noterar i detta hänseende att ytterligare handelsrelaterat bistånd skall åstadkommas med hänvisning till en överenskommen utgångspunkt, till exempel genomsnittet 2002–2004.</w:t>
      </w:r>
    </w:p>
    <w:p w:rsidR="005D28B5" w:rsidRPr="00840BC5" w:rsidRDefault="005D28B5" w:rsidP="005D28B5">
      <w:pPr>
        <w:pStyle w:val="RKnormal"/>
      </w:pPr>
    </w:p>
    <w:p w:rsidR="005D28B5" w:rsidRPr="00840BC5" w:rsidRDefault="00D36A9C" w:rsidP="005D28B5">
      <w:pPr>
        <w:rPr>
          <w:b/>
          <w:sz w:val="28"/>
          <w:szCs w:val="28"/>
        </w:rPr>
      </w:pPr>
      <w:r w:rsidRPr="00840BC5">
        <w:rPr>
          <w:b/>
          <w:sz w:val="28"/>
          <w:szCs w:val="28"/>
        </w:rPr>
        <w:t xml:space="preserve">6. </w:t>
      </w:r>
      <w:r w:rsidR="005D28B5" w:rsidRPr="00840BC5">
        <w:rPr>
          <w:b/>
          <w:sz w:val="28"/>
          <w:szCs w:val="28"/>
        </w:rPr>
        <w:t>Avtal om ekonomiskt partnerskap</w:t>
      </w:r>
    </w:p>
    <w:p w:rsidR="005D28B5" w:rsidRPr="00840BC5" w:rsidRDefault="005D28B5" w:rsidP="005D28B5">
      <w:pPr>
        <w:rPr>
          <w:szCs w:val="24"/>
        </w:rPr>
      </w:pPr>
    </w:p>
    <w:p w:rsidR="005D28B5" w:rsidRPr="00840BC5" w:rsidRDefault="005D28B5" w:rsidP="00D36A9C">
      <w:r w:rsidRPr="00840BC5">
        <w:t>Europaparlamentet uppmanar kommissionen och medlemsstaterna att se till att utvecklingspolitiken bedrivs på ett konsekvent sätt. Parlamentet betonar att Europeiskt samförstånd om utveckling (förklaringen om utvecklingspolitik), särskilt punkt 36, ger vägledning åt förhandlarna i samband med avtalen om ekonomiskt partnerskap. Parlamentet uppmanar därför kommissionen att anamma principerna om asymmetri och flexibilitet.</w:t>
      </w:r>
    </w:p>
    <w:p w:rsidR="00CC7A36" w:rsidRPr="00840BC5" w:rsidRDefault="00CC7A36" w:rsidP="00D36A9C"/>
    <w:p w:rsidR="005D28B5" w:rsidRPr="00840BC5" w:rsidRDefault="00CD7EE8" w:rsidP="00D36A9C">
      <w:r w:rsidRPr="00840BC5">
        <w:t>Pa</w:t>
      </w:r>
      <w:r w:rsidR="005D28B5" w:rsidRPr="00840BC5">
        <w:t xml:space="preserve">rlamentet uppmanar </w:t>
      </w:r>
      <w:r w:rsidRPr="00840BC5">
        <w:t xml:space="preserve">vidare </w:t>
      </w:r>
      <w:r w:rsidR="005D28B5" w:rsidRPr="00840BC5">
        <w:t>förhandlarna att vid sådana komplexa och ytterst viktiga förhandlingar inte arbeta under stark press eller med brådska. Parlamentet uppmanar kommissionen att visa större flexibilitet när det gäller AVS-ländernas behov.</w:t>
      </w:r>
    </w:p>
    <w:p w:rsidR="00CC7A36" w:rsidRPr="00840BC5" w:rsidRDefault="00CC7A36" w:rsidP="00D36A9C"/>
    <w:p w:rsidR="005D28B5" w:rsidRPr="00840BC5" w:rsidRDefault="005D28B5" w:rsidP="00D36A9C">
      <w:r w:rsidRPr="00840BC5">
        <w:t xml:space="preserve">Europaparlamentet uppmanar </w:t>
      </w:r>
      <w:r w:rsidR="00CD7EE8" w:rsidRPr="00840BC5">
        <w:t xml:space="preserve">också </w:t>
      </w:r>
      <w:r w:rsidRPr="00840BC5">
        <w:t>kommissionen att inte utöva onödiga påtryckningar och – om förhandlingarna inte har slutförts till den 1 januari 2008 – på WTO-nivå försöka se till att undvika störningar av den befintliga AVS-exporten till EU, i väntan på en slutgiltig lösning.</w:t>
      </w:r>
    </w:p>
    <w:p w:rsidR="005D28B5" w:rsidRPr="00840BC5" w:rsidRDefault="005D28B5" w:rsidP="00D36A9C">
      <w:r w:rsidRPr="00840BC5">
        <w:t>Europaparlamentet uppmanar kommissionen att göra sitt yttersta för att förhandlingarna om utvecklingsagendan från Doha skall kunna slutföras och för att se till att avregleringsavtalen främjar utvecklingen i fattiga länder.</w:t>
      </w:r>
    </w:p>
    <w:p w:rsidR="00CC7A36" w:rsidRPr="00840BC5" w:rsidRDefault="00CC7A36" w:rsidP="00D36A9C">
      <w:pPr>
        <w:rPr>
          <w:rStyle w:val="italic1"/>
          <w:rFonts w:cs="Arial"/>
          <w:b/>
          <w:bCs/>
          <w:color w:val="666666"/>
          <w:szCs w:val="24"/>
        </w:rPr>
      </w:pPr>
    </w:p>
    <w:p w:rsidR="005D28B5" w:rsidRPr="00840BC5" w:rsidRDefault="005D28B5" w:rsidP="00CD7EE8">
      <w:pPr>
        <w:rPr>
          <w:rStyle w:val="italic1"/>
          <w:rFonts w:cs="Arial"/>
          <w:b/>
          <w:bCs/>
          <w:color w:val="666666"/>
          <w:szCs w:val="24"/>
        </w:rPr>
      </w:pPr>
      <w:r w:rsidRPr="00840BC5">
        <w:rPr>
          <w:b/>
        </w:rPr>
        <w:t>Europaparlamentet begär att man vid förhandlingarna om avtal om ekonomiskt partnerskap till fullo skall ta hänsyn till EU-medlemsstaternas utomeuropeiska regioner och territorier, särskilt till regionerna i de yttersta randområdena enligt artikel 299.2 i EG-fördraget</w:t>
      </w:r>
      <w:r w:rsidRPr="00840BC5">
        <w:rPr>
          <w:rStyle w:val="italic1"/>
          <w:rFonts w:cs="Arial"/>
          <w:b/>
          <w:bCs/>
          <w:color w:val="666666"/>
          <w:szCs w:val="24"/>
        </w:rPr>
        <w:t>.</w:t>
      </w:r>
    </w:p>
    <w:p w:rsidR="00CC7A36" w:rsidRPr="00840BC5" w:rsidRDefault="00CC7A36" w:rsidP="00D36A9C"/>
    <w:p w:rsidR="005D28B5" w:rsidRPr="00840BC5" w:rsidRDefault="00CD7EE8" w:rsidP="00D36A9C">
      <w:r w:rsidRPr="00840BC5">
        <w:t>P</w:t>
      </w:r>
      <w:r w:rsidR="005D28B5" w:rsidRPr="00840BC5">
        <w:t>arlamentet uppmanar rådet och kommissionen att klargöra i vilken utsträckning som finansieringen av "utvecklingsdimensionen" i avtalen om ekonomiskt partnerskap kommer att vara tillgänglig efter den tionde europeiska utvecklingsfonden (EUF).</w:t>
      </w:r>
    </w:p>
    <w:p w:rsidR="00CC7A36" w:rsidRPr="00840BC5" w:rsidRDefault="00CC7A36" w:rsidP="00D36A9C"/>
    <w:p w:rsidR="005D28B5" w:rsidRPr="00840BC5" w:rsidRDefault="005D28B5" w:rsidP="00D36A9C">
      <w:r w:rsidRPr="00840BC5">
        <w:t xml:space="preserve">Europaparlamentet uppmanar </w:t>
      </w:r>
      <w:r w:rsidR="00CD7EE8" w:rsidRPr="00840BC5">
        <w:t xml:space="preserve">vidare </w:t>
      </w:r>
      <w:r w:rsidRPr="00840BC5">
        <w:t>kommissionen att på begäran ge ytterligare tekniskt bistånd till AVS-länderna för handelsförhandlingarna.</w:t>
      </w:r>
    </w:p>
    <w:p w:rsidR="00CC7A36" w:rsidRPr="00840BC5" w:rsidRDefault="005D28B5" w:rsidP="00D36A9C">
      <w:r w:rsidRPr="00840BC5">
        <w:t> </w:t>
      </w:r>
    </w:p>
    <w:p w:rsidR="005D28B5" w:rsidRPr="00840BC5" w:rsidRDefault="00CD7EE8" w:rsidP="00D36A9C">
      <w:r w:rsidRPr="00840BC5">
        <w:t>P</w:t>
      </w:r>
      <w:r w:rsidR="005D28B5" w:rsidRPr="00840BC5">
        <w:t>arlamentet uppmanar kommissionen och AVS-länderna att se översynen av avtalen om ekonomiskt partnerskap som en möjlighet att öppet diskutera hindren för att slutföra förhandlingarna och lägga fram detaljerade förslag för att komma förbi dem.</w:t>
      </w:r>
    </w:p>
    <w:p w:rsidR="00CC7A36" w:rsidRPr="00840BC5" w:rsidRDefault="00CC7A36" w:rsidP="00D36A9C"/>
    <w:p w:rsidR="005D28B5" w:rsidRPr="00840BC5" w:rsidRDefault="005D28B5" w:rsidP="00D36A9C">
      <w:r w:rsidRPr="00840BC5">
        <w:t xml:space="preserve">Europaparlamentet uppmanar </w:t>
      </w:r>
      <w:r w:rsidR="00CD7EE8" w:rsidRPr="00840BC5">
        <w:t xml:space="preserve">vidare </w:t>
      </w:r>
      <w:r w:rsidRPr="00840BC5">
        <w:t>kommissionen att i enlighet med artikel 37.6 i Cotonouavtalet undersöka möjligheterna att erbjuda AVS-länder som inte är bland de minst utvecklade länderna och som inte är i en sådan ställning att de kan ingå avtal om ekonomiskt partnerskap, en alternativ ram för handel som motsvarar den rådande situationen och uppfyller WTO:s regler.</w:t>
      </w:r>
    </w:p>
    <w:p w:rsidR="00CC7A36" w:rsidRPr="00840BC5" w:rsidRDefault="00CC7A36" w:rsidP="00D36A9C"/>
    <w:p w:rsidR="005D28B5" w:rsidRPr="00840BC5" w:rsidRDefault="00CD7EE8" w:rsidP="00D36A9C">
      <w:r w:rsidRPr="00840BC5">
        <w:t>P</w:t>
      </w:r>
      <w:r w:rsidR="005D28B5" w:rsidRPr="00840BC5">
        <w:t xml:space="preserve">arlamentet uppmanar </w:t>
      </w:r>
      <w:r w:rsidRPr="00840BC5">
        <w:t xml:space="preserve">också </w:t>
      </w:r>
      <w:r w:rsidR="005D28B5" w:rsidRPr="00840BC5">
        <w:t>kommissionen att verka för sociala normer och anständigt arbete i förhandlingarna om avtalen om ekonomiskt partnerskap.</w:t>
      </w:r>
    </w:p>
    <w:p w:rsidR="00CC7A36" w:rsidRPr="00840BC5" w:rsidRDefault="00CC7A36" w:rsidP="00D36A9C"/>
    <w:p w:rsidR="005D28B5" w:rsidRPr="00840BC5" w:rsidRDefault="005D28B5" w:rsidP="00D36A9C">
      <w:r w:rsidRPr="00840BC5">
        <w:t>Europaparlamentet uppmanar kommissionen att klargöra följderna för det handelsrelaterade biståndet och biståndet som hör samman med avtalen om ekonomiskt partnerskap för de länder som väljer att inte ingå avtal om ekonomiskt partnerskap.</w:t>
      </w:r>
    </w:p>
    <w:p w:rsidR="00CD7EE8" w:rsidRPr="00840BC5" w:rsidRDefault="00CD7EE8" w:rsidP="00D36A9C"/>
    <w:p w:rsidR="005D28B5" w:rsidRPr="00840BC5" w:rsidRDefault="00CD7EE8" w:rsidP="00D36A9C">
      <w:r w:rsidRPr="00840BC5">
        <w:t>P</w:t>
      </w:r>
      <w:r w:rsidR="005D28B5" w:rsidRPr="00840BC5">
        <w:t xml:space="preserve">arlamentet uppmanar </w:t>
      </w:r>
      <w:r w:rsidRPr="00840BC5">
        <w:t xml:space="preserve">vidare </w:t>
      </w:r>
      <w:r w:rsidR="005D28B5" w:rsidRPr="00840BC5">
        <w:t>kommissionen och rådet att förenkla EUF-kraven och minska den byråkratiska börda som de innebär samt förbättra utbildningen i AVS-länderna om EUF-förfarandena, för att maximera utnyttjandet av de befintliga resurserna.</w:t>
      </w:r>
    </w:p>
    <w:p w:rsidR="00CC7A36" w:rsidRPr="00840BC5" w:rsidRDefault="00CC7A36" w:rsidP="00D36A9C"/>
    <w:p w:rsidR="005D28B5" w:rsidRPr="00840BC5" w:rsidRDefault="005D28B5" w:rsidP="00D36A9C">
      <w:r w:rsidRPr="00840BC5">
        <w:t>Europaparlamentet uppmanar EU att i avtalen om ekonomiskt partnerskap inte ta med bestämmelser rörande immateriell äganderätt som utgör ytterligare ett hinder för tillgången till nödvändiga läkemedel och att utnyttja avtalen om ekonomiskt partnerskap för att hjälpa AVS-länderna att genomföra den flexibilitet som Dohaförklaringen ger utrymme för. Parlamentet påminner om att enligt Dohaförklaringen från 2001 om TRIPS-avtalet och folkhälsa har EU förbundit sig att prioritera folkhälsa framför sina egna handelsintressen.</w:t>
      </w:r>
    </w:p>
    <w:p w:rsidR="00CC7A36" w:rsidRPr="00840BC5" w:rsidRDefault="00CC7A36" w:rsidP="00D36A9C"/>
    <w:p w:rsidR="00CC7A36" w:rsidRPr="00840BC5" w:rsidRDefault="00CD7EE8" w:rsidP="00D36A9C">
      <w:r w:rsidRPr="00840BC5">
        <w:t>P</w:t>
      </w:r>
      <w:r w:rsidR="005D28B5" w:rsidRPr="00840BC5">
        <w:t>arlamentet uppmanar kommissionen att ta initiativ till och mobilisera internationellt bistånd för att revidera eller klargöra artikel XXIV i GATT-avtalet i fråga om frihandelsavtal mellan parter med olika utvecklingsnivå.</w:t>
      </w:r>
    </w:p>
    <w:p w:rsidR="00CC7A36" w:rsidRPr="00840BC5" w:rsidRDefault="00CC7A36" w:rsidP="00D36A9C"/>
    <w:p w:rsidR="005D28B5" w:rsidRPr="00840BC5" w:rsidRDefault="005D28B5" w:rsidP="00D36A9C">
      <w:r w:rsidRPr="00840BC5">
        <w:t xml:space="preserve">Europaparlamentet uppmanar </w:t>
      </w:r>
      <w:r w:rsidR="00CD7EE8" w:rsidRPr="00840BC5">
        <w:t xml:space="preserve">också </w:t>
      </w:r>
      <w:r w:rsidRPr="00840BC5">
        <w:t>kommissionen att under förhandlingarna och efter deras slutförande genomföra en systematisk analys av den sociala effekten av avtalen om ekonomiskt partnerskap för de mest utsatta grupperna, inbegripet ungdomar och kvinnor i AVS-länderna.</w:t>
      </w:r>
    </w:p>
    <w:p w:rsidR="00CC7A36" w:rsidRPr="00840BC5" w:rsidRDefault="00CC7A36" w:rsidP="00D36A9C"/>
    <w:p w:rsidR="005D28B5" w:rsidRPr="00840BC5" w:rsidRDefault="00205391" w:rsidP="00D36A9C">
      <w:r w:rsidRPr="00840BC5">
        <w:t>P</w:t>
      </w:r>
      <w:r w:rsidR="005D28B5" w:rsidRPr="00840BC5">
        <w:t>arlamentet uppmanar kommissionen att regelbundet samråda med de nationella parlamenten i AVS-länderna för att underlätta deras granskning av processen. Parlamentet rekommenderar vidare att en regelbunden uppföljning görs av den gemensamma parlamentariska församlingens berörda utskott samt av ledamöter från EU och AVS-länderna i samband med plenarsammanträdena.</w:t>
      </w:r>
    </w:p>
    <w:p w:rsidR="00D36A9C" w:rsidRPr="00840BC5" w:rsidRDefault="00D36A9C" w:rsidP="00D36A9C"/>
    <w:p w:rsidR="005D28B5" w:rsidRPr="00840BC5" w:rsidRDefault="00D36A9C" w:rsidP="00D36A9C">
      <w:pPr>
        <w:numPr>
          <w:ilvl w:val="0"/>
          <w:numId w:val="6"/>
        </w:numPr>
        <w:rPr>
          <w:b/>
          <w:sz w:val="28"/>
          <w:szCs w:val="28"/>
        </w:rPr>
      </w:pPr>
      <w:r w:rsidRPr="00840BC5">
        <w:rPr>
          <w:b/>
          <w:sz w:val="28"/>
          <w:szCs w:val="28"/>
        </w:rPr>
        <w:t>Rådets årliga rapport till Europaparlamentet om de viktigaste aspekterna och de grundläggande vägvalen när det gäller GUSP</w:t>
      </w:r>
    </w:p>
    <w:p w:rsidR="00CC7A36" w:rsidRPr="00840BC5" w:rsidRDefault="00CC7A36" w:rsidP="004974DE">
      <w:pPr>
        <w:rPr>
          <w:szCs w:val="24"/>
        </w:rPr>
      </w:pPr>
    </w:p>
    <w:p w:rsidR="00D36A9C" w:rsidRPr="00840BC5" w:rsidRDefault="00D36A9C" w:rsidP="004974DE">
      <w:pPr>
        <w:rPr>
          <w:szCs w:val="24"/>
        </w:rPr>
      </w:pPr>
      <w:r w:rsidRPr="00840BC5">
        <w:rPr>
          <w:szCs w:val="24"/>
        </w:rPr>
        <w:t>Europaparlamentet uppmanar än en gång stats- och regeringscheferna att avsluta den konstitutionella processen före 2008 års utgång. Detta är inte bara en förutsättning för att ytterligare utvidgningar skall kunna genomföras, utan det är också nödvändigt för att unionen skall kunna arbeta på ett effektivare och mer demokratiskt sätt samt under större insyn i fråga om både yttre åtgärder och GUSP/ESFP.</w:t>
      </w:r>
    </w:p>
    <w:p w:rsidR="00CC7A36" w:rsidRPr="00840BC5" w:rsidRDefault="00CC7A36" w:rsidP="004974DE">
      <w:pPr>
        <w:rPr>
          <w:rStyle w:val="italic1"/>
          <w:rFonts w:cs="Arial"/>
          <w:b/>
          <w:bCs/>
          <w:color w:val="666666"/>
          <w:szCs w:val="24"/>
        </w:rPr>
      </w:pPr>
    </w:p>
    <w:p w:rsidR="00D36A9C" w:rsidRPr="00840BC5" w:rsidRDefault="00D36A9C" w:rsidP="004974DE">
      <w:pPr>
        <w:rPr>
          <w:szCs w:val="24"/>
        </w:rPr>
      </w:pPr>
      <w:r w:rsidRPr="00840BC5">
        <w:rPr>
          <w:szCs w:val="24"/>
        </w:rPr>
        <w:t>Kommissionen uppmanas med kraft att, i enlighet med vad Europaparlamentet begärt i flera resolutioner, upprätta den europeiska civila fredskåren.</w:t>
      </w:r>
    </w:p>
    <w:p w:rsidR="00CC7A36" w:rsidRPr="00840BC5" w:rsidRDefault="00CC7A36" w:rsidP="004974DE">
      <w:pPr>
        <w:rPr>
          <w:szCs w:val="24"/>
        </w:rPr>
      </w:pPr>
    </w:p>
    <w:p w:rsidR="00D36A9C" w:rsidRPr="00840BC5" w:rsidRDefault="00D36A9C" w:rsidP="004974DE">
      <w:pPr>
        <w:rPr>
          <w:szCs w:val="24"/>
        </w:rPr>
      </w:pPr>
      <w:r w:rsidRPr="00840BC5">
        <w:rPr>
          <w:szCs w:val="24"/>
        </w:rPr>
        <w:t xml:space="preserve">Europaparlamentet uppmanar </w:t>
      </w:r>
      <w:r w:rsidR="00205391" w:rsidRPr="00840BC5">
        <w:rPr>
          <w:szCs w:val="24"/>
        </w:rPr>
        <w:t xml:space="preserve">vidare </w:t>
      </w:r>
      <w:r w:rsidRPr="00840BC5">
        <w:rPr>
          <w:szCs w:val="24"/>
        </w:rPr>
        <w:t>de EU-medlemsstater som ingår i FN:s säkerhetsråd att – efter att ha informerat övriga EU-medlemsstater – att uppmärksamma parlamentets förslag och anstränga sig för att inom säkerhetsrådet göra en samordnad insats som återspeglar majoritetsopinionen i Europa.</w:t>
      </w:r>
    </w:p>
    <w:p w:rsidR="00CC7A36" w:rsidRPr="00840BC5" w:rsidRDefault="00CC7A36" w:rsidP="004974DE">
      <w:pPr>
        <w:rPr>
          <w:szCs w:val="24"/>
        </w:rPr>
      </w:pPr>
    </w:p>
    <w:p w:rsidR="00D36A9C" w:rsidRPr="00840BC5" w:rsidRDefault="00205391" w:rsidP="004974DE">
      <w:pPr>
        <w:rPr>
          <w:szCs w:val="24"/>
        </w:rPr>
      </w:pPr>
      <w:r w:rsidRPr="00840BC5">
        <w:rPr>
          <w:szCs w:val="24"/>
        </w:rPr>
        <w:t>P</w:t>
      </w:r>
      <w:r w:rsidR="00D36A9C" w:rsidRPr="00840BC5">
        <w:rPr>
          <w:szCs w:val="24"/>
        </w:rPr>
        <w:t xml:space="preserve">arlamentet uppmanar </w:t>
      </w:r>
      <w:r w:rsidRPr="00840BC5">
        <w:rPr>
          <w:szCs w:val="24"/>
        </w:rPr>
        <w:t>också</w:t>
      </w:r>
      <w:r w:rsidR="00D36A9C" w:rsidRPr="00840BC5">
        <w:rPr>
          <w:szCs w:val="24"/>
        </w:rPr>
        <w:t xml:space="preserve"> de medlemsstater som ingår i FN:s säkerhetsråd att förbättra samordningen på detta område för att EU:s insatser på det internationella planet skall bli effektivare samt att inom en snar framtid fatta beslut om en gemensam plats för EU i säkerhetsrådet.</w:t>
      </w:r>
    </w:p>
    <w:p w:rsidR="00CC7A36" w:rsidRPr="00840BC5" w:rsidRDefault="00CC7A36" w:rsidP="004974DE">
      <w:pPr>
        <w:rPr>
          <w:szCs w:val="24"/>
        </w:rPr>
      </w:pPr>
    </w:p>
    <w:p w:rsidR="00D36A9C" w:rsidRPr="00840BC5" w:rsidRDefault="00D36A9C" w:rsidP="004974DE">
      <w:pPr>
        <w:rPr>
          <w:szCs w:val="24"/>
        </w:rPr>
      </w:pPr>
      <w:r w:rsidRPr="00840BC5">
        <w:rPr>
          <w:szCs w:val="24"/>
        </w:rPr>
        <w:t>Europaparlamentet uppmanar kommissionen att inom dessa prioriterade områden framför allt inrikta sig på de politiska, handelsmässiga, ekonomiska och finansiella instrument och strategier som inryms under den första pelaren enligt de befintliga fördragen, för att bättre kunna uppnå unionens mål i de internationella frågorna. EU:s yttre åtgärder skulle också kunna förbättras genom fler kvinnor i ledande positioner, inbegripet inom GUSP.</w:t>
      </w:r>
    </w:p>
    <w:p w:rsidR="00CC7A36" w:rsidRPr="00840BC5" w:rsidRDefault="00CC7A36" w:rsidP="004974DE">
      <w:pPr>
        <w:rPr>
          <w:szCs w:val="24"/>
        </w:rPr>
      </w:pPr>
    </w:p>
    <w:p w:rsidR="00D36A9C" w:rsidRPr="00840BC5" w:rsidRDefault="00D36A9C" w:rsidP="004974DE">
      <w:pPr>
        <w:rPr>
          <w:szCs w:val="24"/>
        </w:rPr>
      </w:pPr>
      <w:r w:rsidRPr="00840BC5">
        <w:rPr>
          <w:szCs w:val="24"/>
        </w:rPr>
        <w:t xml:space="preserve">Europaparlamentet uppmanar </w:t>
      </w:r>
      <w:r w:rsidR="00205391" w:rsidRPr="00840BC5">
        <w:rPr>
          <w:szCs w:val="24"/>
        </w:rPr>
        <w:t xml:space="preserve">vidare </w:t>
      </w:r>
      <w:r w:rsidRPr="00840BC5">
        <w:rPr>
          <w:szCs w:val="24"/>
        </w:rPr>
        <w:t>rådet och kommissionen att ta sitt ansvar och utan dröjsmål genomföra de rekommendationer som framförs i parlamentets resolution av den 14 februari 2007 om CIA:s påstådda användning av europeiska länder för transport och illegal internering av fångar.</w:t>
      </w:r>
    </w:p>
    <w:p w:rsidR="00CC7A36" w:rsidRPr="00840BC5" w:rsidRDefault="00CC7A36" w:rsidP="004974DE">
      <w:pPr>
        <w:rPr>
          <w:szCs w:val="24"/>
        </w:rPr>
      </w:pPr>
    </w:p>
    <w:p w:rsidR="00D36A9C" w:rsidRPr="00840BC5" w:rsidRDefault="00205391" w:rsidP="004974DE">
      <w:pPr>
        <w:rPr>
          <w:szCs w:val="24"/>
        </w:rPr>
      </w:pPr>
      <w:r w:rsidRPr="00840BC5">
        <w:rPr>
          <w:szCs w:val="24"/>
        </w:rPr>
        <w:t>P</w:t>
      </w:r>
      <w:r w:rsidR="00D36A9C" w:rsidRPr="00840BC5">
        <w:rPr>
          <w:szCs w:val="24"/>
        </w:rPr>
        <w:t>arlamentet upprepar emellertid sin besvikelse över att rådet har begränsat sig till att endast informera parlamentet och redogöra för de GUSP-åtgärder som vidtagits under det föregående året, vilket även rådet själv angivit i förordet, istället för att i början av varje år genomföra ett konkret samråd med parlamentet rörande de viktigaste aspekterna och de grundläggande valmöjligheterna inför det kommande året, inbegripet budgeteffekterna i enlighet med artikel 28 i EU-fördraget, och därefter rapportera till parlamentet om – och i det fallet hur – parlamentets bidrag har beaktats. Parlamentet betonar att detta förfarande de facto utgör en överträdelse av artikel 21.</w:t>
      </w:r>
    </w:p>
    <w:p w:rsidR="00CC7A36" w:rsidRPr="00840BC5" w:rsidRDefault="00CC7A36" w:rsidP="004974DE">
      <w:pPr>
        <w:rPr>
          <w:szCs w:val="24"/>
        </w:rPr>
      </w:pPr>
    </w:p>
    <w:p w:rsidR="00D36A9C" w:rsidRPr="00840BC5" w:rsidRDefault="00D36A9C" w:rsidP="004974DE">
      <w:pPr>
        <w:rPr>
          <w:szCs w:val="24"/>
        </w:rPr>
      </w:pPr>
      <w:r w:rsidRPr="00840BC5">
        <w:rPr>
          <w:szCs w:val="24"/>
        </w:rPr>
        <w:t>Europaparlamentet uppmanar rådet att åtgärda detta genom att ge punkterna 42 och 43 i det nya interinstitutionella avtalet om budgetdisciplin och sund ekonomisk förvaltning av den 17 maj 2006, som träder i kraft den 1 januari 2007, en bredare och mer flexibel tolkning så att man ser till att parlamentets rätt att årligen höras i förväg om förestående aspekter och valmöjligheter när det gäller GUSP iakttas. Parlamentet betonar att inget i de befintliga fördragen pekar på att begreppet "samråd" skulle betyda något annat i ovan nämnda artikel 21 än vad det normalt sett betyder i EU:s lagstiftning.</w:t>
      </w:r>
    </w:p>
    <w:p w:rsidR="00205391" w:rsidRPr="00840BC5" w:rsidRDefault="00205391" w:rsidP="004974DE">
      <w:pPr>
        <w:rPr>
          <w:szCs w:val="24"/>
        </w:rPr>
      </w:pPr>
    </w:p>
    <w:p w:rsidR="004974DE" w:rsidRPr="00840BC5" w:rsidRDefault="00205391" w:rsidP="004974DE">
      <w:pPr>
        <w:rPr>
          <w:szCs w:val="24"/>
        </w:rPr>
      </w:pPr>
      <w:r w:rsidRPr="00840BC5">
        <w:rPr>
          <w:szCs w:val="24"/>
        </w:rPr>
        <w:t>P</w:t>
      </w:r>
      <w:r w:rsidR="00D36A9C" w:rsidRPr="00840BC5">
        <w:rPr>
          <w:szCs w:val="24"/>
        </w:rPr>
        <w:t xml:space="preserve">arlamentet uppmanar rådet att informera parlamentet om de nya bestämmelserna för "Athena-mekanismen" vilka antogs i december 2006. </w:t>
      </w:r>
    </w:p>
    <w:p w:rsidR="00205391" w:rsidRPr="00840BC5" w:rsidRDefault="00205391" w:rsidP="004974DE">
      <w:pPr>
        <w:rPr>
          <w:szCs w:val="24"/>
        </w:rPr>
      </w:pPr>
    </w:p>
    <w:p w:rsidR="004974DE" w:rsidRPr="00840BC5" w:rsidRDefault="004974DE" w:rsidP="004974DE">
      <w:pPr>
        <w:numPr>
          <w:ilvl w:val="0"/>
          <w:numId w:val="6"/>
        </w:numPr>
        <w:rPr>
          <w:b/>
          <w:sz w:val="28"/>
          <w:szCs w:val="28"/>
        </w:rPr>
      </w:pPr>
      <w:r w:rsidRPr="00840BC5">
        <w:rPr>
          <w:b/>
          <w:sz w:val="28"/>
          <w:szCs w:val="28"/>
        </w:rPr>
        <w:t>Anständigt arbete för alla</w:t>
      </w:r>
    </w:p>
    <w:p w:rsidR="004974DE" w:rsidRPr="00840BC5" w:rsidRDefault="004974DE" w:rsidP="00ED2384">
      <w:pPr>
        <w:rPr>
          <w:szCs w:val="24"/>
        </w:rPr>
      </w:pPr>
    </w:p>
    <w:p w:rsidR="004974DE" w:rsidRPr="00840BC5" w:rsidRDefault="004974DE" w:rsidP="00ED2384">
      <w:pPr>
        <w:rPr>
          <w:szCs w:val="24"/>
        </w:rPr>
      </w:pPr>
      <w:r w:rsidRPr="00840BC5">
        <w:rPr>
          <w:szCs w:val="24"/>
        </w:rPr>
        <w:t>Europaparlamentet uppmanar kommissionen att i praktisk handling omsätta sina förslag till strategi och riktlinjer för en bättre mobilisering av EU:s interna och externa politik till förmån för agendan för anständigt arbete, framför allt i frågor som rör utveckling, externt bistånd, utvidgning, grannskapspolitik, handel, migration samt bilaterala och multilaterala yttre förbindelser.</w:t>
      </w:r>
    </w:p>
    <w:p w:rsidR="004974DE" w:rsidRPr="00840BC5" w:rsidRDefault="004974DE" w:rsidP="00ED2384">
      <w:pPr>
        <w:rPr>
          <w:szCs w:val="24"/>
        </w:rPr>
      </w:pPr>
    </w:p>
    <w:p w:rsidR="00173D00" w:rsidRPr="00840BC5" w:rsidRDefault="00205391" w:rsidP="00ED2384">
      <w:pPr>
        <w:rPr>
          <w:szCs w:val="24"/>
        </w:rPr>
      </w:pPr>
      <w:r w:rsidRPr="00840BC5">
        <w:rPr>
          <w:szCs w:val="24"/>
        </w:rPr>
        <w:t>P</w:t>
      </w:r>
      <w:r w:rsidR="004974DE" w:rsidRPr="00840BC5">
        <w:rPr>
          <w:szCs w:val="24"/>
        </w:rPr>
        <w:t xml:space="preserve">arlamentet uppmanar </w:t>
      </w:r>
      <w:r w:rsidRPr="00840BC5">
        <w:rPr>
          <w:szCs w:val="24"/>
        </w:rPr>
        <w:t xml:space="preserve">vidare </w:t>
      </w:r>
      <w:r w:rsidR="004974DE" w:rsidRPr="00840BC5">
        <w:rPr>
          <w:szCs w:val="24"/>
        </w:rPr>
        <w:t xml:space="preserve">kommissionen att vara mer strikt i tillämpningen av GSP+ genom att utfärda rekommendationer till förmånsländernas regeringar att använda tillsynsförfarandena i rådets förordning (EG) nr 980/2005 av den 27 juni 2005 om tillämpning av Allmänna preferenssystemet samt vid behov tillfälligt upphäva förmånsbehandlingen av länder som inte uppfyller sina åtaganden och som allvarligt och systematiskt kränker de grundläggande sociala rättigheterna och samtidigt se till att upphävandet av förmånsbehandlingen inte uppmuntrar till protektionism. </w:t>
      </w:r>
    </w:p>
    <w:p w:rsidR="00173D00" w:rsidRPr="00840BC5" w:rsidRDefault="00173D00" w:rsidP="00ED2384">
      <w:pPr>
        <w:rPr>
          <w:szCs w:val="24"/>
        </w:rPr>
      </w:pPr>
    </w:p>
    <w:p w:rsidR="004974DE" w:rsidRPr="00840BC5" w:rsidRDefault="004974DE" w:rsidP="00ED2384">
      <w:pPr>
        <w:rPr>
          <w:szCs w:val="24"/>
        </w:rPr>
      </w:pPr>
      <w:r w:rsidRPr="00840BC5">
        <w:rPr>
          <w:szCs w:val="24"/>
        </w:rPr>
        <w:t>Parlamentet efterlyser också övervakning och en utsträckning av dessa mekanismer till att omfatta övriga GSP+-förmånsländer, i synnerhet när det gäller barnarbete och tvångsarbete som det är en viktig utmaning för ILO att avskaffa, vilket framgår av dess rapport med titeln "The end of child labour: Within reach".</w:t>
      </w:r>
    </w:p>
    <w:p w:rsidR="004974DE" w:rsidRPr="00840BC5" w:rsidRDefault="004974DE" w:rsidP="00ED2384">
      <w:pPr>
        <w:rPr>
          <w:szCs w:val="24"/>
        </w:rPr>
      </w:pPr>
    </w:p>
    <w:p w:rsidR="004974DE" w:rsidRPr="00840BC5" w:rsidRDefault="00205391" w:rsidP="00ED2384">
      <w:pPr>
        <w:rPr>
          <w:szCs w:val="24"/>
        </w:rPr>
      </w:pPr>
      <w:r w:rsidRPr="00840BC5">
        <w:rPr>
          <w:szCs w:val="24"/>
        </w:rPr>
        <w:t>P</w:t>
      </w:r>
      <w:r w:rsidR="004974DE" w:rsidRPr="00840BC5">
        <w:rPr>
          <w:szCs w:val="24"/>
        </w:rPr>
        <w:t xml:space="preserve">arlamentet uppmanar </w:t>
      </w:r>
      <w:r w:rsidRPr="00840BC5">
        <w:rPr>
          <w:szCs w:val="24"/>
        </w:rPr>
        <w:t xml:space="preserve">vidare </w:t>
      </w:r>
      <w:r w:rsidR="004974DE" w:rsidRPr="00840BC5">
        <w:rPr>
          <w:szCs w:val="24"/>
        </w:rPr>
        <w:t>medlemsstaterna att, i enlighet med kommissionens åtagande i sitt meddelande om anständigt arbete, beakta den sociala dimensionen av anständigt arbete i kommissionens olika initiativ när den ingår handelsavtal med tredjeländer.</w:t>
      </w:r>
    </w:p>
    <w:p w:rsidR="00ED2384" w:rsidRPr="00840BC5" w:rsidRDefault="00ED2384" w:rsidP="00ED2384">
      <w:pPr>
        <w:rPr>
          <w:szCs w:val="24"/>
        </w:rPr>
      </w:pPr>
    </w:p>
    <w:p w:rsidR="00ED2384" w:rsidRPr="00840BC5" w:rsidRDefault="00ED2384" w:rsidP="00ED2384">
      <w:pPr>
        <w:rPr>
          <w:szCs w:val="24"/>
        </w:rPr>
      </w:pPr>
      <w:r w:rsidRPr="00840BC5">
        <w:rPr>
          <w:szCs w:val="24"/>
        </w:rPr>
        <w:t xml:space="preserve">Europaparlamentet uppmanar </w:t>
      </w:r>
      <w:r w:rsidR="00205391" w:rsidRPr="00840BC5">
        <w:rPr>
          <w:szCs w:val="24"/>
        </w:rPr>
        <w:t xml:space="preserve">också </w:t>
      </w:r>
      <w:r w:rsidRPr="00840BC5">
        <w:rPr>
          <w:szCs w:val="24"/>
        </w:rPr>
        <w:t>kommissionen att verka för att grundläggande arbetsnormer och målet om anständigt arbete respekteras i WTO-medlemmarnas handelspolitik som ett effektivt regelverk tillsammans med en sanktionsmekanism för partner som inte anpassar sig till dessa normer, och samtidigt så effektivt som möjligt aktivera förfarandet med GSP+. Parlamentet uppmuntrar Europeiska unionen att överväga om det kunde inrättas mekanismer med uppgift att övervaka utvecklingen av handel och anständigt arbete sida vid sida, både på europeisk och på internationell nivå.</w:t>
      </w:r>
    </w:p>
    <w:p w:rsidR="00ED2384" w:rsidRPr="00840BC5" w:rsidRDefault="00ED2384" w:rsidP="00ED2384">
      <w:pPr>
        <w:rPr>
          <w:szCs w:val="24"/>
        </w:rPr>
      </w:pPr>
    </w:p>
    <w:p w:rsidR="00ED2384" w:rsidRPr="00840BC5" w:rsidRDefault="00205391" w:rsidP="00ED2384">
      <w:pPr>
        <w:rPr>
          <w:szCs w:val="24"/>
        </w:rPr>
      </w:pPr>
      <w:r w:rsidRPr="00840BC5">
        <w:rPr>
          <w:szCs w:val="24"/>
        </w:rPr>
        <w:t>P</w:t>
      </w:r>
      <w:r w:rsidR="00ED2384" w:rsidRPr="00840BC5">
        <w:rPr>
          <w:szCs w:val="24"/>
        </w:rPr>
        <w:t>arlamentet uppmanar kommissionen att inte bara stödja utan även, där detta är möjligt, delta i den dialog som inletts mellan de internationella finansinstituten (IFI), ILO, FN och WTO och som avser komplementariteten och konsekvensen i deras politik för ekonomisk tillväxt, investeringar, handel och anständigt arbete.</w:t>
      </w:r>
    </w:p>
    <w:p w:rsidR="00CC7A36" w:rsidRPr="00840BC5" w:rsidRDefault="00CC7A36" w:rsidP="00ED2384">
      <w:pPr>
        <w:rPr>
          <w:szCs w:val="24"/>
        </w:rPr>
      </w:pPr>
    </w:p>
    <w:p w:rsidR="00ED2384" w:rsidRPr="00840BC5" w:rsidRDefault="00ED2384" w:rsidP="00ED2384">
      <w:pPr>
        <w:rPr>
          <w:szCs w:val="24"/>
        </w:rPr>
      </w:pPr>
      <w:r w:rsidRPr="00840BC5">
        <w:rPr>
          <w:szCs w:val="24"/>
        </w:rPr>
        <w:t>Europaparlamentet uppmanar kommissionen att föreslå att en kommitté för handel och anständigt arbete bildas inom WTO enligt samma modell som kommittén för handel och miljö.</w:t>
      </w:r>
    </w:p>
    <w:p w:rsidR="00CC7A36" w:rsidRPr="00840BC5" w:rsidRDefault="00CC7A36" w:rsidP="00ED2384">
      <w:pPr>
        <w:rPr>
          <w:szCs w:val="24"/>
        </w:rPr>
      </w:pPr>
    </w:p>
    <w:p w:rsidR="00ED2384" w:rsidRPr="00840BC5" w:rsidRDefault="00205391" w:rsidP="00ED2384">
      <w:pPr>
        <w:rPr>
          <w:szCs w:val="24"/>
        </w:rPr>
      </w:pPr>
      <w:r w:rsidRPr="00840BC5">
        <w:rPr>
          <w:szCs w:val="24"/>
        </w:rPr>
        <w:t>P</w:t>
      </w:r>
      <w:r w:rsidR="00ED2384" w:rsidRPr="00840BC5">
        <w:rPr>
          <w:szCs w:val="24"/>
        </w:rPr>
        <w:t xml:space="preserve">arlamentet uppmanar </w:t>
      </w:r>
      <w:r w:rsidRPr="00840BC5">
        <w:rPr>
          <w:szCs w:val="24"/>
        </w:rPr>
        <w:t xml:space="preserve">vidare </w:t>
      </w:r>
      <w:r w:rsidR="00ED2384" w:rsidRPr="00840BC5">
        <w:rPr>
          <w:szCs w:val="24"/>
        </w:rPr>
        <w:t>EU att göra efterlevnad av internationella arbetslivsnormer till en faktor i förhandlingarna om anslutning av nya medlemsstater till WTO.</w:t>
      </w:r>
    </w:p>
    <w:p w:rsidR="00CC7A36" w:rsidRPr="00840BC5" w:rsidRDefault="00CC7A36" w:rsidP="00ED2384">
      <w:pPr>
        <w:rPr>
          <w:szCs w:val="24"/>
        </w:rPr>
      </w:pPr>
    </w:p>
    <w:p w:rsidR="00ED2384" w:rsidRPr="00840BC5" w:rsidRDefault="00ED2384" w:rsidP="00ED2384">
      <w:pPr>
        <w:rPr>
          <w:szCs w:val="24"/>
        </w:rPr>
      </w:pPr>
      <w:r w:rsidRPr="00840BC5">
        <w:rPr>
          <w:szCs w:val="24"/>
        </w:rPr>
        <w:t xml:space="preserve">Europaparlamentet uppmanar </w:t>
      </w:r>
      <w:r w:rsidR="00205391" w:rsidRPr="00840BC5">
        <w:rPr>
          <w:szCs w:val="24"/>
        </w:rPr>
        <w:t xml:space="preserve">också </w:t>
      </w:r>
      <w:r w:rsidRPr="00840BC5">
        <w:rPr>
          <w:szCs w:val="24"/>
        </w:rPr>
        <w:t>med kraft kommissionen att göra tillämpningen av grundläggande arbetsnormer till ett förhandsvillkor i sin inköps- och upphandlingspolitik. Parlamentet uppmanar kommissionen att utforma en policy för detta och ge handelsrelaterat bistånd för att också små producenter i utvecklingsländerna skall kunna tillämpa dessa normer.</w:t>
      </w:r>
    </w:p>
    <w:p w:rsidR="00CC7A36" w:rsidRPr="00840BC5" w:rsidRDefault="00CC7A36" w:rsidP="00ED2384">
      <w:pPr>
        <w:rPr>
          <w:szCs w:val="24"/>
        </w:rPr>
      </w:pPr>
    </w:p>
    <w:p w:rsidR="00ED2384" w:rsidRPr="00840BC5" w:rsidRDefault="00205391" w:rsidP="00ED2384">
      <w:pPr>
        <w:rPr>
          <w:szCs w:val="24"/>
        </w:rPr>
      </w:pPr>
      <w:r w:rsidRPr="00840BC5">
        <w:rPr>
          <w:szCs w:val="24"/>
        </w:rPr>
        <w:t>P</w:t>
      </w:r>
      <w:r w:rsidR="00ED2384" w:rsidRPr="00840BC5">
        <w:rPr>
          <w:szCs w:val="24"/>
        </w:rPr>
        <w:t>arlamentet uppmanar kommissionen att erkänna de rimliga indikatorer som ILO har fastställt för antalet yrkesinspektörer på grundval av antalet arbetstagare och införliva dem med sina bilaterala och multilaterala handelsförhandlingar och sina bedömningar av konsekvenserna för hållbarheten</w:t>
      </w:r>
      <w:r w:rsidRPr="00840BC5">
        <w:rPr>
          <w:szCs w:val="24"/>
        </w:rPr>
        <w:t>.</w:t>
      </w:r>
    </w:p>
    <w:p w:rsidR="00CC7A36" w:rsidRPr="00840BC5" w:rsidRDefault="00CC7A36" w:rsidP="00ED2384">
      <w:pPr>
        <w:rPr>
          <w:szCs w:val="24"/>
        </w:rPr>
      </w:pPr>
    </w:p>
    <w:p w:rsidR="00ED2384" w:rsidRPr="00840BC5" w:rsidRDefault="00ED2384" w:rsidP="00ED2384">
      <w:pPr>
        <w:rPr>
          <w:szCs w:val="24"/>
        </w:rPr>
      </w:pPr>
      <w:r w:rsidRPr="00840BC5">
        <w:rPr>
          <w:szCs w:val="24"/>
        </w:rPr>
        <w:t>Europaparlamentet uppmanar kommissionen att, i samverkan med FN:s organ, de nationella och regionala organisationerna, arbetsmarknadens parter och övriga delar av det civila samhället, bättre samordna anständigt arbete och externa samarbetsprogram för anständigt arbete med genomförandet av ILO:s länderprogram för anständigt arbete eller liknande färdplaner och att öka insatserna för att integrera anständigt arbete i strategierna och strategidokumenten för fattigdomsminskning och i utvecklingsstrategierna, eftersom de kan ge ett mervärde åt kampen för anständigt arbete för alla. Parlamentet efterlyser därför nära samråd med arbetsmarknadens parter och övriga delar av det civila samhället.</w:t>
      </w:r>
    </w:p>
    <w:p w:rsidR="00CC7A36" w:rsidRPr="00840BC5" w:rsidRDefault="00CC7A36" w:rsidP="00ED2384">
      <w:pPr>
        <w:rPr>
          <w:szCs w:val="24"/>
        </w:rPr>
      </w:pPr>
    </w:p>
    <w:p w:rsidR="00ED2384" w:rsidRPr="00840BC5" w:rsidRDefault="00205391" w:rsidP="00ED2384">
      <w:pPr>
        <w:rPr>
          <w:szCs w:val="24"/>
        </w:rPr>
      </w:pPr>
      <w:r w:rsidRPr="00840BC5">
        <w:rPr>
          <w:szCs w:val="24"/>
        </w:rPr>
        <w:t>P</w:t>
      </w:r>
      <w:r w:rsidR="00ED2384" w:rsidRPr="00840BC5">
        <w:rPr>
          <w:szCs w:val="24"/>
        </w:rPr>
        <w:t xml:space="preserve">arlamentet uppmanar </w:t>
      </w:r>
      <w:r w:rsidRPr="00840BC5">
        <w:rPr>
          <w:szCs w:val="24"/>
        </w:rPr>
        <w:t xml:space="preserve">vidare </w:t>
      </w:r>
      <w:r w:rsidR="00ED2384" w:rsidRPr="00840BC5">
        <w:rPr>
          <w:szCs w:val="24"/>
        </w:rPr>
        <w:t>kommissionen och medlemsstaterna att samarbeta med icke-statliga organisationer, fackföreningar, kvinnoorganisationer och nätverk med uppgift att ge kvinnor i utvecklingsländerna mer att säga till om i ekonomiskt och socialt hänseende samt främja anständigt arbete på alla nivåer.</w:t>
      </w:r>
    </w:p>
    <w:p w:rsidR="00CC7A36" w:rsidRPr="00840BC5" w:rsidRDefault="00CC7A36" w:rsidP="00ED2384">
      <w:pPr>
        <w:rPr>
          <w:szCs w:val="24"/>
        </w:rPr>
      </w:pPr>
    </w:p>
    <w:p w:rsidR="00ED2384" w:rsidRPr="00840BC5" w:rsidRDefault="00ED2384" w:rsidP="00ED2384">
      <w:pPr>
        <w:rPr>
          <w:szCs w:val="24"/>
        </w:rPr>
      </w:pPr>
      <w:r w:rsidRPr="00840BC5">
        <w:rPr>
          <w:szCs w:val="24"/>
        </w:rPr>
        <w:t xml:space="preserve">Europaparlamentet uppmanar </w:t>
      </w:r>
      <w:r w:rsidR="00205391" w:rsidRPr="00840BC5">
        <w:rPr>
          <w:szCs w:val="24"/>
        </w:rPr>
        <w:t xml:space="preserve">också </w:t>
      </w:r>
      <w:r w:rsidRPr="00840BC5">
        <w:rPr>
          <w:szCs w:val="24"/>
        </w:rPr>
        <w:t>medlemsstaterna att enas om en gemensam standarddefinition på begreppen tvångsarbete och utnyttjande av annans utsatta läge, för att på så sätt minska oklarheterna och snedvridningarna i rättsliga avgöranden.</w:t>
      </w:r>
    </w:p>
    <w:p w:rsidR="00CC7A36" w:rsidRPr="00840BC5" w:rsidRDefault="00CC7A36" w:rsidP="00ED2384">
      <w:pPr>
        <w:rPr>
          <w:szCs w:val="24"/>
        </w:rPr>
      </w:pPr>
    </w:p>
    <w:p w:rsidR="00ED2384" w:rsidRPr="00840BC5" w:rsidRDefault="00205391" w:rsidP="00ED2384">
      <w:pPr>
        <w:rPr>
          <w:szCs w:val="24"/>
        </w:rPr>
      </w:pPr>
      <w:r w:rsidRPr="00840BC5">
        <w:rPr>
          <w:szCs w:val="24"/>
        </w:rPr>
        <w:t>Pa</w:t>
      </w:r>
      <w:r w:rsidR="00ED2384" w:rsidRPr="00840BC5">
        <w:rPr>
          <w:szCs w:val="24"/>
        </w:rPr>
        <w:t>rlamentet uppmanar kommissionen och gemenskapens delegationer i partnerländerna att aktivt verka för att agendan för anständigt arbete och de nationella och regionala programmen för anständigt arbete införlivas i de nationella strategidokumenten, de nationella handlingsplanerna och övriga programinstrument inom ramen för EU:s politik för utvecklingssamarbete.</w:t>
      </w:r>
    </w:p>
    <w:p w:rsidR="00CC7A36" w:rsidRPr="00840BC5" w:rsidRDefault="00CC7A36" w:rsidP="00ED2384">
      <w:pPr>
        <w:rPr>
          <w:szCs w:val="24"/>
        </w:rPr>
      </w:pPr>
    </w:p>
    <w:p w:rsidR="00ED2384" w:rsidRPr="00840BC5" w:rsidRDefault="00ED2384" w:rsidP="00ED2384">
      <w:pPr>
        <w:rPr>
          <w:szCs w:val="24"/>
        </w:rPr>
      </w:pPr>
      <w:r w:rsidRPr="00840BC5">
        <w:rPr>
          <w:szCs w:val="24"/>
        </w:rPr>
        <w:t>Europaparlamentet uppmanar kommissionen att anslå adekvata resurser till genomförandet av de förslag i dess meddelande "Investera i människor" som syftar till att främja anständigt arbete.</w:t>
      </w:r>
    </w:p>
    <w:p w:rsidR="00CC7A36" w:rsidRPr="00840BC5" w:rsidRDefault="00CC7A36" w:rsidP="00ED2384">
      <w:pPr>
        <w:rPr>
          <w:szCs w:val="24"/>
        </w:rPr>
      </w:pPr>
    </w:p>
    <w:p w:rsidR="00ED2384" w:rsidRPr="00840BC5" w:rsidRDefault="00812728" w:rsidP="00ED2384">
      <w:pPr>
        <w:rPr>
          <w:szCs w:val="24"/>
        </w:rPr>
      </w:pPr>
      <w:r w:rsidRPr="00840BC5">
        <w:rPr>
          <w:szCs w:val="24"/>
        </w:rPr>
        <w:t>P</w:t>
      </w:r>
      <w:r w:rsidR="00ED2384" w:rsidRPr="00840BC5">
        <w:rPr>
          <w:szCs w:val="24"/>
        </w:rPr>
        <w:t xml:space="preserve">arlamentet uppmanar </w:t>
      </w:r>
      <w:r w:rsidRPr="00840BC5">
        <w:rPr>
          <w:szCs w:val="24"/>
        </w:rPr>
        <w:t xml:space="preserve">vidare </w:t>
      </w:r>
      <w:r w:rsidR="00ED2384" w:rsidRPr="00840BC5">
        <w:rPr>
          <w:szCs w:val="24"/>
        </w:rPr>
        <w:t>medlemsstaterna att anta strategier i linje med de gemensamma grundprinciperna för integration av tredjelandsmedborgare i EU.</w:t>
      </w:r>
    </w:p>
    <w:p w:rsidR="00CC7A36" w:rsidRPr="00840BC5" w:rsidRDefault="00CC7A36" w:rsidP="00ED2384">
      <w:pPr>
        <w:rPr>
          <w:szCs w:val="24"/>
        </w:rPr>
      </w:pPr>
    </w:p>
    <w:p w:rsidR="00E25032" w:rsidRPr="00840BC5" w:rsidRDefault="00E25032" w:rsidP="00ED2384">
      <w:pPr>
        <w:rPr>
          <w:szCs w:val="24"/>
        </w:rPr>
      </w:pPr>
    </w:p>
    <w:p w:rsidR="00E25032" w:rsidRPr="00840BC5" w:rsidRDefault="00E25032" w:rsidP="00E25032">
      <w:pPr>
        <w:numPr>
          <w:ilvl w:val="0"/>
          <w:numId w:val="6"/>
        </w:numPr>
        <w:rPr>
          <w:b/>
          <w:sz w:val="28"/>
          <w:szCs w:val="28"/>
        </w:rPr>
      </w:pPr>
      <w:r w:rsidRPr="00840BC5">
        <w:rPr>
          <w:b/>
          <w:sz w:val="28"/>
          <w:szCs w:val="28"/>
        </w:rPr>
        <w:t>De nyligen hållna valen i Nigeria</w:t>
      </w:r>
    </w:p>
    <w:p w:rsidR="00E25032" w:rsidRPr="00840BC5" w:rsidRDefault="00E25032" w:rsidP="00E25032">
      <w:pPr>
        <w:ind w:left="180"/>
        <w:rPr>
          <w:b/>
          <w:sz w:val="28"/>
          <w:szCs w:val="28"/>
        </w:rPr>
      </w:pPr>
    </w:p>
    <w:p w:rsidR="00E25032" w:rsidRPr="00840BC5" w:rsidRDefault="00E25032" w:rsidP="00E25032">
      <w:r w:rsidRPr="00840BC5">
        <w:t xml:space="preserve">Europaparlamentet uppmanar kommissionen att för rådet och Europaparlamentet lägga fram ett sammanhängande och trovärdigt förslag om en EU-politik för agerande efter genomförda val, vilken respekterar det fria val som befolkningen i ett visst land har. </w:t>
      </w:r>
    </w:p>
    <w:p w:rsidR="00812728" w:rsidRPr="00840BC5" w:rsidRDefault="00812728" w:rsidP="00E25032"/>
    <w:p w:rsidR="00E25032" w:rsidRPr="00840BC5" w:rsidRDefault="00812728" w:rsidP="00E25032">
      <w:r w:rsidRPr="00840BC5">
        <w:t>P</w:t>
      </w:r>
      <w:r w:rsidR="00E25032" w:rsidRPr="00840BC5">
        <w:t>arlamentet uppmanar kommissionen och dess delegation i Nigeria att säkerställa att regeringen inte på något sätt är inblandad i projekturvalet eller genomförandet av stöd från EU:s instrument för demokrati och mänskliga rättigheter, som uttryckligen är avsett att användas utan mottagarlandets medverkan.</w:t>
      </w:r>
    </w:p>
    <w:p w:rsidR="00E25032" w:rsidRPr="00840BC5" w:rsidRDefault="00E25032" w:rsidP="00E25032"/>
    <w:p w:rsidR="00E25032" w:rsidRPr="00840BC5" w:rsidRDefault="006C5370" w:rsidP="00E25032">
      <w:pPr>
        <w:numPr>
          <w:ilvl w:val="0"/>
          <w:numId w:val="6"/>
        </w:numPr>
        <w:rPr>
          <w:b/>
          <w:sz w:val="28"/>
          <w:szCs w:val="28"/>
        </w:rPr>
      </w:pPr>
      <w:r w:rsidRPr="00840BC5">
        <w:rPr>
          <w:b/>
          <w:sz w:val="28"/>
          <w:szCs w:val="28"/>
        </w:rPr>
        <w:t xml:space="preserve"> </w:t>
      </w:r>
      <w:r w:rsidR="00E25032" w:rsidRPr="00840BC5">
        <w:rPr>
          <w:b/>
          <w:sz w:val="28"/>
          <w:szCs w:val="28"/>
        </w:rPr>
        <w:t>Kashmir: nuvarande situation och framtidsutsikter</w:t>
      </w:r>
    </w:p>
    <w:p w:rsidR="00E25032" w:rsidRPr="00840BC5" w:rsidRDefault="00E25032" w:rsidP="00E25032">
      <w:pPr>
        <w:rPr>
          <w:b/>
          <w:sz w:val="28"/>
          <w:szCs w:val="28"/>
        </w:rPr>
      </w:pPr>
    </w:p>
    <w:p w:rsidR="00E25032" w:rsidRPr="00840BC5" w:rsidRDefault="00E25032" w:rsidP="00E25032">
      <w:r w:rsidRPr="00840BC5">
        <w:t xml:space="preserve">Europaparlamentet uppmanar med kraft EU och dess institutioner att inte sluta övervaka den tuffa situationen för befolkningen i </w:t>
      </w:r>
      <w:smartTag w:uri="urn:schemas-microsoft-com:office:smarttags" w:element="City">
        <w:r w:rsidRPr="00840BC5">
          <w:t>Jammu</w:t>
        </w:r>
      </w:smartTag>
      <w:r w:rsidRPr="00840BC5">
        <w:t xml:space="preserve"> och </w:t>
      </w:r>
      <w:smartTag w:uri="urn:schemas-microsoft-com:office:smarttags" w:element="place">
        <w:r w:rsidRPr="00840BC5">
          <w:t>Kashmir</w:t>
        </w:r>
      </w:smartTag>
      <w:r w:rsidRPr="00840BC5">
        <w:t>, utan se till att hjälpprogram och andra program utformas och genomförs så att återhämtningen och institutionsbyggandet blir långsiktigt.</w:t>
      </w:r>
    </w:p>
    <w:p w:rsidR="00CC7A36" w:rsidRPr="00840BC5" w:rsidRDefault="00CC7A36" w:rsidP="00E25032"/>
    <w:p w:rsidR="00E25032" w:rsidRPr="00840BC5" w:rsidRDefault="00812728" w:rsidP="00E25032">
      <w:r w:rsidRPr="00840BC5">
        <w:t>P</w:t>
      </w:r>
      <w:r w:rsidR="00E25032" w:rsidRPr="00840BC5">
        <w:t xml:space="preserve">arlamentet uppmanar med kraft </w:t>
      </w:r>
      <w:r w:rsidRPr="00840BC5">
        <w:t xml:space="preserve">båda sidor </w:t>
      </w:r>
      <w:r w:rsidR="00E25032" w:rsidRPr="00840BC5">
        <w:t>att prioritera behoven hos befolkningen i Kashmir, såväl materiellt som institutionellt, så att befolkningens politiska, ekonomiska, sociala och kulturella brister kan åtgärdas. Parlamentet rekommenderar att EU står berett att bistå vid begäran från endera regeringen.</w:t>
      </w:r>
    </w:p>
    <w:p w:rsidR="00CC7A36" w:rsidRPr="00840BC5" w:rsidRDefault="00CC7A36" w:rsidP="00E25032"/>
    <w:p w:rsidR="00E25032" w:rsidRPr="00840BC5" w:rsidRDefault="006C5370" w:rsidP="00E25032">
      <w:pPr>
        <w:numPr>
          <w:ilvl w:val="0"/>
          <w:numId w:val="6"/>
        </w:numPr>
        <w:rPr>
          <w:b/>
          <w:sz w:val="28"/>
          <w:szCs w:val="28"/>
        </w:rPr>
      </w:pPr>
      <w:r w:rsidRPr="00840BC5">
        <w:rPr>
          <w:b/>
          <w:sz w:val="28"/>
          <w:szCs w:val="28"/>
        </w:rPr>
        <w:t xml:space="preserve"> </w:t>
      </w:r>
      <w:r w:rsidR="00E25032" w:rsidRPr="00840BC5">
        <w:rPr>
          <w:b/>
          <w:sz w:val="28"/>
          <w:szCs w:val="28"/>
        </w:rPr>
        <w:t>Estland</w:t>
      </w:r>
    </w:p>
    <w:p w:rsidR="00E25032" w:rsidRPr="00840BC5" w:rsidRDefault="00E25032" w:rsidP="00E25032">
      <w:pPr>
        <w:ind w:left="180"/>
        <w:rPr>
          <w:b/>
          <w:sz w:val="28"/>
          <w:szCs w:val="28"/>
        </w:rPr>
      </w:pPr>
    </w:p>
    <w:p w:rsidR="006C5370" w:rsidRPr="00840BC5" w:rsidRDefault="00E25032" w:rsidP="00E25032">
      <w:r w:rsidRPr="00840BC5">
        <w:t xml:space="preserve">Europaparlamentet uppmanar kommissionen och samtliga medlemsstater att medverka vid utredningarna av de Internetattacker </w:t>
      </w:r>
    </w:p>
    <w:p w:rsidR="00E25032" w:rsidRPr="00840BC5" w:rsidRDefault="00E25032" w:rsidP="00E25032">
      <w:r w:rsidRPr="00840BC5">
        <w:t>som genomförts mot estländska webbplatser och att lägga fram en studie om hur sådana attacker och hot skall kunna bemötas på EU-nivå. Ryssland uppmanas också att fullt ut medverka under dessa utredningar.</w:t>
      </w:r>
    </w:p>
    <w:p w:rsidR="00ED2384" w:rsidRPr="00840BC5" w:rsidRDefault="00ED2384" w:rsidP="00ED2384">
      <w:pPr>
        <w:rPr>
          <w:rFonts w:ascii="Arial" w:hAnsi="Arial"/>
          <w:sz w:val="18"/>
          <w:szCs w:val="18"/>
        </w:rPr>
      </w:pPr>
    </w:p>
    <w:p w:rsidR="00ED2384" w:rsidRPr="00840BC5" w:rsidRDefault="00ED2384" w:rsidP="00ED2384">
      <w:pPr>
        <w:rPr>
          <w:rFonts w:ascii="Arial" w:hAnsi="Arial"/>
          <w:sz w:val="18"/>
          <w:szCs w:val="18"/>
        </w:rPr>
      </w:pPr>
    </w:p>
    <w:p w:rsidR="00ED2384" w:rsidRPr="00840BC5" w:rsidRDefault="00ED2384" w:rsidP="00ED2384">
      <w:pPr>
        <w:pStyle w:val="Normalwebb"/>
        <w:rPr>
          <w:rFonts w:ascii="Arial" w:hAnsi="Arial" w:cs="Arial"/>
          <w:color w:val="666666"/>
          <w:sz w:val="18"/>
          <w:szCs w:val="18"/>
          <w:lang w:val="sv-SE"/>
        </w:rPr>
      </w:pPr>
    </w:p>
    <w:p w:rsidR="00ED2384" w:rsidRPr="00840BC5" w:rsidRDefault="00ED2384" w:rsidP="00ED2384">
      <w:pPr>
        <w:pStyle w:val="Normalwebb"/>
        <w:rPr>
          <w:rFonts w:ascii="Arial" w:hAnsi="Arial" w:cs="Arial"/>
          <w:color w:val="666666"/>
          <w:sz w:val="18"/>
          <w:szCs w:val="18"/>
          <w:lang w:val="sv-SE"/>
        </w:rPr>
      </w:pPr>
    </w:p>
    <w:p w:rsidR="00ED2384" w:rsidRPr="00840BC5" w:rsidRDefault="00ED2384" w:rsidP="00ED2384">
      <w:pPr>
        <w:pStyle w:val="Normalwebb"/>
        <w:rPr>
          <w:rFonts w:ascii="Arial" w:hAnsi="Arial" w:cs="Arial"/>
          <w:color w:val="666666"/>
          <w:sz w:val="18"/>
          <w:szCs w:val="18"/>
          <w:lang w:val="sv-SE"/>
        </w:rPr>
      </w:pPr>
    </w:p>
    <w:p w:rsidR="00ED2384" w:rsidRPr="00840BC5" w:rsidRDefault="00ED2384" w:rsidP="00ED2384">
      <w:pPr>
        <w:pStyle w:val="Normalwebb"/>
        <w:rPr>
          <w:rFonts w:ascii="Arial" w:hAnsi="Arial" w:cs="Arial"/>
          <w:color w:val="666666"/>
          <w:sz w:val="18"/>
          <w:szCs w:val="18"/>
          <w:lang w:val="sv-SE"/>
        </w:rPr>
      </w:pPr>
    </w:p>
    <w:p w:rsidR="00D36A9C" w:rsidRPr="00840BC5" w:rsidRDefault="00D36A9C" w:rsidP="00D36A9C">
      <w:pPr>
        <w:pStyle w:val="Normalwebb"/>
        <w:rPr>
          <w:rFonts w:ascii="Arial" w:hAnsi="Arial" w:cs="Arial"/>
          <w:color w:val="666666"/>
          <w:sz w:val="18"/>
          <w:szCs w:val="18"/>
          <w:lang w:val="sv-SE"/>
        </w:rPr>
      </w:pPr>
    </w:p>
    <w:p w:rsidR="00D36A9C" w:rsidRPr="00840BC5" w:rsidRDefault="00D36A9C" w:rsidP="00D36A9C">
      <w:pPr>
        <w:pStyle w:val="Normalwebb"/>
        <w:rPr>
          <w:rFonts w:ascii="Arial" w:hAnsi="Arial" w:cs="Arial"/>
          <w:color w:val="666666"/>
          <w:sz w:val="18"/>
          <w:szCs w:val="18"/>
          <w:lang w:val="sv-SE"/>
        </w:rPr>
      </w:pPr>
    </w:p>
    <w:p w:rsidR="00D36A9C" w:rsidRPr="00840BC5" w:rsidRDefault="00D36A9C" w:rsidP="00D36A9C">
      <w:pPr>
        <w:pStyle w:val="Normalwebb"/>
        <w:rPr>
          <w:rFonts w:ascii="Arial" w:hAnsi="Arial" w:cs="Arial"/>
          <w:color w:val="666666"/>
          <w:sz w:val="18"/>
          <w:szCs w:val="18"/>
          <w:lang w:val="sv-SE"/>
        </w:rPr>
      </w:pPr>
    </w:p>
    <w:p w:rsidR="00D36A9C" w:rsidRPr="00840BC5" w:rsidRDefault="00D36A9C" w:rsidP="00D36A9C">
      <w:pPr>
        <w:pStyle w:val="Normalwebb"/>
        <w:rPr>
          <w:rFonts w:ascii="Arial" w:hAnsi="Arial" w:cs="Arial"/>
          <w:color w:val="666666"/>
          <w:sz w:val="18"/>
          <w:szCs w:val="18"/>
          <w:lang w:val="sv-SE"/>
        </w:rPr>
      </w:pPr>
    </w:p>
    <w:p w:rsidR="00D36A9C" w:rsidRPr="00840BC5" w:rsidRDefault="00D36A9C" w:rsidP="00D36A9C">
      <w:pPr>
        <w:pStyle w:val="Normalwebb"/>
        <w:ind w:left="180"/>
        <w:rPr>
          <w:rFonts w:ascii="Arial" w:hAnsi="Arial" w:cs="Arial"/>
          <w:color w:val="666666"/>
          <w:sz w:val="18"/>
          <w:szCs w:val="18"/>
          <w:lang w:val="sv-SE"/>
        </w:rPr>
      </w:pPr>
    </w:p>
    <w:p w:rsidR="00D36A9C" w:rsidRPr="00840BC5" w:rsidRDefault="00D36A9C" w:rsidP="00D36A9C">
      <w:pPr>
        <w:ind w:left="180"/>
        <w:rPr>
          <w:szCs w:val="24"/>
        </w:rPr>
      </w:pPr>
    </w:p>
    <w:p w:rsidR="005D28B5" w:rsidRPr="00840BC5" w:rsidRDefault="005D28B5" w:rsidP="005D28B5">
      <w:pPr>
        <w:pStyle w:val="Normalwebb"/>
        <w:rPr>
          <w:rFonts w:ascii="Arial" w:hAnsi="Arial" w:cs="Arial"/>
          <w:color w:val="666666"/>
          <w:sz w:val="18"/>
          <w:szCs w:val="18"/>
          <w:lang w:val="sv-SE"/>
        </w:rPr>
      </w:pPr>
    </w:p>
    <w:p w:rsidR="00D36A9C" w:rsidRPr="00840BC5" w:rsidRDefault="00D36A9C" w:rsidP="005D28B5">
      <w:pPr>
        <w:pStyle w:val="Normalwebb"/>
        <w:rPr>
          <w:rFonts w:ascii="Arial" w:hAnsi="Arial" w:cs="Arial"/>
          <w:color w:val="666666"/>
          <w:sz w:val="18"/>
          <w:szCs w:val="18"/>
          <w:lang w:val="sv-SE"/>
        </w:rPr>
      </w:pPr>
    </w:p>
    <w:p w:rsidR="005D28B5" w:rsidRPr="00840BC5" w:rsidRDefault="005D28B5" w:rsidP="005D28B5">
      <w:pPr>
        <w:pStyle w:val="Normalwebb"/>
        <w:rPr>
          <w:rStyle w:val="italic1"/>
          <w:rFonts w:ascii="Arial" w:hAnsi="Arial" w:cs="Arial"/>
          <w:b/>
          <w:bCs/>
          <w:color w:val="666666"/>
          <w:sz w:val="18"/>
          <w:szCs w:val="18"/>
          <w:lang w:val="sv-SE"/>
        </w:rPr>
      </w:pPr>
    </w:p>
    <w:p w:rsidR="005D28B5" w:rsidRPr="00840BC5" w:rsidRDefault="005D28B5" w:rsidP="005D28B5">
      <w:pPr>
        <w:pStyle w:val="Normalwebb"/>
        <w:rPr>
          <w:rFonts w:ascii="Arial" w:hAnsi="Arial" w:cs="Arial"/>
          <w:color w:val="666666"/>
          <w:sz w:val="18"/>
          <w:szCs w:val="18"/>
          <w:lang w:val="sv-SE"/>
        </w:rPr>
      </w:pPr>
    </w:p>
    <w:p w:rsidR="005D28B5" w:rsidRPr="00840BC5" w:rsidRDefault="005D28B5" w:rsidP="005D28B5">
      <w:pPr>
        <w:pStyle w:val="Normalwebb"/>
        <w:rPr>
          <w:rFonts w:ascii="Arial" w:hAnsi="Arial" w:cs="Arial"/>
          <w:color w:val="666666"/>
          <w:sz w:val="18"/>
          <w:szCs w:val="18"/>
          <w:lang w:val="sv-SE"/>
        </w:rPr>
      </w:pPr>
    </w:p>
    <w:p w:rsidR="005D28B5" w:rsidRPr="00840BC5" w:rsidRDefault="005D28B5" w:rsidP="005D28B5">
      <w:pPr>
        <w:pStyle w:val="Normalwebb"/>
        <w:rPr>
          <w:rFonts w:ascii="Arial" w:hAnsi="Arial" w:cs="Arial"/>
          <w:color w:val="666666"/>
          <w:sz w:val="18"/>
          <w:szCs w:val="18"/>
          <w:lang w:val="sv-SE"/>
        </w:rPr>
      </w:pPr>
    </w:p>
    <w:p w:rsidR="005D28B5" w:rsidRPr="00840BC5" w:rsidRDefault="005D28B5" w:rsidP="005D28B5">
      <w:pPr>
        <w:pStyle w:val="Normalwebb"/>
        <w:rPr>
          <w:rFonts w:ascii="Arial" w:hAnsi="Arial" w:cs="Arial"/>
          <w:color w:val="666666"/>
          <w:sz w:val="18"/>
          <w:szCs w:val="18"/>
          <w:lang w:val="sv-SE"/>
        </w:rPr>
      </w:pPr>
    </w:p>
    <w:p w:rsidR="005D28B5" w:rsidRPr="00840BC5" w:rsidRDefault="005D28B5" w:rsidP="005D28B5">
      <w:pPr>
        <w:pStyle w:val="Normalwebb"/>
        <w:rPr>
          <w:rFonts w:ascii="Arial" w:hAnsi="Arial" w:cs="Arial"/>
          <w:color w:val="666666"/>
          <w:sz w:val="18"/>
          <w:szCs w:val="18"/>
          <w:lang w:val="sv-SE"/>
        </w:rPr>
      </w:pPr>
    </w:p>
    <w:p w:rsidR="005D28B5" w:rsidRPr="00840BC5" w:rsidRDefault="005D28B5" w:rsidP="005D28B5">
      <w:pPr>
        <w:pStyle w:val="RKnormal"/>
        <w:ind w:left="180"/>
        <w:rPr>
          <w:szCs w:val="24"/>
        </w:rPr>
      </w:pPr>
    </w:p>
    <w:p w:rsidR="005D28B5" w:rsidRPr="00840BC5" w:rsidRDefault="005D28B5" w:rsidP="00961CB6">
      <w:pPr>
        <w:pStyle w:val="Normalwebb"/>
        <w:rPr>
          <w:rFonts w:ascii="Arial" w:hAnsi="Arial" w:cs="Arial"/>
          <w:color w:val="666666"/>
          <w:sz w:val="18"/>
          <w:szCs w:val="18"/>
          <w:lang w:val="sv-SE"/>
        </w:rPr>
      </w:pPr>
    </w:p>
    <w:p w:rsidR="005D28B5" w:rsidRPr="00840BC5" w:rsidRDefault="005D28B5" w:rsidP="00961CB6">
      <w:pPr>
        <w:pStyle w:val="Normalwebb"/>
        <w:rPr>
          <w:rFonts w:ascii="Arial" w:hAnsi="Arial" w:cs="Arial"/>
          <w:color w:val="666666"/>
          <w:sz w:val="18"/>
          <w:szCs w:val="18"/>
          <w:lang w:val="sv-SE"/>
        </w:rPr>
      </w:pPr>
    </w:p>
    <w:p w:rsidR="00961CB6" w:rsidRPr="00840BC5" w:rsidRDefault="00961CB6" w:rsidP="00961CB6">
      <w:pPr>
        <w:pStyle w:val="RKnormal"/>
        <w:ind w:left="180"/>
        <w:rPr>
          <w:szCs w:val="24"/>
        </w:rPr>
      </w:pPr>
    </w:p>
    <w:p w:rsidR="009C10C7" w:rsidRPr="00840BC5" w:rsidRDefault="009C10C7" w:rsidP="009C10C7"/>
    <w:p w:rsidR="009C10C7" w:rsidRPr="00840BC5" w:rsidRDefault="009C10C7"/>
    <w:sectPr w:rsidR="009C10C7" w:rsidRPr="00840BC5" w:rsidSect="00974AFA">
      <w:headerReference w:type="even" r:id="rId8"/>
      <w:headerReference w:type="default" r:id="rId9"/>
      <w:headerReference w:type="first" r:id="rId10"/>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610A" w:rsidRPr="00840BC5" w:rsidRDefault="008E610A">
      <w:r w:rsidRPr="00840BC5">
        <w:separator/>
      </w:r>
    </w:p>
  </w:endnote>
  <w:endnote w:type="continuationSeparator" w:id="0">
    <w:p w:rsidR="008E610A" w:rsidRPr="00840BC5" w:rsidRDefault="008E610A">
      <w:r w:rsidRPr="00840B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610A" w:rsidRPr="00840BC5" w:rsidRDefault="008E610A">
      <w:r w:rsidRPr="00840BC5">
        <w:separator/>
      </w:r>
    </w:p>
  </w:footnote>
  <w:footnote w:type="continuationSeparator" w:id="0">
    <w:p w:rsidR="008E610A" w:rsidRPr="00840BC5" w:rsidRDefault="008E610A">
      <w:r w:rsidRPr="00840B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B69" w:rsidRPr="00840BC5" w:rsidRDefault="00A30B69">
    <w:pPr>
      <w:pStyle w:val="Sidhuvud"/>
      <w:framePr w:wrap="around" w:vAnchor="text" w:hAnchor="margin" w:xAlign="right" w:y="1"/>
      <w:rPr>
        <w:rStyle w:val="Sidnummer"/>
      </w:rPr>
    </w:pPr>
    <w:r w:rsidRPr="00840BC5">
      <w:rPr>
        <w:rStyle w:val="Sidnummer"/>
      </w:rPr>
      <w:fldChar w:fldCharType="begin" w:fldLock="1"/>
    </w:r>
    <w:r w:rsidRPr="00840BC5">
      <w:rPr>
        <w:rStyle w:val="Sidnummer"/>
      </w:rPr>
      <w:instrText xml:space="preserve">PAGE  </w:instrText>
    </w:r>
    <w:r w:rsidRPr="00840BC5">
      <w:rPr>
        <w:rStyle w:val="Sidnummer"/>
      </w:rPr>
      <w:fldChar w:fldCharType="separate"/>
    </w:r>
    <w:r w:rsidRPr="00840BC5">
      <w:rPr>
        <w:rStyle w:val="Sidnummer"/>
      </w:rPr>
      <w:t>2</w:t>
    </w:r>
    <w:r w:rsidRPr="00840B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0B69" w:rsidRPr="00840BC5">
      <w:tblPrEx>
        <w:tblCellMar>
          <w:top w:w="0" w:type="dxa"/>
          <w:bottom w:w="0" w:type="dxa"/>
        </w:tblCellMar>
      </w:tblPrEx>
      <w:trPr>
        <w:cantSplit/>
      </w:trPr>
      <w:tc>
        <w:tcPr>
          <w:tcW w:w="3119" w:type="dxa"/>
        </w:tcPr>
        <w:p w:rsidR="00A30B69" w:rsidRPr="00840BC5" w:rsidRDefault="00A30B69">
          <w:pPr>
            <w:pStyle w:val="Sidhuvud"/>
            <w:spacing w:line="200" w:lineRule="atLeast"/>
            <w:ind w:right="357"/>
            <w:rPr>
              <w:rFonts w:ascii="TradeGothic" w:hAnsi="TradeGothic"/>
              <w:b/>
              <w:bCs/>
              <w:sz w:val="16"/>
            </w:rPr>
          </w:pPr>
        </w:p>
      </w:tc>
      <w:tc>
        <w:tcPr>
          <w:tcW w:w="4111" w:type="dxa"/>
          <w:tcMar>
            <w:left w:w="567" w:type="dxa"/>
          </w:tcMar>
        </w:tcPr>
        <w:p w:rsidR="00A30B69" w:rsidRPr="00840BC5" w:rsidRDefault="00A30B69">
          <w:pPr>
            <w:pStyle w:val="Sidhuvud"/>
            <w:ind w:right="360"/>
          </w:pPr>
        </w:p>
      </w:tc>
      <w:tc>
        <w:tcPr>
          <w:tcW w:w="1525" w:type="dxa"/>
        </w:tcPr>
        <w:p w:rsidR="00A30B69" w:rsidRPr="00840BC5" w:rsidRDefault="00A30B69">
          <w:pPr>
            <w:pStyle w:val="Sidhuvud"/>
            <w:ind w:right="360"/>
          </w:pPr>
        </w:p>
      </w:tc>
    </w:tr>
  </w:tbl>
  <w:p w:rsidR="00A30B69" w:rsidRPr="00840BC5" w:rsidRDefault="00A30B6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B69" w:rsidRPr="00840BC5" w:rsidRDefault="00A30B69">
    <w:pPr>
      <w:pStyle w:val="Sidhuvud"/>
      <w:framePr w:wrap="around" w:vAnchor="text" w:hAnchor="margin" w:xAlign="right" w:y="1"/>
      <w:rPr>
        <w:rStyle w:val="Sidnummer"/>
      </w:rPr>
    </w:pPr>
    <w:r w:rsidRPr="00840BC5">
      <w:rPr>
        <w:rStyle w:val="Sidnummer"/>
      </w:rPr>
      <w:fldChar w:fldCharType="begin" w:fldLock="1"/>
    </w:r>
    <w:r w:rsidRPr="00840BC5">
      <w:rPr>
        <w:rStyle w:val="Sidnummer"/>
      </w:rPr>
      <w:instrText xml:space="preserve">PAGE  </w:instrText>
    </w:r>
    <w:r w:rsidRPr="00840BC5">
      <w:rPr>
        <w:rStyle w:val="Sidnummer"/>
      </w:rPr>
      <w:fldChar w:fldCharType="separate"/>
    </w:r>
    <w:r w:rsidR="003B340B" w:rsidRPr="00840BC5">
      <w:rPr>
        <w:rStyle w:val="Sidnummer"/>
      </w:rPr>
      <w:t>14</w:t>
    </w:r>
    <w:r w:rsidRPr="00840BC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30B69" w:rsidRPr="00840BC5">
      <w:tblPrEx>
        <w:tblCellMar>
          <w:top w:w="0" w:type="dxa"/>
          <w:bottom w:w="0" w:type="dxa"/>
        </w:tblCellMar>
      </w:tblPrEx>
      <w:trPr>
        <w:cantSplit/>
      </w:trPr>
      <w:tc>
        <w:tcPr>
          <w:tcW w:w="3119" w:type="dxa"/>
        </w:tcPr>
        <w:p w:rsidR="00A30B69" w:rsidRPr="00840BC5" w:rsidRDefault="00A30B69">
          <w:pPr>
            <w:pStyle w:val="Sidhuvud"/>
            <w:spacing w:line="200" w:lineRule="atLeast"/>
            <w:ind w:right="357"/>
            <w:rPr>
              <w:rFonts w:ascii="TradeGothic" w:hAnsi="TradeGothic"/>
              <w:b/>
              <w:bCs/>
              <w:sz w:val="16"/>
            </w:rPr>
          </w:pPr>
        </w:p>
      </w:tc>
      <w:tc>
        <w:tcPr>
          <w:tcW w:w="4111" w:type="dxa"/>
          <w:tcMar>
            <w:left w:w="567" w:type="dxa"/>
          </w:tcMar>
        </w:tcPr>
        <w:p w:rsidR="00A30B69" w:rsidRPr="00840BC5" w:rsidRDefault="00A30B69">
          <w:pPr>
            <w:pStyle w:val="Sidhuvud"/>
            <w:ind w:right="360"/>
          </w:pPr>
        </w:p>
      </w:tc>
      <w:tc>
        <w:tcPr>
          <w:tcW w:w="1525" w:type="dxa"/>
        </w:tcPr>
        <w:p w:rsidR="00A30B69" w:rsidRPr="00840BC5" w:rsidRDefault="00A30B69">
          <w:pPr>
            <w:pStyle w:val="Sidhuvud"/>
            <w:ind w:right="360"/>
          </w:pPr>
        </w:p>
      </w:tc>
    </w:tr>
  </w:tbl>
  <w:p w:rsidR="00A30B69" w:rsidRPr="00840BC5" w:rsidRDefault="00A30B6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0B69" w:rsidRPr="00840BC5" w:rsidRDefault="00840BC5">
    <w:pPr>
      <w:framePr w:w="2948" w:h="1321" w:hRule="exact" w:wrap="notBeside" w:vAnchor="page" w:hAnchor="page" w:x="1362" w:y="653"/>
    </w:pPr>
    <w:r w:rsidRPr="00840BC5">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30B69" w:rsidRPr="00840BC5" w:rsidRDefault="00A30B69">
    <w:pPr>
      <w:pStyle w:val="RKrubrik"/>
      <w:keepNext w:val="0"/>
      <w:tabs>
        <w:tab w:val="clear" w:pos="1134"/>
        <w:tab w:val="clear" w:pos="2835"/>
      </w:tabs>
      <w:spacing w:before="0" w:after="0" w:line="320" w:lineRule="atLeast"/>
      <w:rPr>
        <w:bCs/>
      </w:rPr>
    </w:pPr>
  </w:p>
  <w:p w:rsidR="00A30B69" w:rsidRPr="00840BC5" w:rsidRDefault="00A30B69">
    <w:pPr>
      <w:rPr>
        <w:rFonts w:ascii="TradeGothic" w:hAnsi="TradeGothic"/>
        <w:b/>
        <w:bCs/>
        <w:spacing w:val="12"/>
        <w:sz w:val="22"/>
      </w:rPr>
    </w:pPr>
  </w:p>
  <w:p w:rsidR="00A30B69" w:rsidRPr="00840BC5" w:rsidRDefault="00A30B69">
    <w:pPr>
      <w:pStyle w:val="RKrubrik"/>
      <w:keepNext w:val="0"/>
      <w:tabs>
        <w:tab w:val="clear" w:pos="1134"/>
        <w:tab w:val="clear" w:pos="2835"/>
      </w:tabs>
      <w:spacing w:before="0" w:after="0" w:line="320" w:lineRule="atLeast"/>
      <w:rPr>
        <w:bCs/>
      </w:rPr>
    </w:pPr>
  </w:p>
  <w:p w:rsidR="00A30B69" w:rsidRPr="00840BC5" w:rsidRDefault="00A30B6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22399"/>
    <w:multiLevelType w:val="hybridMultilevel"/>
    <w:tmpl w:val="E7CAB830"/>
    <w:lvl w:ilvl="0" w:tplc="60F62168">
      <w:start w:val="6"/>
      <w:numFmt w:val="decimal"/>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 w15:restartNumberingAfterBreak="0">
    <w:nsid w:val="0EC60672"/>
    <w:multiLevelType w:val="hybridMultilevel"/>
    <w:tmpl w:val="1EDC4C1E"/>
    <w:lvl w:ilvl="0" w:tplc="7A50E9B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8921CE5"/>
    <w:multiLevelType w:val="hybridMultilevel"/>
    <w:tmpl w:val="0D3AEC70"/>
    <w:lvl w:ilvl="0" w:tplc="4F70E2BE">
      <w:start w:val="7"/>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D5560A4"/>
    <w:multiLevelType w:val="hybridMultilevel"/>
    <w:tmpl w:val="EF82F002"/>
    <w:lvl w:ilvl="0" w:tplc="0409000F">
      <w:start w:val="1"/>
      <w:numFmt w:val="decimal"/>
      <w:lvlText w:val="%1."/>
      <w:lvlJc w:val="left"/>
      <w:pPr>
        <w:tabs>
          <w:tab w:val="num" w:pos="720"/>
        </w:tabs>
        <w:ind w:left="720" w:hanging="360"/>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321C79"/>
    <w:multiLevelType w:val="hybridMultilevel"/>
    <w:tmpl w:val="E7402218"/>
    <w:lvl w:ilvl="0" w:tplc="041D0001">
      <w:start w:val="1"/>
      <w:numFmt w:val="bullet"/>
      <w:lvlText w:val=""/>
      <w:lvlJc w:val="left"/>
      <w:pPr>
        <w:tabs>
          <w:tab w:val="num" w:pos="900"/>
        </w:tabs>
        <w:ind w:left="900" w:hanging="360"/>
      </w:pPr>
      <w:rPr>
        <w:rFonts w:ascii="Symbol" w:hAnsi="Symbol" w:hint="default"/>
      </w:rPr>
    </w:lvl>
    <w:lvl w:ilvl="1" w:tplc="041D0003" w:tentative="1">
      <w:start w:val="1"/>
      <w:numFmt w:val="bullet"/>
      <w:lvlText w:val="o"/>
      <w:lvlJc w:val="left"/>
      <w:pPr>
        <w:tabs>
          <w:tab w:val="num" w:pos="1620"/>
        </w:tabs>
        <w:ind w:left="1620" w:hanging="360"/>
      </w:pPr>
      <w:rPr>
        <w:rFonts w:ascii="Courier New" w:hAnsi="Courier New" w:cs="Courier New" w:hint="default"/>
      </w:rPr>
    </w:lvl>
    <w:lvl w:ilvl="2" w:tplc="041D0005" w:tentative="1">
      <w:start w:val="1"/>
      <w:numFmt w:val="bullet"/>
      <w:lvlText w:val=""/>
      <w:lvlJc w:val="left"/>
      <w:pPr>
        <w:tabs>
          <w:tab w:val="num" w:pos="2340"/>
        </w:tabs>
        <w:ind w:left="2340" w:hanging="360"/>
      </w:pPr>
      <w:rPr>
        <w:rFonts w:ascii="Wingdings" w:hAnsi="Wingdings" w:hint="default"/>
      </w:rPr>
    </w:lvl>
    <w:lvl w:ilvl="3" w:tplc="041D0001" w:tentative="1">
      <w:start w:val="1"/>
      <w:numFmt w:val="bullet"/>
      <w:lvlText w:val=""/>
      <w:lvlJc w:val="left"/>
      <w:pPr>
        <w:tabs>
          <w:tab w:val="num" w:pos="3060"/>
        </w:tabs>
        <w:ind w:left="3060" w:hanging="360"/>
      </w:pPr>
      <w:rPr>
        <w:rFonts w:ascii="Symbol" w:hAnsi="Symbol" w:hint="default"/>
      </w:rPr>
    </w:lvl>
    <w:lvl w:ilvl="4" w:tplc="041D0003" w:tentative="1">
      <w:start w:val="1"/>
      <w:numFmt w:val="bullet"/>
      <w:lvlText w:val="o"/>
      <w:lvlJc w:val="left"/>
      <w:pPr>
        <w:tabs>
          <w:tab w:val="num" w:pos="3780"/>
        </w:tabs>
        <w:ind w:left="3780" w:hanging="360"/>
      </w:pPr>
      <w:rPr>
        <w:rFonts w:ascii="Courier New" w:hAnsi="Courier New" w:cs="Courier New" w:hint="default"/>
      </w:rPr>
    </w:lvl>
    <w:lvl w:ilvl="5" w:tplc="041D0005" w:tentative="1">
      <w:start w:val="1"/>
      <w:numFmt w:val="bullet"/>
      <w:lvlText w:val=""/>
      <w:lvlJc w:val="left"/>
      <w:pPr>
        <w:tabs>
          <w:tab w:val="num" w:pos="4500"/>
        </w:tabs>
        <w:ind w:left="4500" w:hanging="360"/>
      </w:pPr>
      <w:rPr>
        <w:rFonts w:ascii="Wingdings" w:hAnsi="Wingdings" w:hint="default"/>
      </w:rPr>
    </w:lvl>
    <w:lvl w:ilvl="6" w:tplc="041D0001" w:tentative="1">
      <w:start w:val="1"/>
      <w:numFmt w:val="bullet"/>
      <w:lvlText w:val=""/>
      <w:lvlJc w:val="left"/>
      <w:pPr>
        <w:tabs>
          <w:tab w:val="num" w:pos="5220"/>
        </w:tabs>
        <w:ind w:left="5220" w:hanging="360"/>
      </w:pPr>
      <w:rPr>
        <w:rFonts w:ascii="Symbol" w:hAnsi="Symbol" w:hint="default"/>
      </w:rPr>
    </w:lvl>
    <w:lvl w:ilvl="7" w:tplc="041D0003" w:tentative="1">
      <w:start w:val="1"/>
      <w:numFmt w:val="bullet"/>
      <w:lvlText w:val="o"/>
      <w:lvlJc w:val="left"/>
      <w:pPr>
        <w:tabs>
          <w:tab w:val="num" w:pos="5940"/>
        </w:tabs>
        <w:ind w:left="5940" w:hanging="360"/>
      </w:pPr>
      <w:rPr>
        <w:rFonts w:ascii="Courier New" w:hAnsi="Courier New" w:cs="Courier New" w:hint="default"/>
      </w:rPr>
    </w:lvl>
    <w:lvl w:ilvl="8" w:tplc="041D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598917DC"/>
    <w:multiLevelType w:val="hybridMultilevel"/>
    <w:tmpl w:val="DF38006E"/>
    <w:lvl w:ilvl="0" w:tplc="D9C029C6">
      <w:start w:val="2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E722A6"/>
    <w:multiLevelType w:val="hybridMultilevel"/>
    <w:tmpl w:val="FA66DC92"/>
    <w:lvl w:ilvl="0" w:tplc="4E4E83A0">
      <w:start w:val="3"/>
      <w:numFmt w:val="decimal"/>
      <w:lvlText w:val="%1."/>
      <w:lvlJc w:val="left"/>
      <w:pPr>
        <w:tabs>
          <w:tab w:val="num" w:pos="540"/>
        </w:tabs>
        <w:ind w:left="540" w:hanging="360"/>
      </w:pPr>
      <w:rPr>
        <w:rFonts w:hint="default"/>
        <w:b/>
        <w:sz w:val="28"/>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AD044CE"/>
    <w:multiLevelType w:val="hybridMultilevel"/>
    <w:tmpl w:val="B498C676"/>
    <w:lvl w:ilvl="0" w:tplc="0409000F">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0299113">
    <w:abstractNumId w:val="6"/>
  </w:num>
  <w:num w:numId="2" w16cid:durableId="1092631525">
    <w:abstractNumId w:val="3"/>
  </w:num>
  <w:num w:numId="3" w16cid:durableId="141237362">
    <w:abstractNumId w:val="0"/>
  </w:num>
  <w:num w:numId="4" w16cid:durableId="1701588995">
    <w:abstractNumId w:val="1"/>
  </w:num>
  <w:num w:numId="5" w16cid:durableId="472912247">
    <w:abstractNumId w:val="4"/>
  </w:num>
  <w:num w:numId="6" w16cid:durableId="1220439225">
    <w:abstractNumId w:val="2"/>
  </w:num>
  <w:num w:numId="7" w16cid:durableId="1399017102">
    <w:abstractNumId w:val="5"/>
  </w:num>
  <w:num w:numId="8" w16cid:durableId="1870297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0C7"/>
    <w:rsid w:val="0006511B"/>
    <w:rsid w:val="000A1A46"/>
    <w:rsid w:val="00152DFC"/>
    <w:rsid w:val="00173D00"/>
    <w:rsid w:val="001A4784"/>
    <w:rsid w:val="00205391"/>
    <w:rsid w:val="00222C88"/>
    <w:rsid w:val="00245E40"/>
    <w:rsid w:val="002A5E0E"/>
    <w:rsid w:val="002B55F8"/>
    <w:rsid w:val="003B340B"/>
    <w:rsid w:val="004735F0"/>
    <w:rsid w:val="00494BAC"/>
    <w:rsid w:val="004974DE"/>
    <w:rsid w:val="004D150E"/>
    <w:rsid w:val="004D66DD"/>
    <w:rsid w:val="0054277E"/>
    <w:rsid w:val="005D140C"/>
    <w:rsid w:val="005D28B5"/>
    <w:rsid w:val="005E4E48"/>
    <w:rsid w:val="00601B6A"/>
    <w:rsid w:val="00606577"/>
    <w:rsid w:val="006C5370"/>
    <w:rsid w:val="006F08BA"/>
    <w:rsid w:val="00713EE5"/>
    <w:rsid w:val="00812728"/>
    <w:rsid w:val="00840BC5"/>
    <w:rsid w:val="00856EE0"/>
    <w:rsid w:val="008B32BA"/>
    <w:rsid w:val="008E0225"/>
    <w:rsid w:val="008E610A"/>
    <w:rsid w:val="00961CB6"/>
    <w:rsid w:val="00974AFA"/>
    <w:rsid w:val="009A0309"/>
    <w:rsid w:val="009C10C7"/>
    <w:rsid w:val="009D3F12"/>
    <w:rsid w:val="00A17E62"/>
    <w:rsid w:val="00A30B69"/>
    <w:rsid w:val="00A34F12"/>
    <w:rsid w:val="00A65AF0"/>
    <w:rsid w:val="00AE7E2A"/>
    <w:rsid w:val="00AF0ED4"/>
    <w:rsid w:val="00B407AE"/>
    <w:rsid w:val="00B733C3"/>
    <w:rsid w:val="00BA7597"/>
    <w:rsid w:val="00BD1244"/>
    <w:rsid w:val="00C24511"/>
    <w:rsid w:val="00C65905"/>
    <w:rsid w:val="00CB2E34"/>
    <w:rsid w:val="00CB4ED6"/>
    <w:rsid w:val="00CC7A36"/>
    <w:rsid w:val="00CD1572"/>
    <w:rsid w:val="00CD7EE8"/>
    <w:rsid w:val="00D36A9C"/>
    <w:rsid w:val="00E25032"/>
    <w:rsid w:val="00E309A0"/>
    <w:rsid w:val="00E55FA3"/>
    <w:rsid w:val="00E86C09"/>
    <w:rsid w:val="00ED2384"/>
    <w:rsid w:val="00F478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D6C3CC9-40A6-44DF-BDA5-7EEB4BE96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0C7"/>
    <w:pPr>
      <w:overflowPunct w:val="0"/>
      <w:autoSpaceDE w:val="0"/>
      <w:autoSpaceDN w:val="0"/>
      <w:adjustRightInd w:val="0"/>
      <w:spacing w:line="320" w:lineRule="atLeast"/>
      <w:textAlignment w:val="baseline"/>
    </w:pPr>
    <w:rPr>
      <w:rFonts w:ascii="OrigGarmnd BT" w:hAnsi="OrigGarmnd BT"/>
      <w:sz w:val="24"/>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9C10C7"/>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9C10C7"/>
    <w:pPr>
      <w:tabs>
        <w:tab w:val="center" w:pos="4153"/>
        <w:tab w:val="right" w:pos="8306"/>
      </w:tabs>
    </w:pPr>
  </w:style>
  <w:style w:type="paragraph" w:customStyle="1" w:styleId="RKnormal">
    <w:name w:val="RKnormal"/>
    <w:basedOn w:val="Normal"/>
    <w:link w:val="RKnormalChar"/>
    <w:rsid w:val="009C10C7"/>
    <w:pPr>
      <w:tabs>
        <w:tab w:val="left" w:pos="2835"/>
      </w:tabs>
      <w:spacing w:line="240" w:lineRule="atLeast"/>
    </w:pPr>
  </w:style>
  <w:style w:type="paragraph" w:customStyle="1" w:styleId="RKrubrik">
    <w:name w:val="RKrubrik"/>
    <w:basedOn w:val="RKnormal"/>
    <w:next w:val="RKnormal"/>
    <w:rsid w:val="009C10C7"/>
    <w:pPr>
      <w:keepNext/>
      <w:tabs>
        <w:tab w:val="left" w:pos="1134"/>
      </w:tabs>
      <w:spacing w:before="360" w:after="120"/>
    </w:pPr>
    <w:rPr>
      <w:rFonts w:ascii="TradeGothic" w:hAnsi="TradeGothic"/>
      <w:b/>
      <w:sz w:val="22"/>
    </w:rPr>
  </w:style>
  <w:style w:type="character" w:styleId="Sidnummer">
    <w:name w:val="page number"/>
    <w:basedOn w:val="Standardstycketeckensnitt"/>
    <w:rsid w:val="009C10C7"/>
  </w:style>
  <w:style w:type="character" w:customStyle="1" w:styleId="RKnormalChar">
    <w:name w:val="RKnormal Char"/>
    <w:basedOn w:val="Standardstycketeckensnitt"/>
    <w:link w:val="RKnormal"/>
    <w:rsid w:val="009C10C7"/>
    <w:rPr>
      <w:rFonts w:ascii="OrigGarmnd BT" w:hAnsi="OrigGarmnd BT"/>
      <w:sz w:val="24"/>
      <w:lang w:val="sv-SE" w:eastAsia="en-US" w:bidi="ar-SA"/>
    </w:rPr>
  </w:style>
  <w:style w:type="character" w:customStyle="1" w:styleId="sup1">
    <w:name w:val="sup1"/>
    <w:basedOn w:val="Standardstycketeckensnitt"/>
    <w:rsid w:val="009D3F12"/>
    <w:rPr>
      <w:sz w:val="19"/>
      <w:szCs w:val="19"/>
      <w:vertAlign w:val="superscript"/>
    </w:rPr>
  </w:style>
  <w:style w:type="paragraph" w:styleId="Normalwebb">
    <w:name w:val="Normal (Web)"/>
    <w:basedOn w:val="Normal"/>
    <w:rsid w:val="00961CB6"/>
    <w:pPr>
      <w:overflowPunct/>
      <w:autoSpaceDE/>
      <w:autoSpaceDN/>
      <w:adjustRightInd/>
      <w:spacing w:before="100" w:beforeAutospacing="1" w:after="100" w:afterAutospacing="1" w:line="240" w:lineRule="auto"/>
      <w:textAlignment w:val="auto"/>
    </w:pPr>
    <w:rPr>
      <w:rFonts w:ascii="Times New Roman" w:hAnsi="Times New Roman"/>
      <w:szCs w:val="24"/>
      <w:lang w:val="en-US"/>
    </w:rPr>
  </w:style>
  <w:style w:type="character" w:customStyle="1" w:styleId="italic1">
    <w:name w:val="italic1"/>
    <w:basedOn w:val="Standardstycketeckensnitt"/>
    <w:rsid w:val="005D28B5"/>
    <w:rPr>
      <w:i/>
      <w:iCs/>
    </w:rPr>
  </w:style>
  <w:style w:type="paragraph" w:styleId="Ballongtext">
    <w:name w:val="Balloon Text"/>
    <w:basedOn w:val="Normal"/>
    <w:semiHidden/>
    <w:rsid w:val="00222C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c.europa.eu/prelex/liste_resultats.cfm?CL=sv&amp;ReqId=0&amp;DocType=COM&amp;DocYear=2005&amp;DocNum=06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3509</Words>
  <Characters>22598</Characters>
  <Application>Microsoft Office Word</Application>
  <DocSecurity>4</DocSecurity>
  <Lines>551</Lines>
  <Paragraphs>117</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25990</CharactersWithSpaces>
  <SharedDoc>false</SharedDoc>
  <HLinks>
    <vt:vector size="6" baseType="variant">
      <vt:variant>
        <vt:i4>524331</vt:i4>
      </vt:variant>
      <vt:variant>
        <vt:i4>0</vt:i4>
      </vt:variant>
      <vt:variant>
        <vt:i4>0</vt:i4>
      </vt:variant>
      <vt:variant>
        <vt:i4>5</vt:i4>
      </vt:variant>
      <vt:variant>
        <vt:lpwstr>http://ec.europa.eu/prelex/liste_resultats.cfm?CL=sv&amp;ReqId=0&amp;DocType=COM&amp;DocYear=2005&amp;DocNum=0661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2007-06-08T08:56:00Z</cp:lastPrinted>
  <dcterms:created xsi:type="dcterms:W3CDTF">2025-12-17T04:11:00Z</dcterms:created>
  <dcterms:modified xsi:type="dcterms:W3CDTF">2025-12-17T04:11:00Z</dcterms:modified>
</cp:coreProperties>
</file>